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黑体" w:cs="Times New Roman"/>
          <w:bCs/>
          <w:kern w:val="0"/>
          <w:sz w:val="32"/>
          <w:szCs w:val="32"/>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spacing w:line="600" w:lineRule="auto"/>
        <w:jc w:val="center"/>
        <w:rPr>
          <w:rFonts w:hint="eastAsia" w:ascii="黑体" w:hAnsi="黑体" w:eastAsia="黑体" w:cs="Times New Roman"/>
          <w:bCs/>
          <w:kern w:val="0"/>
          <w:sz w:val="72"/>
          <w:szCs w:val="72"/>
        </w:rPr>
      </w:pPr>
      <w:r>
        <w:rPr>
          <w:rFonts w:hint="eastAsia" w:ascii="黑体" w:hAnsi="黑体" w:eastAsia="黑体" w:cs="Times New Roman"/>
          <w:bCs/>
          <w:kern w:val="0"/>
          <w:sz w:val="72"/>
          <w:szCs w:val="72"/>
        </w:rPr>
        <w:t>湖南省文化和旅游厅</w:t>
      </w:r>
    </w:p>
    <w:p>
      <w:pPr>
        <w:widowControl/>
        <w:spacing w:line="600" w:lineRule="auto"/>
        <w:jc w:val="center"/>
        <w:rPr>
          <w:rFonts w:ascii="黑体" w:hAnsi="黑体" w:eastAsia="黑体" w:cs="Times New Roman"/>
          <w:bCs/>
          <w:kern w:val="0"/>
          <w:sz w:val="72"/>
          <w:szCs w:val="72"/>
        </w:rPr>
      </w:pPr>
      <w:bookmarkStart w:id="0" w:name="_GoBack"/>
      <w:bookmarkEnd w:id="0"/>
      <w:r>
        <w:rPr>
          <w:rFonts w:hint="eastAsia" w:ascii="黑体" w:hAnsi="黑体" w:eastAsia="黑体" w:cs="Times New Roman"/>
          <w:bCs/>
          <w:kern w:val="0"/>
          <w:sz w:val="72"/>
          <w:szCs w:val="72"/>
        </w:rPr>
        <w:t>（原湖南省旅游发展委员会）2018年度部门决算</w:t>
      </w:r>
    </w:p>
    <w:p>
      <w:pPr>
        <w:widowControl/>
        <w:spacing w:beforeLines="50"/>
        <w:jc w:val="center"/>
        <w:rPr>
          <w:rFonts w:ascii="Times New Roman" w:hAnsi="Times New Roman" w:eastAsia="楷体_GB2312" w:cs="Times New Roman"/>
          <w:bCs/>
          <w:kern w:val="0"/>
          <w:sz w:val="32"/>
          <w:szCs w:val="32"/>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jc w:val="center"/>
        <w:rPr>
          <w:rFonts w:ascii="Times New Roman" w:hAnsi="Times New Roman" w:eastAsia="宋体" w:cs="Times New Roman"/>
          <w:b/>
          <w:bCs/>
          <w:kern w:val="0"/>
          <w:sz w:val="44"/>
          <w:szCs w:val="44"/>
        </w:rPr>
      </w:pPr>
    </w:p>
    <w:p>
      <w:pPr>
        <w:widowControl/>
        <w:rPr>
          <w:rFonts w:ascii="Times New Roman" w:hAnsi="Times New Roman" w:eastAsia="宋体" w:cs="Times New Roman"/>
          <w:b/>
          <w:bCs/>
          <w:kern w:val="0"/>
          <w:sz w:val="44"/>
          <w:szCs w:val="44"/>
        </w:rPr>
      </w:pPr>
    </w:p>
    <w:p>
      <w:pPr>
        <w:widowControl/>
        <w:jc w:val="center"/>
        <w:rPr>
          <w:rFonts w:ascii="Times New Roman" w:hAnsi="Times New Roman" w:eastAsia="方正小标宋_GBK" w:cs="Times New Roman"/>
          <w:bCs/>
          <w:kern w:val="0"/>
          <w:sz w:val="44"/>
          <w:szCs w:val="44"/>
        </w:rPr>
      </w:pPr>
      <w:r>
        <w:rPr>
          <w:rFonts w:hint="eastAsia" w:ascii="Times New Roman" w:hAnsi="Times New Roman" w:eastAsia="方正小标宋_GBK" w:cs="Times New Roman"/>
          <w:bCs/>
          <w:kern w:val="0"/>
          <w:sz w:val="44"/>
          <w:szCs w:val="44"/>
        </w:rPr>
        <w:t>目录</w:t>
      </w:r>
    </w:p>
    <w:p>
      <w:pPr>
        <w:widowControl/>
        <w:rPr>
          <w:rFonts w:ascii="仿宋_GB2312" w:hAnsi="Times New Roman" w:eastAsia="仿宋_GB2312" w:cs="Times New Roman"/>
          <w:b/>
          <w:bCs/>
          <w:kern w:val="0"/>
          <w:sz w:val="32"/>
          <w:szCs w:val="32"/>
        </w:rPr>
      </w:pPr>
    </w:p>
    <w:p>
      <w:pPr>
        <w:widowControl/>
        <w:spacing w:line="600" w:lineRule="exact"/>
        <w:rPr>
          <w:rFonts w:ascii="Times New Roman" w:hAnsi="Times New Roman" w:eastAsia="黑体" w:cs="Times New Roman"/>
          <w:bCs/>
          <w:kern w:val="0"/>
          <w:sz w:val="32"/>
          <w:szCs w:val="32"/>
        </w:rPr>
      </w:pPr>
      <w:r>
        <w:rPr>
          <w:rFonts w:hint="eastAsia" w:ascii="Times New Roman" w:hAnsi="Times New Roman" w:eastAsia="黑体" w:cs="Times New Roman"/>
          <w:bCs/>
          <w:kern w:val="0"/>
          <w:sz w:val="32"/>
          <w:szCs w:val="32"/>
        </w:rPr>
        <w:t>第一部分  湖南省文化和旅游厅（原湖南省旅游发展委员会）概况</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一、部门职责</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二、机构设置</w:t>
      </w:r>
    </w:p>
    <w:p>
      <w:pPr>
        <w:widowControl/>
        <w:spacing w:line="600" w:lineRule="exact"/>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 xml:space="preserve">第二部分  </w:t>
      </w:r>
      <w:r>
        <w:rPr>
          <w:rFonts w:hint="eastAsia" w:ascii="Times New Roman" w:hAnsi="Times New Roman" w:eastAsia="黑体" w:cs="Times New Roman"/>
          <w:bCs/>
          <w:kern w:val="0"/>
          <w:sz w:val="32"/>
          <w:szCs w:val="32"/>
        </w:rPr>
        <w:t>湖南省文化和旅游厅（原湖南省旅游发展委员会）</w:t>
      </w:r>
      <w:r>
        <w:rPr>
          <w:rFonts w:ascii="Times New Roman" w:hAnsi="Times New Roman" w:eastAsia="黑体" w:cs="Times New Roman"/>
          <w:bCs/>
          <w:kern w:val="0"/>
          <w:sz w:val="32"/>
          <w:szCs w:val="32"/>
        </w:rPr>
        <w:t>201</w:t>
      </w:r>
      <w:r>
        <w:rPr>
          <w:rFonts w:hint="eastAsia" w:ascii="Times New Roman" w:hAnsi="Times New Roman" w:eastAsia="黑体" w:cs="Times New Roman"/>
          <w:bCs/>
          <w:kern w:val="0"/>
          <w:sz w:val="32"/>
          <w:szCs w:val="32"/>
        </w:rPr>
        <w:t>8</w:t>
      </w:r>
      <w:r>
        <w:rPr>
          <w:rFonts w:ascii="Times New Roman" w:hAnsi="Times New Roman" w:eastAsia="黑体" w:cs="Times New Roman"/>
          <w:bCs/>
          <w:kern w:val="0"/>
          <w:sz w:val="32"/>
          <w:szCs w:val="32"/>
        </w:rPr>
        <w:t>年度部门决算表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一、收入支出决算总表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二、收入决算表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三、支出决算表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四、财政拨款收入支出决算总表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五、一般公共预算财政拨款支出决算表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六、一般公共预算财政拨款基本支出决算表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七、一般公共预算财政拨款“三公”经费支出决算表</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八、政府性基金预算财政拨款收入支出决算表</w:t>
      </w:r>
    </w:p>
    <w:p>
      <w:pPr>
        <w:widowControl/>
        <w:spacing w:line="600" w:lineRule="exact"/>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 xml:space="preserve">第三部分  </w:t>
      </w:r>
      <w:r>
        <w:rPr>
          <w:rFonts w:hint="eastAsia" w:ascii="Times New Roman" w:hAnsi="Times New Roman" w:eastAsia="黑体" w:cs="Times New Roman"/>
          <w:bCs/>
          <w:kern w:val="0"/>
          <w:sz w:val="32"/>
          <w:szCs w:val="32"/>
        </w:rPr>
        <w:t>湖南省文化和旅游厅（原湖南省旅游发展委员会）</w:t>
      </w:r>
      <w:r>
        <w:rPr>
          <w:rFonts w:ascii="Times New Roman" w:hAnsi="Times New Roman" w:eastAsia="黑体" w:cs="Times New Roman"/>
          <w:bCs/>
          <w:spacing w:val="-10"/>
          <w:kern w:val="0"/>
          <w:sz w:val="32"/>
          <w:szCs w:val="32"/>
        </w:rPr>
        <w:t>201</w:t>
      </w:r>
      <w:r>
        <w:rPr>
          <w:rFonts w:hint="eastAsia" w:ascii="Times New Roman" w:hAnsi="Times New Roman" w:eastAsia="黑体" w:cs="Times New Roman"/>
          <w:bCs/>
          <w:spacing w:val="-10"/>
          <w:kern w:val="0"/>
          <w:sz w:val="32"/>
          <w:szCs w:val="32"/>
        </w:rPr>
        <w:t>8</w:t>
      </w:r>
      <w:r>
        <w:rPr>
          <w:rFonts w:ascii="Times New Roman" w:hAnsi="Times New Roman" w:eastAsia="黑体" w:cs="Times New Roman"/>
          <w:bCs/>
          <w:spacing w:val="-10"/>
          <w:kern w:val="0"/>
          <w:sz w:val="32"/>
          <w:szCs w:val="32"/>
        </w:rPr>
        <w:t>年度部门决算情况说明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一、收入支出决算总体情况说明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二、收入决算情况说明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三、支出决算情况说明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四、财政拨款收入支出决算总体情况说明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五、一般公共预算财政拨款支出决算情况说明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六、一般公共预算财政拨款基本支出决算情况说明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七、一般公共预算财政拨款“三公”经费支出情况决算情况说明</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八、政府性基金预算</w:t>
      </w:r>
      <w:r>
        <w:rPr>
          <w:rFonts w:hint="eastAsia" w:ascii="仿宋" w:hAnsi="仿宋" w:eastAsia="仿宋" w:cs="Times New Roman"/>
          <w:bCs/>
          <w:kern w:val="0"/>
          <w:sz w:val="32"/>
          <w:szCs w:val="32"/>
        </w:rPr>
        <w:t>财政拨款</w:t>
      </w:r>
      <w:r>
        <w:rPr>
          <w:rFonts w:ascii="仿宋" w:hAnsi="仿宋" w:eastAsia="仿宋" w:cs="Times New Roman"/>
          <w:bCs/>
          <w:kern w:val="0"/>
          <w:sz w:val="32"/>
          <w:szCs w:val="32"/>
        </w:rPr>
        <w:t>收入支出决算情况</w:t>
      </w:r>
    </w:p>
    <w:p>
      <w:pPr>
        <w:widowControl/>
        <w:spacing w:line="600" w:lineRule="exact"/>
        <w:rPr>
          <w:rFonts w:ascii="仿宋" w:hAnsi="仿宋" w:eastAsia="仿宋" w:cs="Times New Roman"/>
          <w:bCs/>
          <w:kern w:val="0"/>
          <w:sz w:val="32"/>
          <w:szCs w:val="32"/>
        </w:rPr>
      </w:pPr>
      <w:r>
        <w:rPr>
          <w:rFonts w:ascii="仿宋" w:hAnsi="仿宋" w:eastAsia="仿宋" w:cs="Times New Roman"/>
          <w:bCs/>
          <w:kern w:val="0"/>
          <w:sz w:val="32"/>
          <w:szCs w:val="32"/>
        </w:rPr>
        <w:t>九、</w:t>
      </w:r>
      <w:r>
        <w:rPr>
          <w:rFonts w:ascii="仿宋" w:hAnsi="仿宋" w:eastAsia="仿宋" w:cs="Times New Roman"/>
          <w:kern w:val="0"/>
          <w:sz w:val="32"/>
          <w:szCs w:val="32"/>
        </w:rPr>
        <w:t>关于201</w:t>
      </w:r>
      <w:r>
        <w:rPr>
          <w:rFonts w:hint="eastAsia" w:ascii="仿宋" w:hAnsi="仿宋" w:eastAsia="仿宋" w:cs="Times New Roman"/>
          <w:kern w:val="0"/>
          <w:sz w:val="32"/>
          <w:szCs w:val="32"/>
        </w:rPr>
        <w:t>8</w:t>
      </w:r>
      <w:r>
        <w:rPr>
          <w:rFonts w:ascii="仿宋" w:hAnsi="仿宋" w:eastAsia="仿宋" w:cs="Times New Roman"/>
          <w:kern w:val="0"/>
          <w:sz w:val="32"/>
          <w:szCs w:val="32"/>
        </w:rPr>
        <w:t>年度预算绩效情况说明</w:t>
      </w:r>
    </w:p>
    <w:p>
      <w:pPr>
        <w:widowControl/>
        <w:spacing w:line="600" w:lineRule="exact"/>
        <w:rPr>
          <w:rFonts w:ascii="仿宋" w:hAnsi="仿宋" w:eastAsia="仿宋" w:cs="Times New Roman"/>
          <w:bCs/>
          <w:kern w:val="0"/>
          <w:sz w:val="32"/>
          <w:szCs w:val="32"/>
        </w:rPr>
      </w:pPr>
      <w:r>
        <w:rPr>
          <w:rFonts w:hint="eastAsia" w:ascii="仿宋" w:hAnsi="仿宋" w:eastAsia="仿宋" w:cs="Times New Roman"/>
          <w:bCs/>
          <w:kern w:val="0"/>
          <w:sz w:val="32"/>
          <w:szCs w:val="32"/>
        </w:rPr>
        <w:t>十、</w:t>
      </w:r>
      <w:r>
        <w:rPr>
          <w:rFonts w:ascii="仿宋" w:hAnsi="仿宋" w:eastAsia="仿宋" w:cs="Times New Roman"/>
          <w:kern w:val="0"/>
          <w:sz w:val="32"/>
          <w:szCs w:val="32"/>
        </w:rPr>
        <w:t>其他重要事项</w:t>
      </w:r>
      <w:r>
        <w:rPr>
          <w:rFonts w:hint="eastAsia" w:ascii="仿宋" w:hAnsi="仿宋" w:eastAsia="仿宋" w:cs="Times New Roman"/>
          <w:kern w:val="0"/>
          <w:sz w:val="32"/>
          <w:szCs w:val="32"/>
        </w:rPr>
        <w:t>的情况说明</w:t>
      </w:r>
    </w:p>
    <w:p>
      <w:pPr>
        <w:widowControl/>
        <w:spacing w:line="600" w:lineRule="exact"/>
        <w:rPr>
          <w:rFonts w:ascii="Times New Roman" w:hAnsi="Times New Roman" w:eastAsia="黑体" w:cs="Times New Roman"/>
          <w:bCs/>
          <w:kern w:val="0"/>
          <w:sz w:val="32"/>
          <w:szCs w:val="32"/>
        </w:rPr>
      </w:pPr>
      <w:r>
        <w:rPr>
          <w:rFonts w:hint="eastAsia" w:ascii="Times New Roman" w:hAnsi="Times New Roman" w:eastAsia="黑体" w:cs="Times New Roman"/>
          <w:bCs/>
          <w:kern w:val="0"/>
          <w:sz w:val="32"/>
          <w:szCs w:val="32"/>
        </w:rPr>
        <w:t>第四部分  名称解释</w:t>
      </w: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spacing w:line="600" w:lineRule="exact"/>
        <w:rPr>
          <w:rFonts w:ascii="Times New Roman" w:hAnsi="Times New Roman" w:eastAsia="仿宋_GB2312" w:cs="Times New Roman"/>
          <w:b/>
          <w:bCs/>
          <w:kern w:val="0"/>
          <w:sz w:val="32"/>
          <w:szCs w:val="32"/>
        </w:rPr>
      </w:pPr>
    </w:p>
    <w:p>
      <w:pPr>
        <w:widowControl/>
        <w:adjustRightInd w:val="0"/>
        <w:snapToGrid w:val="0"/>
        <w:spacing w:line="360" w:lineRule="auto"/>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 xml:space="preserve">第一部分  </w:t>
      </w:r>
      <w:r>
        <w:rPr>
          <w:rFonts w:hint="eastAsia" w:ascii="Times New Roman" w:hAnsi="Times New Roman" w:eastAsia="黑体" w:cs="Times New Roman"/>
          <w:bCs/>
          <w:kern w:val="0"/>
          <w:sz w:val="32"/>
          <w:szCs w:val="32"/>
        </w:rPr>
        <w:t>湖南省文化和旅游厅（原湖南省旅游发展委员会）</w:t>
      </w:r>
      <w:r>
        <w:rPr>
          <w:rFonts w:ascii="Times New Roman" w:hAnsi="Times New Roman" w:eastAsia="黑体" w:cs="Times New Roman"/>
          <w:bCs/>
          <w:kern w:val="0"/>
          <w:sz w:val="32"/>
          <w:szCs w:val="32"/>
        </w:rPr>
        <w:t>概况</w:t>
      </w:r>
    </w:p>
    <w:p>
      <w:pPr>
        <w:pStyle w:val="11"/>
        <w:widowControl/>
        <w:numPr>
          <w:ilvl w:val="0"/>
          <w:numId w:val="1"/>
        </w:numPr>
        <w:adjustRightInd w:val="0"/>
        <w:snapToGrid w:val="0"/>
        <w:spacing w:line="360" w:lineRule="auto"/>
        <w:ind w:firstLineChars="0"/>
        <w:rPr>
          <w:rFonts w:ascii="仿宋" w:hAnsi="仿宋" w:eastAsia="仿宋" w:cs="Times New Roman"/>
          <w:b/>
          <w:bCs/>
          <w:kern w:val="0"/>
          <w:sz w:val="32"/>
          <w:szCs w:val="32"/>
        </w:rPr>
      </w:pPr>
      <w:r>
        <w:rPr>
          <w:rFonts w:ascii="仿宋" w:hAnsi="仿宋" w:eastAsia="仿宋" w:cs="Times New Roman"/>
          <w:b/>
          <w:bCs/>
          <w:kern w:val="0"/>
          <w:sz w:val="32"/>
          <w:szCs w:val="32"/>
        </w:rPr>
        <w:t>部门职责</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根据《中共湖南省委湖南省人民政府关于印发&lt;湖南省人民政府机构改革方案的实施意见&gt;的通知》(湘发﹝2014﹞12号)、《中共湖南省委湖南省人民政府关于湖南省人民政府机构设置的通知》(湘发﹝2014﹞13号)和《湖南省人民政府办公厅关于湖南省旅游局更名为湖南省旅游发展委员会的通知》(湘政办函﹝2016﹞130号)，设立湖南省旅游发展委员会，为省政府组成部门, 主要职责如下：</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（一）贯彻执行国家关于发展旅游业的法律法规和方针政策，并监督实施；统筹协调全省旅游业发展，拟订全省旅游业发展的方针、政策和中长期发展规划。</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二）拟订全省旅游产业发展战略，组织、指导全省重要旅游产品的开发，促进和引导旅游业利用外资和社会投资工作；拟订全省国际旅游市场开发战略，组织全省旅游形象的对外宣传和重大推广活动；拟订我省开拓旅游市场的措施并指导实施；牵头旅游强省建设的综合协调和推进工作；负责监测全省旅游经济运行和全省旅游统计及行业信息发布。</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三）指导全省旅游教育、培训工作；组织制定并实施全省旅游人才规划；指导实施旅游从业人员的职业资格标准和等级标准；指导全省有关院校开展旅游教育工作、联系和指导旅游社团机构建设和制度建设等工作。</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四）组织全省旅游资源的普查、规划、开发和相关保护工作；指导协调旅游区的规划编制和开发建设；指导旅游基础设施、旅游公共服务体系建设；培育和指导新的旅游消费热点工作；参与旅游扶贫工作和旅游产业园区建设；组织拟订旅游区、旅游设施、旅游服务、旅游商品等方面的标准草案并监督实施。</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（五）组织实施出国旅游、赴港澳台旅游及边境旅游的政策规定；依法监管国外、境外在我省境内设立的旅游办事机构；指导全省旅游对外交流与合作；指导全省旅游信息化建设工作。</w:t>
      </w:r>
    </w:p>
    <w:p>
      <w:pPr>
        <w:adjustRightInd w:val="0"/>
        <w:snapToGrid w:val="0"/>
        <w:spacing w:line="360" w:lineRule="auto"/>
        <w:ind w:firstLine="665" w:firstLineChars="208"/>
        <w:rPr>
          <w:rFonts w:ascii="仿宋" w:hAnsi="仿宋" w:eastAsia="仿宋"/>
          <w:sz w:val="32"/>
          <w:szCs w:val="32"/>
        </w:rPr>
      </w:pPr>
      <w:r>
        <w:rPr>
          <w:rFonts w:hint="eastAsia" w:ascii="仿宋" w:hAnsi="仿宋" w:eastAsia="仿宋"/>
          <w:sz w:val="32"/>
          <w:szCs w:val="32"/>
        </w:rPr>
        <w:t>（六）负责对全省旅游市场实施监督管理；监督检查旅游市场秩序和服务质量，组织指导执法检查，会同相关部门处理旅游违法案件；指导各类旅游区（点）、旅行社及旅游饭店、旅游产品等方面的标准化管理工作；负责旅行社设立的审批、旅行社经营出境旅游业务的审核报批工作；指导旅游行业精神文明建设和诚信体系建设。</w:t>
      </w:r>
    </w:p>
    <w:p>
      <w:pPr>
        <w:widowControl/>
        <w:adjustRightInd w:val="0"/>
        <w:snapToGrid w:val="0"/>
        <w:spacing w:line="360" w:lineRule="auto"/>
        <w:ind w:firstLine="640" w:firstLineChars="200"/>
        <w:rPr>
          <w:rFonts w:ascii="仿宋" w:hAnsi="仿宋" w:eastAsia="仿宋" w:cs="Times New Roman"/>
          <w:bCs/>
          <w:kern w:val="0"/>
          <w:sz w:val="32"/>
          <w:szCs w:val="32"/>
        </w:rPr>
      </w:pPr>
      <w:r>
        <w:rPr>
          <w:rFonts w:hint="eastAsia" w:ascii="仿宋" w:hAnsi="仿宋" w:eastAsia="仿宋"/>
          <w:sz w:val="32"/>
          <w:szCs w:val="32"/>
        </w:rPr>
        <w:t>（七）承办省人民政府交办的其他事项。</w:t>
      </w:r>
    </w:p>
    <w:p>
      <w:pPr>
        <w:widowControl/>
        <w:adjustRightInd w:val="0"/>
        <w:snapToGrid w:val="0"/>
        <w:spacing w:line="360" w:lineRule="auto"/>
        <w:ind w:firstLine="803" w:firstLineChars="250"/>
        <w:rPr>
          <w:rFonts w:ascii="仿宋" w:hAnsi="仿宋" w:eastAsia="仿宋" w:cs="Times New Roman"/>
          <w:b/>
          <w:bCs/>
          <w:kern w:val="0"/>
          <w:sz w:val="32"/>
          <w:szCs w:val="32"/>
        </w:rPr>
      </w:pPr>
      <w:r>
        <w:rPr>
          <w:rFonts w:ascii="仿宋" w:hAnsi="仿宋" w:eastAsia="仿宋" w:cs="Times New Roman"/>
          <w:b/>
          <w:bCs/>
          <w:kern w:val="0"/>
          <w:sz w:val="32"/>
          <w:szCs w:val="32"/>
        </w:rPr>
        <w:t>二、机构设置</w:t>
      </w:r>
      <w:r>
        <w:rPr>
          <w:rFonts w:hint="eastAsia" w:ascii="仿宋" w:hAnsi="仿宋" w:eastAsia="仿宋" w:cs="Times New Roman"/>
          <w:b/>
          <w:bCs/>
          <w:kern w:val="0"/>
          <w:sz w:val="32"/>
          <w:szCs w:val="32"/>
        </w:rPr>
        <w:t>及决算单位构成</w:t>
      </w:r>
    </w:p>
    <w:p>
      <w:pPr>
        <w:widowControl/>
        <w:adjustRightInd w:val="0"/>
        <w:snapToGrid w:val="0"/>
        <w:spacing w:line="360" w:lineRule="auto"/>
        <w:ind w:firstLine="640" w:firstLineChars="200"/>
        <w:rPr>
          <w:rFonts w:ascii="仿宋" w:hAnsi="仿宋" w:eastAsia="仿宋" w:cs="Times New Roman"/>
          <w:bCs/>
          <w:kern w:val="0"/>
          <w:sz w:val="32"/>
          <w:szCs w:val="32"/>
        </w:rPr>
      </w:pPr>
      <w:r>
        <w:rPr>
          <w:rFonts w:hint="eastAsia" w:ascii="仿宋" w:hAnsi="仿宋" w:eastAsia="仿宋" w:cs="Times New Roman"/>
          <w:bCs/>
          <w:kern w:val="0"/>
          <w:sz w:val="32"/>
          <w:szCs w:val="32"/>
        </w:rPr>
        <w:t>（一）内设机构设置。湖南省文化和旅游厅（原湖南省旅游发展委员会）内设机构包括：</w:t>
      </w:r>
      <w:r>
        <w:rPr>
          <w:rFonts w:hint="eastAsia" w:ascii="仿宋" w:hAnsi="仿宋" w:eastAsia="仿宋"/>
          <w:sz w:val="32"/>
          <w:szCs w:val="32"/>
        </w:rPr>
        <w:t>内设7个职能处（室），即：办公室、政策法规处、市场开发处、行业管理处、规划财务处、产业发展处、人事教育处。所属4个事业单位，即：湖南省旅游质量服务中心、信息中心、导游服务中心、招待所。其中：湖南省旅游质量服务中心、信息中心为公益一类事业单位，导游服务中心为公益二类事业单位，招待所为经营类事业单位。</w:t>
      </w:r>
    </w:p>
    <w:p>
      <w:pPr>
        <w:widowControl/>
        <w:adjustRightInd w:val="0"/>
        <w:snapToGrid w:val="0"/>
        <w:spacing w:line="360" w:lineRule="auto"/>
        <w:ind w:firstLine="640" w:firstLineChars="200"/>
        <w:rPr>
          <w:rFonts w:ascii="仿宋" w:hAnsi="仿宋" w:eastAsia="仿宋" w:cs="Times New Roman"/>
          <w:bCs/>
          <w:kern w:val="0"/>
          <w:sz w:val="32"/>
          <w:szCs w:val="32"/>
        </w:rPr>
      </w:pPr>
      <w:r>
        <w:rPr>
          <w:rFonts w:hint="eastAsia" w:ascii="仿宋" w:hAnsi="仿宋" w:eastAsia="仿宋" w:cs="Times New Roman"/>
          <w:bCs/>
          <w:kern w:val="0"/>
          <w:sz w:val="32"/>
          <w:szCs w:val="32"/>
        </w:rPr>
        <w:t>（二）决算单位构成。湖南省文化和旅游厅（原湖南省旅游发展委员会）2018年部门决算汇总公开单位构成包括：湖南省文化和旅游厅（原湖南省旅游发展委员会）本级以及信息中心。</w:t>
      </w:r>
    </w:p>
    <w:p>
      <w:pPr>
        <w:widowControl/>
        <w:adjustRightInd w:val="0"/>
        <w:snapToGrid w:val="0"/>
        <w:spacing w:line="360" w:lineRule="auto"/>
        <w:ind w:firstLine="640" w:firstLineChars="200"/>
        <w:rPr>
          <w:rFonts w:ascii="仿宋" w:hAnsi="仿宋" w:eastAsia="仿宋" w:cs="Times New Roman"/>
          <w:bCs/>
          <w:kern w:val="0"/>
          <w:sz w:val="32"/>
          <w:szCs w:val="32"/>
        </w:rPr>
      </w:pPr>
    </w:p>
    <w:p>
      <w:pPr>
        <w:widowControl/>
        <w:adjustRightInd w:val="0"/>
        <w:snapToGrid w:val="0"/>
        <w:spacing w:line="360" w:lineRule="auto"/>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 xml:space="preserve">第二部分  </w:t>
      </w:r>
      <w:r>
        <w:rPr>
          <w:rFonts w:hint="eastAsia" w:ascii="Times New Roman" w:hAnsi="Times New Roman" w:eastAsia="黑体" w:cs="Times New Roman"/>
          <w:bCs/>
          <w:kern w:val="0"/>
          <w:sz w:val="32"/>
          <w:szCs w:val="32"/>
        </w:rPr>
        <w:t>湖南省文化和旅游厅（原湖南省旅游发展委员会）</w:t>
      </w:r>
      <w:r>
        <w:rPr>
          <w:rFonts w:ascii="Times New Roman" w:hAnsi="Times New Roman" w:eastAsia="黑体" w:cs="Times New Roman"/>
          <w:bCs/>
          <w:kern w:val="0"/>
          <w:sz w:val="32"/>
          <w:szCs w:val="32"/>
        </w:rPr>
        <w:t>201</w:t>
      </w:r>
      <w:r>
        <w:rPr>
          <w:rFonts w:hint="eastAsia" w:ascii="Times New Roman" w:hAnsi="Times New Roman" w:eastAsia="黑体" w:cs="Times New Roman"/>
          <w:bCs/>
          <w:kern w:val="0"/>
          <w:sz w:val="32"/>
          <w:szCs w:val="32"/>
        </w:rPr>
        <w:t>8</w:t>
      </w:r>
      <w:r>
        <w:rPr>
          <w:rFonts w:ascii="Times New Roman" w:hAnsi="Times New Roman" w:eastAsia="黑体" w:cs="Times New Roman"/>
          <w:bCs/>
          <w:kern w:val="0"/>
          <w:sz w:val="32"/>
          <w:szCs w:val="32"/>
        </w:rPr>
        <w:t>年度部门决算表</w:t>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一、收入支出决算总表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6638925" cy="5154295"/>
            <wp:effectExtent l="19050" t="0" r="9525" b="0"/>
            <wp:docPr id="1" name="图片 1" descr="E:\工作\2019年工作\财务\2018年决算\公开\公开\附表\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2019年工作\财务\2018年决算\公开\公开\附表\表1.jpg"/>
                    <pic:cNvPicPr>
                      <a:picLocks noChangeAspect="1" noChangeArrowheads="1"/>
                    </pic:cNvPicPr>
                  </pic:nvPicPr>
                  <pic:blipFill>
                    <a:blip r:embed="rId10" cstate="print"/>
                    <a:srcRect/>
                    <a:stretch>
                      <a:fillRect/>
                    </a:stretch>
                  </pic:blipFill>
                  <pic:spPr>
                    <a:xfrm>
                      <a:off x="0" y="0"/>
                      <a:ext cx="6638925" cy="5154571"/>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二、收入决算表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5962650" cy="4223385"/>
            <wp:effectExtent l="19050" t="0" r="0" b="0"/>
            <wp:docPr id="2" name="图片 2" descr="E:\工作\2019年工作\财务\2018年决算\公开\公开\附表\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2019年工作\财务\2018年决算\公开\公开\附表\表2.jpg"/>
                    <pic:cNvPicPr>
                      <a:picLocks noChangeAspect="1" noChangeArrowheads="1"/>
                    </pic:cNvPicPr>
                  </pic:nvPicPr>
                  <pic:blipFill>
                    <a:blip r:embed="rId11" cstate="print"/>
                    <a:srcRect/>
                    <a:stretch>
                      <a:fillRect/>
                    </a:stretch>
                  </pic:blipFill>
                  <pic:spPr>
                    <a:xfrm>
                      <a:off x="0" y="0"/>
                      <a:ext cx="5970678" cy="4229230"/>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三、支出决算表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5715000" cy="4044315"/>
            <wp:effectExtent l="19050" t="0" r="0" b="0"/>
            <wp:docPr id="3" name="图片 3" descr="E:\工作\2019年工作\财务\2018年决算\公开\公开\附表\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2019年工作\财务\2018年决算\公开\公开\附表\表3.jpg"/>
                    <pic:cNvPicPr>
                      <a:picLocks noChangeAspect="1" noChangeArrowheads="1"/>
                    </pic:cNvPicPr>
                  </pic:nvPicPr>
                  <pic:blipFill>
                    <a:blip r:embed="rId12" cstate="print"/>
                    <a:srcRect/>
                    <a:stretch>
                      <a:fillRect/>
                    </a:stretch>
                  </pic:blipFill>
                  <pic:spPr>
                    <a:xfrm>
                      <a:off x="0" y="0"/>
                      <a:ext cx="5717506" cy="4046312"/>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四、财政拨款收入支出决算总表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5619750" cy="3973195"/>
            <wp:effectExtent l="19050" t="0" r="0" b="0"/>
            <wp:docPr id="4" name="图片 4" descr="E:\工作\2019年工作\财务\2018年决算\公开\公开\附表\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2019年工作\财务\2018年决算\公开\公开\附表\表4.jpg"/>
                    <pic:cNvPicPr>
                      <a:picLocks noChangeAspect="1" noChangeArrowheads="1"/>
                    </pic:cNvPicPr>
                  </pic:nvPicPr>
                  <pic:blipFill>
                    <a:blip r:embed="rId13" cstate="print"/>
                    <a:srcRect/>
                    <a:stretch>
                      <a:fillRect/>
                    </a:stretch>
                  </pic:blipFill>
                  <pic:spPr>
                    <a:xfrm>
                      <a:off x="0" y="0"/>
                      <a:ext cx="5621205" cy="3974640"/>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五、一般公共预算财政拨款支出决算表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5572125" cy="3943350"/>
            <wp:effectExtent l="19050" t="0" r="9525" b="0"/>
            <wp:docPr id="5" name="图片 5" descr="E:\工作\2019年工作\财务\2018年决算\公开\公开\附表\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2019年工作\财务\2018年决算\公开\公开\附表\表5.jpg"/>
                    <pic:cNvPicPr>
                      <a:picLocks noChangeAspect="1" noChangeArrowheads="1"/>
                    </pic:cNvPicPr>
                  </pic:nvPicPr>
                  <pic:blipFill>
                    <a:blip r:embed="rId14" cstate="print"/>
                    <a:srcRect/>
                    <a:stretch>
                      <a:fillRect/>
                    </a:stretch>
                  </pic:blipFill>
                  <pic:spPr>
                    <a:xfrm>
                      <a:off x="0" y="0"/>
                      <a:ext cx="5575757" cy="3945996"/>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六、一般公共预算财政拨款基本支出决算表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6076950" cy="4311650"/>
            <wp:effectExtent l="19050" t="0" r="0" b="0"/>
            <wp:docPr id="6" name="图片 6" descr="E:\工作\2019年工作\财务\2018年决算\公开\公开\附表\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2019年工作\财务\2018年决算\公开\公开\附表\表6.jpg"/>
                    <pic:cNvPicPr>
                      <a:picLocks noChangeAspect="1" noChangeArrowheads="1"/>
                    </pic:cNvPicPr>
                  </pic:nvPicPr>
                  <pic:blipFill>
                    <a:blip r:embed="rId15" cstate="print"/>
                    <a:srcRect/>
                    <a:stretch>
                      <a:fillRect/>
                    </a:stretch>
                  </pic:blipFill>
                  <pic:spPr>
                    <a:xfrm>
                      <a:off x="0" y="0"/>
                      <a:ext cx="6077546" cy="4312575"/>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仿宋" w:hAnsi="仿宋" w:eastAsia="仿宋" w:cs="Times New Roman"/>
          <w:b/>
          <w:bCs/>
          <w:kern w:val="0"/>
          <w:sz w:val="32"/>
          <w:szCs w:val="32"/>
        </w:rPr>
      </w:pPr>
      <w:r>
        <w:rPr>
          <w:rFonts w:ascii="仿宋" w:hAnsi="仿宋" w:eastAsia="仿宋" w:cs="Times New Roman"/>
          <w:b/>
          <w:bCs/>
          <w:kern w:val="0"/>
          <w:sz w:val="32"/>
          <w:szCs w:val="32"/>
        </w:rPr>
        <w:t>七、一般公共预算财政拨款“三公”经费支出决算表</w:t>
      </w:r>
    </w:p>
    <w:p>
      <w:pPr>
        <w:widowControl/>
        <w:adjustRightInd w:val="0"/>
        <w:snapToGrid w:val="0"/>
        <w:spacing w:line="360" w:lineRule="auto"/>
        <w:rPr>
          <w:rFonts w:ascii="仿宋" w:hAnsi="仿宋" w:eastAsia="仿宋" w:cs="Times New Roman"/>
          <w:bCs/>
          <w:kern w:val="0"/>
          <w:sz w:val="32"/>
          <w:szCs w:val="32"/>
        </w:rPr>
      </w:pPr>
      <w:r>
        <w:rPr>
          <w:rFonts w:ascii="仿宋" w:hAnsi="仿宋" w:eastAsia="仿宋" w:cs="Times New Roman"/>
          <w:bCs/>
          <w:kern w:val="0"/>
          <w:sz w:val="32"/>
          <w:szCs w:val="32"/>
        </w:rPr>
        <w:drawing>
          <wp:inline distT="0" distB="0" distL="0" distR="0">
            <wp:extent cx="6188075" cy="3571875"/>
            <wp:effectExtent l="19050" t="0" r="3148" b="0"/>
            <wp:docPr id="7" name="图片 7" descr="E:\工作\2019年工作\财务\2018年决算\公开\公开\附表\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工作\2019年工作\财务\2018年决算\公开\公开\附表\表7.jpg"/>
                    <pic:cNvPicPr>
                      <a:picLocks noChangeAspect="1" noChangeArrowheads="1"/>
                    </pic:cNvPicPr>
                  </pic:nvPicPr>
                  <pic:blipFill>
                    <a:blip r:embed="rId16" cstate="print"/>
                    <a:srcRect/>
                    <a:stretch>
                      <a:fillRect/>
                    </a:stretch>
                  </pic:blipFill>
                  <pic:spPr>
                    <a:xfrm>
                      <a:off x="0" y="0"/>
                      <a:ext cx="6188710" cy="3572226"/>
                    </a:xfrm>
                    <a:prstGeom prst="rect">
                      <a:avLst/>
                    </a:prstGeom>
                    <a:noFill/>
                    <a:ln w="9525">
                      <a:noFill/>
                      <a:miter lim="800000"/>
                      <a:headEnd/>
                      <a:tailEnd/>
                    </a:ln>
                  </pic:spPr>
                </pic:pic>
              </a:graphicData>
            </a:graphic>
          </wp:inline>
        </w:drawing>
      </w:r>
    </w:p>
    <w:p>
      <w:pPr>
        <w:widowControl/>
        <w:adjustRightInd w:val="0"/>
        <w:snapToGrid w:val="0"/>
        <w:spacing w:line="360" w:lineRule="auto"/>
        <w:rPr>
          <w:rFonts w:ascii="华文中宋" w:hAnsi="华文中宋" w:eastAsia="方正小标宋_GBK" w:cs="宋体"/>
          <w:b/>
          <w:color w:val="000000"/>
          <w:kern w:val="0"/>
          <w:sz w:val="36"/>
          <w:szCs w:val="36"/>
        </w:rPr>
      </w:pPr>
      <w:r>
        <w:rPr>
          <w:rFonts w:ascii="仿宋" w:hAnsi="仿宋" w:eastAsia="仿宋" w:cs="Times New Roman"/>
          <w:b/>
          <w:bCs/>
          <w:kern w:val="0"/>
          <w:sz w:val="32"/>
          <w:szCs w:val="32"/>
        </w:rPr>
        <w:t>八、政府性基金预算财政拨款收入支出决算表</w:t>
      </w:r>
    </w:p>
    <w:p>
      <w:pPr>
        <w:widowControl/>
        <w:rPr>
          <w:rFonts w:ascii="华文中宋" w:hAnsi="华文中宋" w:eastAsia="方正小标宋_GBK" w:cs="宋体"/>
          <w:color w:val="000000"/>
          <w:kern w:val="0"/>
          <w:sz w:val="36"/>
          <w:szCs w:val="36"/>
        </w:rPr>
      </w:pPr>
      <w:r>
        <w:rPr>
          <w:rFonts w:ascii="华文中宋" w:hAnsi="华文中宋" w:eastAsia="方正小标宋_GBK" w:cs="宋体"/>
          <w:color w:val="000000"/>
          <w:kern w:val="0"/>
          <w:sz w:val="36"/>
          <w:szCs w:val="36"/>
        </w:rPr>
        <w:drawing>
          <wp:inline distT="0" distB="0" distL="0" distR="0">
            <wp:extent cx="6188710" cy="4383405"/>
            <wp:effectExtent l="19050" t="0" r="2540" b="0"/>
            <wp:docPr id="8" name="图片 8" descr="E:\工作\2019年工作\财务\2018年决算\公开\公开\附表\表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2019年工作\财务\2018年决算\公开\公开\附表\表8.jpg"/>
                    <pic:cNvPicPr>
                      <a:picLocks noChangeAspect="1" noChangeArrowheads="1"/>
                    </pic:cNvPicPr>
                  </pic:nvPicPr>
                  <pic:blipFill>
                    <a:blip r:embed="rId17" cstate="print"/>
                    <a:srcRect/>
                    <a:stretch>
                      <a:fillRect/>
                    </a:stretch>
                  </pic:blipFill>
                  <pic:spPr>
                    <a:xfrm>
                      <a:off x="0" y="0"/>
                      <a:ext cx="6188710" cy="4383670"/>
                    </a:xfrm>
                    <a:prstGeom prst="rect">
                      <a:avLst/>
                    </a:prstGeom>
                    <a:noFill/>
                    <a:ln w="9525">
                      <a:noFill/>
                      <a:miter lim="800000"/>
                      <a:headEnd/>
                      <a:tailEnd/>
                    </a:ln>
                  </pic:spPr>
                </pic:pic>
              </a:graphicData>
            </a:graphic>
          </wp:inline>
        </w:drawing>
      </w:r>
    </w:p>
    <w:p>
      <w:pPr>
        <w:widowControl/>
        <w:spacing w:line="600" w:lineRule="exact"/>
        <w:rPr>
          <w:rFonts w:ascii="华文中宋" w:hAnsi="华文中宋" w:eastAsia="方正小标宋_GBK" w:cs="宋体"/>
          <w:color w:val="000000"/>
          <w:kern w:val="0"/>
          <w:sz w:val="36"/>
          <w:szCs w:val="36"/>
        </w:rPr>
      </w:pPr>
    </w:p>
    <w:p>
      <w:pPr>
        <w:widowControl/>
        <w:adjustRightInd w:val="0"/>
        <w:snapToGrid w:val="0"/>
        <w:spacing w:line="360" w:lineRule="auto"/>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 xml:space="preserve">第三部分  </w:t>
      </w:r>
      <w:r>
        <w:rPr>
          <w:rFonts w:hint="eastAsia" w:ascii="Times New Roman" w:hAnsi="Times New Roman" w:eastAsia="黑体" w:cs="Times New Roman"/>
          <w:bCs/>
          <w:kern w:val="0"/>
          <w:sz w:val="32"/>
          <w:szCs w:val="32"/>
        </w:rPr>
        <w:t>湖南省文化和旅游厅（原湖南省旅游发展委员会）</w:t>
      </w:r>
      <w:r>
        <w:rPr>
          <w:rFonts w:ascii="Times New Roman" w:hAnsi="Times New Roman" w:eastAsia="黑体" w:cs="Times New Roman"/>
          <w:bCs/>
          <w:spacing w:val="-10"/>
          <w:kern w:val="0"/>
          <w:sz w:val="32"/>
          <w:szCs w:val="32"/>
        </w:rPr>
        <w:t>201</w:t>
      </w:r>
      <w:r>
        <w:rPr>
          <w:rFonts w:hint="eastAsia" w:ascii="Times New Roman" w:hAnsi="Times New Roman" w:eastAsia="黑体" w:cs="Times New Roman"/>
          <w:bCs/>
          <w:spacing w:val="-10"/>
          <w:kern w:val="0"/>
          <w:sz w:val="32"/>
          <w:szCs w:val="32"/>
        </w:rPr>
        <w:t>8</w:t>
      </w:r>
      <w:r>
        <w:rPr>
          <w:rFonts w:ascii="Times New Roman" w:hAnsi="Times New Roman" w:eastAsia="黑体" w:cs="Times New Roman"/>
          <w:bCs/>
          <w:spacing w:val="-10"/>
          <w:kern w:val="0"/>
          <w:sz w:val="32"/>
          <w:szCs w:val="32"/>
        </w:rPr>
        <w:t>年度部门决算情况说明</w:t>
      </w:r>
    </w:p>
    <w:p>
      <w:pPr>
        <w:widowControl/>
        <w:adjustRightInd w:val="0"/>
        <w:snapToGrid w:val="0"/>
        <w:spacing w:line="360" w:lineRule="auto"/>
        <w:ind w:firstLine="643" w:firstLineChars="200"/>
        <w:rPr>
          <w:rFonts w:ascii="仿宋" w:hAnsi="仿宋" w:eastAsia="仿宋" w:cs="Times New Roman"/>
          <w:b/>
          <w:bCs/>
          <w:kern w:val="0"/>
          <w:sz w:val="32"/>
          <w:szCs w:val="32"/>
        </w:rPr>
      </w:pPr>
      <w:r>
        <w:rPr>
          <w:rFonts w:ascii="仿宋" w:hAnsi="仿宋" w:eastAsia="仿宋" w:cs="Times New Roman"/>
          <w:b/>
          <w:kern w:val="0"/>
          <w:sz w:val="32"/>
          <w:szCs w:val="32"/>
        </w:rPr>
        <w:t>一、收入支出决算总体情况说明</w:t>
      </w:r>
    </w:p>
    <w:p>
      <w:pPr>
        <w:widowControl/>
        <w:adjustRightInd w:val="0"/>
        <w:snapToGrid w:val="0"/>
        <w:spacing w:line="360" w:lineRule="auto"/>
        <w:ind w:firstLine="640" w:firstLineChars="200"/>
        <w:rPr>
          <w:rFonts w:ascii="仿宋" w:hAnsi="仿宋" w:eastAsia="仿宋" w:cs="Times New Roman"/>
          <w:b/>
          <w:bCs/>
          <w:kern w:val="0"/>
          <w:sz w:val="32"/>
          <w:szCs w:val="32"/>
        </w:rPr>
      </w:pPr>
      <w:r>
        <w:rPr>
          <w:rFonts w:hint="eastAsia" w:ascii="仿宋" w:hAnsi="仿宋" w:eastAsia="仿宋"/>
          <w:kern w:val="0"/>
          <w:sz w:val="32"/>
          <w:szCs w:val="32"/>
        </w:rPr>
        <w:t>2018年度收入（支出）合计18060.53万元（含年初结转，详见公开01表），较上年决算数14471.33万元增加3589.20万元，主要增加原因为省财政年中追加安排的中央电视台投放湖南旅游形象宣传广告费、</w:t>
      </w:r>
      <w:r>
        <w:rPr>
          <w:rFonts w:hint="eastAsia" w:ascii="仿宋" w:hAnsi="仿宋" w:eastAsia="仿宋"/>
          <w:sz w:val="32"/>
          <w:szCs w:val="32"/>
        </w:rPr>
        <w:t>湘西开发专项资金等</w:t>
      </w:r>
      <w:r>
        <w:rPr>
          <w:rFonts w:hint="eastAsia" w:ascii="仿宋" w:hAnsi="仿宋" w:eastAsia="仿宋"/>
          <w:kern w:val="0"/>
          <w:sz w:val="32"/>
          <w:szCs w:val="32"/>
        </w:rPr>
        <w:t>项目资金较上年有所增加。</w:t>
      </w:r>
    </w:p>
    <w:p>
      <w:pPr>
        <w:widowControl/>
        <w:adjustRightInd w:val="0"/>
        <w:snapToGrid w:val="0"/>
        <w:spacing w:line="360" w:lineRule="auto"/>
        <w:ind w:firstLine="643" w:firstLineChars="200"/>
        <w:rPr>
          <w:rFonts w:ascii="仿宋" w:hAnsi="仿宋" w:eastAsia="仿宋" w:cs="Times New Roman"/>
          <w:b/>
          <w:bCs/>
          <w:kern w:val="0"/>
          <w:sz w:val="32"/>
          <w:szCs w:val="32"/>
        </w:rPr>
      </w:pPr>
      <w:r>
        <w:rPr>
          <w:rFonts w:ascii="仿宋" w:hAnsi="仿宋" w:eastAsia="仿宋" w:cs="Times New Roman"/>
          <w:b/>
          <w:kern w:val="0"/>
          <w:sz w:val="32"/>
          <w:szCs w:val="32"/>
        </w:rPr>
        <w:t>二、收入决算情况说明</w:t>
      </w:r>
    </w:p>
    <w:p>
      <w:pPr>
        <w:widowControl/>
        <w:adjustRightInd w:val="0"/>
        <w:snapToGrid w:val="0"/>
        <w:spacing w:line="360" w:lineRule="auto"/>
        <w:ind w:firstLine="627" w:firstLineChars="196"/>
        <w:jc w:val="left"/>
        <w:rPr>
          <w:rFonts w:ascii="仿宋" w:hAnsi="仿宋" w:eastAsia="仿宋" w:cs="Times New Roman"/>
          <w:kern w:val="0"/>
          <w:sz w:val="32"/>
          <w:szCs w:val="32"/>
        </w:rPr>
      </w:pPr>
      <w:r>
        <w:rPr>
          <w:rFonts w:hint="eastAsia" w:ascii="仿宋" w:hAnsi="仿宋" w:eastAsia="仿宋" w:cs="Times New Roman"/>
          <w:kern w:val="0"/>
          <w:sz w:val="32"/>
          <w:szCs w:val="32"/>
        </w:rPr>
        <w:t>本年收入合计</w:t>
      </w:r>
      <w:r>
        <w:rPr>
          <w:rFonts w:hint="eastAsia" w:ascii="仿宋" w:hAnsi="仿宋" w:eastAsia="仿宋"/>
          <w:kern w:val="0"/>
          <w:sz w:val="32"/>
          <w:szCs w:val="32"/>
        </w:rPr>
        <w:t>16292.24</w:t>
      </w:r>
      <w:r>
        <w:rPr>
          <w:rFonts w:hint="eastAsia" w:ascii="仿宋" w:hAnsi="仿宋" w:eastAsia="仿宋" w:cs="Times New Roman"/>
          <w:kern w:val="0"/>
          <w:sz w:val="32"/>
          <w:szCs w:val="32"/>
        </w:rPr>
        <w:t>万元，其中：财政拨款收入</w:t>
      </w:r>
      <w:r>
        <w:rPr>
          <w:rFonts w:hint="eastAsia" w:ascii="仿宋" w:hAnsi="仿宋" w:eastAsia="仿宋"/>
          <w:kern w:val="0"/>
          <w:sz w:val="32"/>
          <w:szCs w:val="32"/>
        </w:rPr>
        <w:t>16291.68</w:t>
      </w:r>
      <w:r>
        <w:rPr>
          <w:rFonts w:hint="eastAsia" w:ascii="仿宋" w:hAnsi="仿宋" w:eastAsia="仿宋" w:cs="Times New Roman"/>
          <w:kern w:val="0"/>
          <w:sz w:val="32"/>
          <w:szCs w:val="32"/>
        </w:rPr>
        <w:t>万元，占比99.99%；其他收入</w:t>
      </w:r>
      <w:r>
        <w:rPr>
          <w:rFonts w:hint="eastAsia" w:ascii="仿宋" w:hAnsi="仿宋" w:eastAsia="仿宋" w:cs="Times New Roman"/>
          <w:spacing w:val="6"/>
          <w:sz w:val="32"/>
          <w:szCs w:val="32"/>
        </w:rPr>
        <w:t>（利息收入）</w:t>
      </w:r>
      <w:r>
        <w:rPr>
          <w:rFonts w:hint="eastAsia" w:ascii="仿宋" w:hAnsi="仿宋" w:eastAsia="仿宋" w:cs="Times New Roman"/>
          <w:kern w:val="0"/>
          <w:sz w:val="32"/>
          <w:szCs w:val="32"/>
        </w:rPr>
        <w:t>0.</w:t>
      </w:r>
      <w:r>
        <w:rPr>
          <w:rFonts w:hint="eastAsia" w:ascii="仿宋" w:hAnsi="仿宋" w:eastAsia="仿宋"/>
          <w:kern w:val="0"/>
          <w:sz w:val="32"/>
          <w:szCs w:val="32"/>
        </w:rPr>
        <w:t>56</w:t>
      </w:r>
      <w:r>
        <w:rPr>
          <w:rFonts w:hint="eastAsia" w:ascii="仿宋" w:hAnsi="仿宋" w:eastAsia="仿宋" w:cs="Times New Roman"/>
          <w:kern w:val="0"/>
          <w:sz w:val="32"/>
          <w:szCs w:val="32"/>
        </w:rPr>
        <w:t>万元，占比0.01%(详见公开02表)。</w:t>
      </w:r>
    </w:p>
    <w:p>
      <w:pPr>
        <w:widowControl/>
        <w:adjustRightInd w:val="0"/>
        <w:snapToGrid w:val="0"/>
        <w:spacing w:line="360" w:lineRule="auto"/>
        <w:ind w:firstLine="630" w:firstLineChars="196"/>
        <w:jc w:val="left"/>
        <w:rPr>
          <w:rFonts w:ascii="仿宋" w:hAnsi="仿宋" w:eastAsia="仿宋" w:cs="Times New Roman"/>
          <w:b/>
          <w:kern w:val="0"/>
          <w:sz w:val="32"/>
          <w:szCs w:val="32"/>
        </w:rPr>
      </w:pPr>
      <w:r>
        <w:rPr>
          <w:rFonts w:hint="eastAsia" w:ascii="仿宋" w:hAnsi="仿宋" w:eastAsia="仿宋" w:cs="Times New Roman"/>
          <w:b/>
          <w:kern w:val="0"/>
          <w:sz w:val="32"/>
          <w:szCs w:val="32"/>
        </w:rPr>
        <w:t>三、支出决算情况说明</w:t>
      </w:r>
    </w:p>
    <w:p>
      <w:pPr>
        <w:widowControl/>
        <w:adjustRightInd w:val="0"/>
        <w:snapToGrid w:val="0"/>
        <w:spacing w:line="360" w:lineRule="auto"/>
        <w:ind w:firstLine="627" w:firstLineChars="196"/>
        <w:jc w:val="left"/>
        <w:rPr>
          <w:rFonts w:ascii="仿宋" w:hAnsi="仿宋" w:eastAsia="仿宋" w:cs="Times New Roman"/>
          <w:kern w:val="0"/>
          <w:sz w:val="32"/>
          <w:szCs w:val="32"/>
        </w:rPr>
      </w:pPr>
      <w:r>
        <w:rPr>
          <w:rFonts w:hint="eastAsia" w:ascii="仿宋" w:hAnsi="仿宋" w:eastAsia="仿宋" w:cs="Times New Roman"/>
          <w:kern w:val="0"/>
          <w:sz w:val="32"/>
          <w:szCs w:val="32"/>
        </w:rPr>
        <w:t>本年支出合计</w:t>
      </w:r>
      <w:r>
        <w:rPr>
          <w:rFonts w:hint="eastAsia" w:ascii="仿宋" w:hAnsi="仿宋" w:eastAsia="仿宋"/>
          <w:kern w:val="0"/>
          <w:sz w:val="32"/>
          <w:szCs w:val="32"/>
        </w:rPr>
        <w:t>15250.92</w:t>
      </w:r>
      <w:r>
        <w:rPr>
          <w:rFonts w:hint="eastAsia" w:ascii="仿宋" w:hAnsi="仿宋" w:eastAsia="仿宋" w:cs="Times New Roman"/>
          <w:kern w:val="0"/>
          <w:sz w:val="32"/>
          <w:szCs w:val="32"/>
        </w:rPr>
        <w:t>万元，其中：基本支出</w:t>
      </w:r>
      <w:r>
        <w:rPr>
          <w:rFonts w:hint="eastAsia" w:ascii="仿宋" w:hAnsi="仿宋" w:eastAsia="仿宋"/>
          <w:kern w:val="0"/>
          <w:sz w:val="32"/>
          <w:szCs w:val="32"/>
        </w:rPr>
        <w:t>2145.14</w:t>
      </w:r>
      <w:r>
        <w:rPr>
          <w:rFonts w:hint="eastAsia" w:ascii="仿宋" w:hAnsi="仿宋" w:eastAsia="仿宋" w:cs="Times New Roman"/>
          <w:kern w:val="0"/>
          <w:sz w:val="32"/>
          <w:szCs w:val="32"/>
        </w:rPr>
        <w:t>万元，占比</w:t>
      </w:r>
      <w:r>
        <w:rPr>
          <w:rFonts w:hint="eastAsia" w:ascii="仿宋" w:hAnsi="仿宋" w:eastAsia="仿宋"/>
          <w:kern w:val="0"/>
          <w:sz w:val="32"/>
          <w:szCs w:val="32"/>
        </w:rPr>
        <w:t>14.07</w:t>
      </w:r>
      <w:r>
        <w:rPr>
          <w:rFonts w:hint="eastAsia" w:ascii="仿宋" w:hAnsi="仿宋" w:eastAsia="仿宋" w:cs="Times New Roman"/>
          <w:kern w:val="0"/>
          <w:sz w:val="32"/>
          <w:szCs w:val="32"/>
        </w:rPr>
        <w:t>%；项目支出</w:t>
      </w:r>
      <w:r>
        <w:rPr>
          <w:rFonts w:hint="eastAsia" w:ascii="仿宋" w:hAnsi="仿宋" w:eastAsia="仿宋"/>
          <w:kern w:val="0"/>
          <w:sz w:val="32"/>
          <w:szCs w:val="32"/>
        </w:rPr>
        <w:t>13105.78</w:t>
      </w:r>
      <w:r>
        <w:rPr>
          <w:rFonts w:hint="eastAsia" w:ascii="仿宋" w:hAnsi="仿宋" w:eastAsia="仿宋" w:cs="Times New Roman"/>
          <w:kern w:val="0"/>
          <w:sz w:val="32"/>
          <w:szCs w:val="32"/>
        </w:rPr>
        <w:t>万元，占比</w:t>
      </w:r>
      <w:r>
        <w:rPr>
          <w:rFonts w:hint="eastAsia" w:ascii="仿宋" w:hAnsi="仿宋" w:eastAsia="仿宋"/>
          <w:kern w:val="0"/>
          <w:sz w:val="32"/>
          <w:szCs w:val="32"/>
        </w:rPr>
        <w:t>85.93</w:t>
      </w:r>
      <w:r>
        <w:rPr>
          <w:rFonts w:hint="eastAsia" w:ascii="仿宋" w:hAnsi="仿宋" w:eastAsia="仿宋" w:cs="Times New Roman"/>
          <w:kern w:val="0"/>
          <w:sz w:val="32"/>
          <w:szCs w:val="32"/>
        </w:rPr>
        <w:t>% (详见公开03表)。</w:t>
      </w:r>
    </w:p>
    <w:p>
      <w:pPr>
        <w:widowControl/>
        <w:adjustRightInd w:val="0"/>
        <w:snapToGrid w:val="0"/>
        <w:spacing w:line="360" w:lineRule="auto"/>
        <w:ind w:firstLine="630" w:firstLineChars="196"/>
        <w:jc w:val="left"/>
        <w:rPr>
          <w:rFonts w:ascii="仿宋" w:hAnsi="仿宋" w:eastAsia="仿宋" w:cs="Times New Roman"/>
          <w:b/>
          <w:kern w:val="0"/>
          <w:sz w:val="32"/>
          <w:szCs w:val="32"/>
        </w:rPr>
      </w:pPr>
      <w:r>
        <w:rPr>
          <w:rFonts w:hint="eastAsia" w:ascii="仿宋" w:hAnsi="仿宋" w:eastAsia="仿宋" w:cs="Times New Roman"/>
          <w:b/>
          <w:kern w:val="0"/>
          <w:sz w:val="32"/>
          <w:szCs w:val="32"/>
        </w:rPr>
        <w:t>四、财政拨款收入支出决算总体情况说明</w:t>
      </w:r>
    </w:p>
    <w:p>
      <w:pPr>
        <w:widowControl/>
        <w:adjustRightInd w:val="0"/>
        <w:snapToGrid w:val="0"/>
        <w:spacing w:line="360" w:lineRule="auto"/>
        <w:ind w:firstLine="627" w:firstLineChars="196"/>
        <w:jc w:val="left"/>
        <w:rPr>
          <w:rFonts w:ascii="仿宋" w:hAnsi="仿宋" w:eastAsia="仿宋" w:cs="Times New Roman"/>
          <w:kern w:val="0"/>
          <w:sz w:val="32"/>
          <w:szCs w:val="32"/>
        </w:rPr>
      </w:pPr>
      <w:r>
        <w:rPr>
          <w:rFonts w:hint="eastAsia" w:ascii="仿宋" w:hAnsi="仿宋" w:eastAsia="仿宋" w:cs="Times New Roman"/>
          <w:kern w:val="0"/>
          <w:sz w:val="32"/>
          <w:szCs w:val="32"/>
        </w:rPr>
        <w:t>201</w:t>
      </w:r>
      <w:r>
        <w:rPr>
          <w:rFonts w:hint="eastAsia" w:ascii="仿宋" w:hAnsi="仿宋" w:eastAsia="仿宋"/>
          <w:kern w:val="0"/>
          <w:sz w:val="32"/>
          <w:szCs w:val="32"/>
        </w:rPr>
        <w:t>8</w:t>
      </w:r>
      <w:r>
        <w:rPr>
          <w:rFonts w:hint="eastAsia" w:ascii="仿宋" w:hAnsi="仿宋" w:eastAsia="仿宋" w:cs="Times New Roman"/>
          <w:kern w:val="0"/>
          <w:sz w:val="32"/>
          <w:szCs w:val="32"/>
        </w:rPr>
        <w:t>年度财政拨款收入（支出）合计</w:t>
      </w:r>
      <w:r>
        <w:rPr>
          <w:rFonts w:hint="eastAsia" w:ascii="仿宋" w:hAnsi="仿宋" w:eastAsia="仿宋"/>
          <w:kern w:val="0"/>
          <w:sz w:val="32"/>
          <w:szCs w:val="32"/>
        </w:rPr>
        <w:t>18044.30</w:t>
      </w:r>
      <w:r>
        <w:rPr>
          <w:rFonts w:hint="eastAsia" w:ascii="仿宋" w:hAnsi="仿宋" w:eastAsia="仿宋" w:cs="Times New Roman"/>
          <w:kern w:val="0"/>
          <w:sz w:val="32"/>
          <w:szCs w:val="32"/>
        </w:rPr>
        <w:t>万元（含年初结转，详见公开04表），较上年决算数14455.02万元增加</w:t>
      </w:r>
      <w:r>
        <w:rPr>
          <w:rFonts w:hint="eastAsia" w:ascii="仿宋" w:hAnsi="仿宋" w:eastAsia="仿宋"/>
          <w:kern w:val="0"/>
          <w:sz w:val="32"/>
          <w:szCs w:val="32"/>
        </w:rPr>
        <w:t>3589.28</w:t>
      </w:r>
      <w:r>
        <w:rPr>
          <w:rFonts w:hint="eastAsia" w:ascii="仿宋" w:hAnsi="仿宋" w:eastAsia="仿宋" w:cs="Times New Roman"/>
          <w:kern w:val="0"/>
          <w:sz w:val="32"/>
          <w:szCs w:val="32"/>
        </w:rPr>
        <w:t>万元，</w:t>
      </w:r>
      <w:r>
        <w:rPr>
          <w:rFonts w:hint="eastAsia" w:ascii="仿宋" w:hAnsi="仿宋" w:eastAsia="仿宋"/>
          <w:kern w:val="0"/>
          <w:sz w:val="32"/>
          <w:szCs w:val="32"/>
        </w:rPr>
        <w:t>主要增加原因为省财政年中追加安排的中央电视台投放湖南旅游形象宣传广告费、</w:t>
      </w:r>
      <w:r>
        <w:rPr>
          <w:rFonts w:hint="eastAsia" w:ascii="仿宋" w:hAnsi="仿宋" w:eastAsia="仿宋"/>
          <w:sz w:val="32"/>
          <w:szCs w:val="32"/>
        </w:rPr>
        <w:t>湘西开发专项资金等</w:t>
      </w:r>
      <w:r>
        <w:rPr>
          <w:rFonts w:hint="eastAsia" w:ascii="仿宋" w:hAnsi="仿宋" w:eastAsia="仿宋"/>
          <w:kern w:val="0"/>
          <w:sz w:val="32"/>
          <w:szCs w:val="32"/>
        </w:rPr>
        <w:t>项目资金较上年有所增加。</w:t>
      </w:r>
    </w:p>
    <w:p>
      <w:pPr>
        <w:widowControl/>
        <w:adjustRightInd w:val="0"/>
        <w:snapToGrid w:val="0"/>
        <w:spacing w:line="360" w:lineRule="auto"/>
        <w:ind w:firstLine="630" w:firstLineChars="196"/>
        <w:jc w:val="left"/>
        <w:rPr>
          <w:rFonts w:ascii="仿宋" w:hAnsi="仿宋" w:eastAsia="仿宋" w:cs="Times New Roman"/>
          <w:b/>
          <w:kern w:val="0"/>
          <w:sz w:val="32"/>
          <w:szCs w:val="32"/>
        </w:rPr>
      </w:pPr>
      <w:r>
        <w:rPr>
          <w:rFonts w:hint="eastAsia" w:ascii="仿宋" w:hAnsi="仿宋" w:eastAsia="仿宋" w:cs="Times New Roman"/>
          <w:b/>
          <w:kern w:val="0"/>
          <w:sz w:val="32"/>
          <w:szCs w:val="32"/>
        </w:rPr>
        <w:t>五、一般公共预算财政拨款支出决算情况说明</w:t>
      </w:r>
    </w:p>
    <w:p>
      <w:pPr>
        <w:widowControl/>
        <w:adjustRightInd w:val="0"/>
        <w:snapToGrid w:val="0"/>
        <w:spacing w:line="360" w:lineRule="auto"/>
        <w:ind w:firstLine="630" w:firstLineChars="196"/>
        <w:jc w:val="left"/>
        <w:rPr>
          <w:rFonts w:ascii="仿宋" w:hAnsi="仿宋" w:eastAsia="仿宋" w:cs="Times New Roman"/>
          <w:b/>
          <w:kern w:val="0"/>
          <w:sz w:val="32"/>
          <w:szCs w:val="32"/>
        </w:rPr>
      </w:pPr>
      <w:r>
        <w:rPr>
          <w:rFonts w:hint="eastAsia" w:ascii="仿宋" w:hAnsi="仿宋" w:eastAsia="仿宋" w:cs="Times New Roman"/>
          <w:b/>
          <w:kern w:val="0"/>
          <w:sz w:val="32"/>
          <w:szCs w:val="32"/>
        </w:rPr>
        <w:t>（一）财政拨款支出决算总体情况。</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201</w:t>
      </w:r>
      <w:r>
        <w:rPr>
          <w:rFonts w:hint="eastAsia" w:ascii="仿宋" w:hAnsi="仿宋" w:eastAsia="仿宋"/>
          <w:kern w:val="0"/>
          <w:sz w:val="32"/>
          <w:szCs w:val="32"/>
        </w:rPr>
        <w:t>8</w:t>
      </w:r>
      <w:r>
        <w:rPr>
          <w:rFonts w:hint="eastAsia" w:ascii="仿宋" w:hAnsi="仿宋" w:eastAsia="仿宋" w:cs="Times New Roman"/>
          <w:kern w:val="0"/>
          <w:sz w:val="32"/>
          <w:szCs w:val="32"/>
        </w:rPr>
        <w:t>年度一般公共预算财政拨款本年支出</w:t>
      </w:r>
      <w:r>
        <w:rPr>
          <w:rFonts w:hint="eastAsia" w:ascii="仿宋" w:hAnsi="仿宋" w:eastAsia="仿宋"/>
          <w:kern w:val="0"/>
          <w:sz w:val="32"/>
          <w:szCs w:val="32"/>
        </w:rPr>
        <w:t>15227.57</w:t>
      </w:r>
      <w:r>
        <w:rPr>
          <w:rFonts w:hint="eastAsia" w:ascii="仿宋" w:hAnsi="仿宋" w:eastAsia="仿宋" w:cs="Times New Roman"/>
          <w:kern w:val="0"/>
          <w:sz w:val="32"/>
          <w:szCs w:val="32"/>
        </w:rPr>
        <w:t>万元（详见公开05表），较上年决算数12672.40万元增加</w:t>
      </w:r>
      <w:r>
        <w:rPr>
          <w:rFonts w:hint="eastAsia" w:ascii="仿宋" w:hAnsi="仿宋" w:eastAsia="仿宋"/>
          <w:kern w:val="0"/>
          <w:sz w:val="32"/>
          <w:szCs w:val="32"/>
        </w:rPr>
        <w:t>2555.17</w:t>
      </w:r>
      <w:r>
        <w:rPr>
          <w:rFonts w:hint="eastAsia" w:ascii="仿宋" w:hAnsi="仿宋" w:eastAsia="仿宋" w:cs="Times New Roman"/>
          <w:kern w:val="0"/>
          <w:sz w:val="32"/>
          <w:szCs w:val="32"/>
        </w:rPr>
        <w:t>万元，增加原因为年中省财政追加安排</w:t>
      </w:r>
      <w:r>
        <w:rPr>
          <w:rFonts w:hint="eastAsia" w:ascii="仿宋" w:hAnsi="仿宋" w:eastAsia="仿宋"/>
          <w:kern w:val="0"/>
          <w:sz w:val="32"/>
          <w:szCs w:val="32"/>
        </w:rPr>
        <w:t>的</w:t>
      </w:r>
      <w:r>
        <w:rPr>
          <w:rFonts w:hint="eastAsia" w:ascii="仿宋" w:hAnsi="仿宋" w:eastAsia="仿宋" w:cs="Times New Roman"/>
          <w:kern w:val="0"/>
          <w:sz w:val="32"/>
          <w:szCs w:val="32"/>
        </w:rPr>
        <w:t>一般公共预算财政拨款项目资金</w:t>
      </w:r>
      <w:r>
        <w:rPr>
          <w:rFonts w:hint="eastAsia" w:ascii="仿宋" w:hAnsi="仿宋" w:eastAsia="仿宋"/>
          <w:kern w:val="0"/>
          <w:sz w:val="32"/>
          <w:szCs w:val="32"/>
        </w:rPr>
        <w:t>有所增加</w:t>
      </w:r>
      <w:r>
        <w:rPr>
          <w:rFonts w:hint="eastAsia" w:ascii="仿宋" w:hAnsi="仿宋" w:eastAsia="仿宋" w:cs="Times New Roman"/>
          <w:kern w:val="0"/>
          <w:sz w:val="32"/>
          <w:szCs w:val="32"/>
        </w:rPr>
        <w:t>，</w:t>
      </w:r>
      <w:r>
        <w:rPr>
          <w:rFonts w:hint="eastAsia" w:ascii="仿宋" w:hAnsi="仿宋" w:eastAsia="仿宋"/>
          <w:kern w:val="0"/>
          <w:sz w:val="32"/>
          <w:szCs w:val="32"/>
        </w:rPr>
        <w:t>主要为</w:t>
      </w:r>
      <w:r>
        <w:rPr>
          <w:rFonts w:hint="eastAsia" w:ascii="仿宋" w:hAnsi="仿宋" w:eastAsia="仿宋" w:cs="Times New Roman"/>
          <w:kern w:val="0"/>
          <w:sz w:val="32"/>
          <w:szCs w:val="32"/>
        </w:rPr>
        <w:t>年中追加安排</w:t>
      </w:r>
      <w:r>
        <w:rPr>
          <w:rFonts w:hint="eastAsia" w:ascii="仿宋" w:hAnsi="仿宋" w:eastAsia="仿宋"/>
          <w:kern w:val="0"/>
          <w:sz w:val="32"/>
          <w:szCs w:val="32"/>
        </w:rPr>
        <w:t>的</w:t>
      </w:r>
      <w:r>
        <w:rPr>
          <w:rFonts w:hint="eastAsia" w:ascii="仿宋" w:hAnsi="仿宋" w:eastAsia="仿宋" w:cs="Times New Roman"/>
          <w:kern w:val="0"/>
          <w:sz w:val="32"/>
          <w:szCs w:val="32"/>
        </w:rPr>
        <w:t>中央电视台投放湖南旅游形象宣传广告经费</w:t>
      </w:r>
      <w:r>
        <w:rPr>
          <w:rFonts w:hint="eastAsia" w:ascii="仿宋" w:hAnsi="仿宋" w:eastAsia="仿宋"/>
          <w:kern w:val="0"/>
          <w:sz w:val="32"/>
          <w:szCs w:val="32"/>
        </w:rPr>
        <w:t>较上年增加</w:t>
      </w:r>
      <w:r>
        <w:rPr>
          <w:rFonts w:hint="eastAsia" w:ascii="仿宋" w:hAnsi="仿宋" w:eastAsia="仿宋" w:cs="Times New Roman"/>
          <w:kern w:val="0"/>
          <w:sz w:val="32"/>
          <w:szCs w:val="32"/>
        </w:rPr>
        <w:t>，支出相应增加。</w:t>
      </w:r>
    </w:p>
    <w:p>
      <w:pPr>
        <w:widowControl/>
        <w:adjustRightInd w:val="0"/>
        <w:snapToGrid w:val="0"/>
        <w:spacing w:line="360" w:lineRule="auto"/>
        <w:ind w:firstLine="630" w:firstLineChars="196"/>
        <w:jc w:val="left"/>
        <w:rPr>
          <w:rFonts w:ascii="仿宋" w:hAnsi="仿宋" w:eastAsia="仿宋" w:cs="Times New Roman"/>
          <w:b/>
          <w:kern w:val="0"/>
          <w:sz w:val="32"/>
          <w:szCs w:val="32"/>
        </w:rPr>
      </w:pPr>
      <w:r>
        <w:rPr>
          <w:rFonts w:hint="eastAsia" w:ascii="仿宋" w:hAnsi="仿宋" w:eastAsia="仿宋" w:cs="Times New Roman"/>
          <w:b/>
          <w:kern w:val="0"/>
          <w:sz w:val="32"/>
          <w:szCs w:val="32"/>
        </w:rPr>
        <w:t>（二）财政拨款支出决算结构情况。</w:t>
      </w:r>
    </w:p>
    <w:p>
      <w:pPr>
        <w:widowControl/>
        <w:adjustRightInd w:val="0"/>
        <w:snapToGrid w:val="0"/>
        <w:spacing w:line="360" w:lineRule="auto"/>
        <w:ind w:firstLine="640" w:firstLineChars="200"/>
        <w:jc w:val="left"/>
        <w:rPr>
          <w:rFonts w:ascii="仿宋" w:hAnsi="仿宋" w:eastAsia="仿宋" w:cs="Times New Roman"/>
          <w:kern w:val="0"/>
          <w:sz w:val="32"/>
          <w:szCs w:val="32"/>
        </w:rPr>
      </w:pPr>
      <w:r>
        <w:rPr>
          <w:rFonts w:hint="eastAsia" w:ascii="仿宋" w:hAnsi="仿宋" w:eastAsia="仿宋" w:cs="Times New Roman"/>
          <w:kern w:val="0"/>
          <w:sz w:val="32"/>
          <w:szCs w:val="32"/>
        </w:rPr>
        <w:t>201</w:t>
      </w:r>
      <w:r>
        <w:rPr>
          <w:rFonts w:hint="eastAsia" w:ascii="仿宋" w:hAnsi="仿宋" w:eastAsia="仿宋"/>
          <w:kern w:val="0"/>
          <w:sz w:val="32"/>
          <w:szCs w:val="32"/>
        </w:rPr>
        <w:t>8</w:t>
      </w:r>
      <w:r>
        <w:rPr>
          <w:rFonts w:hint="eastAsia" w:ascii="仿宋" w:hAnsi="仿宋" w:eastAsia="仿宋" w:cs="Times New Roman"/>
          <w:kern w:val="0"/>
          <w:sz w:val="32"/>
          <w:szCs w:val="32"/>
        </w:rPr>
        <w:t>年度一般公共预算财政拨款本年支出</w:t>
      </w:r>
      <w:r>
        <w:rPr>
          <w:rFonts w:hint="eastAsia" w:ascii="仿宋" w:hAnsi="仿宋" w:eastAsia="仿宋"/>
          <w:kern w:val="0"/>
          <w:sz w:val="32"/>
          <w:szCs w:val="32"/>
        </w:rPr>
        <w:t>15227.57</w:t>
      </w:r>
      <w:r>
        <w:rPr>
          <w:rFonts w:hint="eastAsia" w:ascii="仿宋" w:hAnsi="仿宋" w:eastAsia="仿宋" w:cs="Times New Roman"/>
          <w:kern w:val="0"/>
          <w:sz w:val="32"/>
          <w:szCs w:val="32"/>
        </w:rPr>
        <w:t>万元的结构情况：基本支出</w:t>
      </w:r>
      <w:r>
        <w:rPr>
          <w:rFonts w:hint="eastAsia" w:ascii="仿宋" w:hAnsi="仿宋" w:eastAsia="仿宋"/>
          <w:kern w:val="0"/>
          <w:sz w:val="32"/>
          <w:szCs w:val="32"/>
        </w:rPr>
        <w:t>2121.79</w:t>
      </w:r>
      <w:r>
        <w:rPr>
          <w:rFonts w:hint="eastAsia" w:ascii="仿宋" w:hAnsi="仿宋" w:eastAsia="仿宋" w:cs="Times New Roman"/>
          <w:kern w:val="0"/>
          <w:sz w:val="32"/>
          <w:szCs w:val="32"/>
        </w:rPr>
        <w:t>万元，占比</w:t>
      </w:r>
      <w:r>
        <w:rPr>
          <w:rFonts w:hint="eastAsia" w:ascii="仿宋" w:hAnsi="仿宋" w:eastAsia="仿宋"/>
          <w:kern w:val="0"/>
          <w:sz w:val="32"/>
          <w:szCs w:val="32"/>
        </w:rPr>
        <w:t>13.93</w:t>
      </w:r>
      <w:r>
        <w:rPr>
          <w:rFonts w:hint="eastAsia" w:ascii="仿宋" w:hAnsi="仿宋" w:eastAsia="仿宋" w:cs="Times New Roman"/>
          <w:kern w:val="0"/>
          <w:sz w:val="32"/>
          <w:szCs w:val="32"/>
        </w:rPr>
        <w:t>%，是保障机构正常运转、完成日常工作任务而发生的各项支出，包括用于在职和离退休人员基本工资、津贴补贴等人员经费以及办公费、水电费、物业管理费等日常公用经费；项目支出</w:t>
      </w:r>
      <w:r>
        <w:rPr>
          <w:rFonts w:hint="eastAsia" w:ascii="仿宋" w:hAnsi="仿宋" w:eastAsia="仿宋"/>
          <w:kern w:val="0"/>
          <w:sz w:val="32"/>
          <w:szCs w:val="32"/>
        </w:rPr>
        <w:t>13105.78</w:t>
      </w:r>
      <w:r>
        <w:rPr>
          <w:rFonts w:hint="eastAsia" w:ascii="仿宋" w:hAnsi="仿宋" w:eastAsia="仿宋" w:cs="Times New Roman"/>
          <w:kern w:val="0"/>
          <w:sz w:val="32"/>
          <w:szCs w:val="32"/>
        </w:rPr>
        <w:t>万元，占比</w:t>
      </w:r>
      <w:r>
        <w:rPr>
          <w:rFonts w:hint="eastAsia" w:ascii="仿宋" w:hAnsi="仿宋" w:eastAsia="仿宋"/>
          <w:kern w:val="0"/>
          <w:sz w:val="32"/>
          <w:szCs w:val="32"/>
        </w:rPr>
        <w:t>86.07</w:t>
      </w:r>
      <w:r>
        <w:rPr>
          <w:rFonts w:hint="eastAsia" w:ascii="仿宋" w:hAnsi="仿宋" w:eastAsia="仿宋" w:cs="Times New Roman"/>
          <w:kern w:val="0"/>
          <w:sz w:val="32"/>
          <w:szCs w:val="32"/>
        </w:rPr>
        <w:t>%，是为完成省本级特定行政工作任务或事业发展目标而发生的支出，主要用于湖南旅游整体形象的宣传促销，</w:t>
      </w:r>
      <w:r>
        <w:rPr>
          <w:rFonts w:hint="eastAsia" w:ascii="仿宋" w:hAnsi="仿宋" w:eastAsia="仿宋"/>
          <w:kern w:val="0"/>
          <w:sz w:val="32"/>
          <w:szCs w:val="32"/>
        </w:rPr>
        <w:t>红色旅游重点资源普查及重点建设项目规划编制</w:t>
      </w:r>
      <w:r>
        <w:rPr>
          <w:rFonts w:hint="eastAsia" w:ascii="仿宋" w:hAnsi="仿宋" w:eastAsia="仿宋" w:cs="Times New Roman"/>
          <w:kern w:val="0"/>
          <w:sz w:val="32"/>
          <w:szCs w:val="32"/>
        </w:rPr>
        <w:t>、</w:t>
      </w:r>
      <w:r>
        <w:rPr>
          <w:rFonts w:hint="eastAsia" w:ascii="仿宋" w:hAnsi="仿宋" w:eastAsia="仿宋"/>
          <w:kern w:val="0"/>
          <w:sz w:val="32"/>
          <w:szCs w:val="32"/>
        </w:rPr>
        <w:t>旅游行业智力平台服务</w:t>
      </w:r>
      <w:r>
        <w:rPr>
          <w:rFonts w:hint="eastAsia" w:ascii="仿宋" w:hAnsi="仿宋" w:eastAsia="仿宋" w:cs="Times New Roman"/>
          <w:kern w:val="0"/>
          <w:sz w:val="32"/>
          <w:szCs w:val="32"/>
        </w:rPr>
        <w:t>等行业管理方面支出（详见公开05表）。</w:t>
      </w:r>
    </w:p>
    <w:p>
      <w:pPr>
        <w:widowControl/>
        <w:adjustRightInd w:val="0"/>
        <w:snapToGrid w:val="0"/>
        <w:spacing w:line="360" w:lineRule="auto"/>
        <w:ind w:firstLine="790" w:firstLineChars="246"/>
        <w:rPr>
          <w:rFonts w:ascii="仿宋" w:hAnsi="仿宋" w:eastAsia="仿宋" w:cs="Times New Roman"/>
          <w:b/>
          <w:kern w:val="0"/>
          <w:sz w:val="32"/>
          <w:szCs w:val="32"/>
        </w:rPr>
      </w:pPr>
      <w:r>
        <w:rPr>
          <w:rFonts w:hint="eastAsia" w:ascii="仿宋" w:hAnsi="仿宋" w:eastAsia="仿宋" w:cs="Times New Roman"/>
          <w:b/>
          <w:bCs/>
          <w:kern w:val="0"/>
          <w:sz w:val="32"/>
          <w:szCs w:val="32"/>
        </w:rPr>
        <w:t>（三）财政拨款支出决算具体情况。</w:t>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201</w:t>
      </w:r>
      <w:r>
        <w:rPr>
          <w:rFonts w:hint="eastAsia" w:ascii="仿宋" w:hAnsi="仿宋" w:eastAsia="仿宋"/>
          <w:kern w:val="0"/>
          <w:sz w:val="32"/>
          <w:szCs w:val="32"/>
        </w:rPr>
        <w:t>8</w:t>
      </w:r>
      <w:r>
        <w:rPr>
          <w:rFonts w:hint="eastAsia" w:ascii="仿宋" w:hAnsi="仿宋" w:eastAsia="仿宋" w:cs="Times New Roman"/>
          <w:kern w:val="0"/>
          <w:sz w:val="32"/>
          <w:szCs w:val="32"/>
        </w:rPr>
        <w:t>年度一般公共预算财政拨款本年支出</w:t>
      </w:r>
      <w:r>
        <w:rPr>
          <w:rFonts w:hint="eastAsia" w:ascii="仿宋" w:hAnsi="仿宋" w:eastAsia="仿宋"/>
          <w:kern w:val="0"/>
          <w:sz w:val="32"/>
          <w:szCs w:val="32"/>
        </w:rPr>
        <w:t>15227.57</w:t>
      </w:r>
      <w:r>
        <w:rPr>
          <w:rFonts w:hint="eastAsia" w:ascii="仿宋" w:hAnsi="仿宋" w:eastAsia="仿宋" w:cs="Times New Roman"/>
          <w:kern w:val="0"/>
          <w:sz w:val="32"/>
          <w:szCs w:val="32"/>
        </w:rPr>
        <w:t>万元，较年初预算数</w:t>
      </w:r>
      <w:r>
        <w:rPr>
          <w:rFonts w:hint="eastAsia" w:ascii="仿宋" w:hAnsi="仿宋" w:eastAsia="仿宋"/>
          <w:kern w:val="0"/>
          <w:sz w:val="32"/>
          <w:szCs w:val="32"/>
        </w:rPr>
        <w:t>6729.37</w:t>
      </w:r>
      <w:r>
        <w:rPr>
          <w:rFonts w:hint="eastAsia" w:ascii="仿宋" w:hAnsi="仿宋" w:eastAsia="仿宋" w:cs="Times New Roman"/>
          <w:kern w:val="0"/>
          <w:sz w:val="32"/>
          <w:szCs w:val="32"/>
        </w:rPr>
        <w:t>万元增加</w:t>
      </w:r>
      <w:r>
        <w:rPr>
          <w:rFonts w:hint="eastAsia" w:ascii="仿宋" w:hAnsi="仿宋" w:eastAsia="仿宋"/>
          <w:kern w:val="0"/>
          <w:sz w:val="32"/>
          <w:szCs w:val="32"/>
        </w:rPr>
        <w:t>8498.20</w:t>
      </w:r>
      <w:r>
        <w:rPr>
          <w:rFonts w:hint="eastAsia" w:ascii="仿宋" w:hAnsi="仿宋" w:eastAsia="仿宋" w:cs="Times New Roman"/>
          <w:kern w:val="0"/>
          <w:sz w:val="32"/>
          <w:szCs w:val="32"/>
        </w:rPr>
        <w:t>万元，具体增减原因见下表（金额单位：万元）：</w:t>
      </w:r>
    </w:p>
    <w:tbl>
      <w:tblPr>
        <w:tblStyle w:val="7"/>
        <w:tblW w:w="10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111"/>
        <w:gridCol w:w="1184"/>
        <w:gridCol w:w="1063"/>
        <w:gridCol w:w="5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3" w:hRule="atLeast"/>
        </w:trPr>
        <w:tc>
          <w:tcPr>
            <w:tcW w:w="1214"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功能分类科目编码</w:t>
            </w:r>
          </w:p>
        </w:tc>
        <w:tc>
          <w:tcPr>
            <w:tcW w:w="1111"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年初     预算数</w:t>
            </w:r>
          </w:p>
        </w:tc>
        <w:tc>
          <w:tcPr>
            <w:tcW w:w="1184"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决算数</w:t>
            </w:r>
          </w:p>
        </w:tc>
        <w:tc>
          <w:tcPr>
            <w:tcW w:w="1063"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增减值</w:t>
            </w:r>
          </w:p>
        </w:tc>
        <w:tc>
          <w:tcPr>
            <w:tcW w:w="5601"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增减原因分析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2080504</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59.90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216.01</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156.11</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年中增加离退休人员综治奖、政府绩效考核奖、基本工资提标及调剂2018年度年终一次性奖金和文明奖开支。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2080505</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13</w:t>
            </w:r>
            <w:r>
              <w:rPr>
                <w:rFonts w:hint="eastAsia" w:ascii="仿宋" w:hAnsi="仿宋" w:eastAsia="仿宋"/>
                <w:sz w:val="24"/>
                <w:szCs w:val="24"/>
              </w:rPr>
              <w:t>1</w:t>
            </w:r>
            <w:r>
              <w:rPr>
                <w:rFonts w:hint="eastAsia" w:ascii="仿宋" w:hAnsi="仿宋" w:eastAsia="仿宋" w:cs="Times New Roman"/>
                <w:sz w:val="24"/>
                <w:szCs w:val="24"/>
              </w:rPr>
              <w:t>.</w:t>
            </w:r>
            <w:r>
              <w:rPr>
                <w:rFonts w:hint="eastAsia" w:ascii="仿宋" w:hAnsi="仿宋" w:eastAsia="仿宋"/>
                <w:sz w:val="24"/>
                <w:szCs w:val="24"/>
              </w:rPr>
              <w:t>3</w:t>
            </w:r>
            <w:r>
              <w:rPr>
                <w:rFonts w:hint="eastAsia" w:ascii="仿宋" w:hAnsi="仿宋" w:eastAsia="仿宋" w:cs="Times New Roman"/>
                <w:sz w:val="24"/>
                <w:szCs w:val="24"/>
              </w:rPr>
              <w:t>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131.30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5601" w:type="dxa"/>
            <w:vAlign w:val="center"/>
          </w:tcPr>
          <w:p>
            <w:pPr>
              <w:adjustRightInd w:val="0"/>
              <w:snapToGrid w:val="0"/>
              <w:spacing w:line="360" w:lineRule="auto"/>
              <w:jc w:val="center"/>
              <w:rPr>
                <w:rFonts w:ascii="仿宋" w:hAnsi="仿宋" w:eastAsia="仿宋" w:cs="Times New Roman"/>
                <w:sz w:val="22"/>
              </w:rPr>
            </w:pPr>
            <w:r>
              <w:rPr>
                <w:rFonts w:hint="eastAsia" w:ascii="仿宋" w:hAnsi="仿宋" w:eastAsia="仿宋"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2101101</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2.00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2.00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5601" w:type="dxa"/>
            <w:vAlign w:val="center"/>
          </w:tcPr>
          <w:p>
            <w:pPr>
              <w:adjustRightInd w:val="0"/>
              <w:snapToGrid w:val="0"/>
              <w:spacing w:line="360" w:lineRule="auto"/>
              <w:jc w:val="center"/>
              <w:rPr>
                <w:rFonts w:ascii="仿宋" w:hAnsi="仿宋" w:eastAsia="仿宋" w:cs="Times New Roman"/>
                <w:sz w:val="22"/>
              </w:rPr>
            </w:pPr>
            <w:r>
              <w:rPr>
                <w:rFonts w:hint="eastAsia" w:ascii="仿宋" w:hAnsi="仿宋" w:eastAsia="仿宋"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2160501</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1</w:t>
            </w:r>
            <w:r>
              <w:rPr>
                <w:rFonts w:hint="eastAsia" w:ascii="仿宋" w:hAnsi="仿宋" w:eastAsia="仿宋"/>
                <w:sz w:val="24"/>
                <w:szCs w:val="24"/>
              </w:rPr>
              <w:t>103.97</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1</w:t>
            </w:r>
            <w:r>
              <w:rPr>
                <w:rFonts w:hint="eastAsia" w:ascii="仿宋" w:hAnsi="仿宋" w:eastAsia="仿宋"/>
                <w:sz w:val="24"/>
                <w:szCs w:val="24"/>
              </w:rPr>
              <w:t>590.09</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486.12</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增加年初结转项目和年中追加在职人员综治奖、政府绩效考核奖、基本工资提标及调剂2018年度年终一次性奖金和文明奖等开支。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2160504</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4096.00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11394.64</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7298.64</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增加年初结转项目和年中追加中央电视台投放湖南旅游形象宣传广告经费等旅游宣传促销资金开支。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2160505</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1059.10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900.33</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r>
              <w:rPr>
                <w:rFonts w:hint="eastAsia" w:ascii="仿宋" w:hAnsi="仿宋" w:eastAsia="仿宋"/>
                <w:sz w:val="24"/>
                <w:szCs w:val="24"/>
              </w:rPr>
              <w:t>158.77</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据实开支，剩余资金结转至下年。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2160599</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173.60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829.91</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656.31</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增加年初结转项目和年中追加红色旅游重点资源普查及规划编制、信息中心在职人员综治奖、政府绩效考核奖及基本工资提标等开支。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2210201</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103.50</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103.50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5601" w:type="dxa"/>
            <w:vAlign w:val="center"/>
          </w:tcPr>
          <w:p>
            <w:pPr>
              <w:adjustRightInd w:val="0"/>
              <w:snapToGrid w:val="0"/>
              <w:spacing w:line="360" w:lineRule="auto"/>
              <w:jc w:val="center"/>
              <w:rPr>
                <w:rFonts w:ascii="仿宋" w:hAnsi="仿宋" w:eastAsia="仿宋" w:cs="Times New Roman"/>
                <w:sz w:val="22"/>
              </w:rPr>
            </w:pPr>
            <w:r>
              <w:rPr>
                <w:rFonts w:hint="eastAsia" w:ascii="仿宋" w:hAnsi="仿宋" w:eastAsia="仿宋" w:cs="Times New Roman"/>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2010499</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20.79</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20.79</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增加年初结转项目和年中追加湘西开发专项资金开支，但湘西开发专项部分资金结转至下年。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20</w:t>
            </w:r>
            <w:r>
              <w:rPr>
                <w:rFonts w:hint="eastAsia" w:ascii="仿宋" w:hAnsi="仿宋" w:eastAsia="仿宋"/>
                <w:sz w:val="24"/>
                <w:szCs w:val="24"/>
              </w:rPr>
              <w:t>60699</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4.00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4.00</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sz w:val="24"/>
                <w:szCs w:val="24"/>
              </w:rPr>
              <w:t>2111001</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32</w:t>
            </w:r>
            <w:r>
              <w:rPr>
                <w:rFonts w:hint="eastAsia" w:ascii="仿宋" w:hAnsi="仿宋" w:eastAsia="仿宋" w:cs="Times New Roman"/>
                <w:sz w:val="24"/>
                <w:szCs w:val="24"/>
              </w:rPr>
              <w:t>.00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32</w:t>
            </w:r>
            <w:r>
              <w:rPr>
                <w:rFonts w:hint="eastAsia" w:ascii="仿宋" w:hAnsi="仿宋" w:eastAsia="仿宋" w:cs="Times New Roman"/>
                <w:sz w:val="24"/>
                <w:szCs w:val="24"/>
              </w:rPr>
              <w:t>.00</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sz w:val="24"/>
                <w:szCs w:val="24"/>
              </w:rPr>
            </w:pPr>
            <w:r>
              <w:rPr>
                <w:rFonts w:hint="eastAsia" w:ascii="仿宋" w:hAnsi="仿宋" w:eastAsia="仿宋" w:cs="Times New Roman"/>
                <w:sz w:val="24"/>
                <w:szCs w:val="24"/>
              </w:rPr>
              <w:t>2</w:t>
            </w:r>
            <w:r>
              <w:rPr>
                <w:rFonts w:hint="eastAsia" w:ascii="仿宋" w:hAnsi="仿宋" w:eastAsia="仿宋"/>
                <w:sz w:val="24"/>
                <w:szCs w:val="24"/>
              </w:rPr>
              <w:t>150699</w:t>
            </w:r>
          </w:p>
        </w:tc>
        <w:tc>
          <w:tcPr>
            <w:tcW w:w="1111"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cs="Times New Roman"/>
                <w:sz w:val="24"/>
                <w:szCs w:val="24"/>
              </w:rPr>
              <w:t>—</w:t>
            </w:r>
          </w:p>
        </w:tc>
        <w:tc>
          <w:tcPr>
            <w:tcW w:w="1184"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3</w:t>
            </w:r>
            <w:r>
              <w:rPr>
                <w:rFonts w:hint="eastAsia" w:ascii="仿宋" w:hAnsi="仿宋" w:eastAsia="仿宋" w:cs="Times New Roman"/>
                <w:sz w:val="24"/>
                <w:szCs w:val="24"/>
              </w:rPr>
              <w:t>.00</w:t>
            </w:r>
          </w:p>
        </w:tc>
        <w:tc>
          <w:tcPr>
            <w:tcW w:w="1063" w:type="dxa"/>
            <w:vAlign w:val="center"/>
          </w:tcPr>
          <w:p>
            <w:pPr>
              <w:adjustRightInd w:val="0"/>
              <w:snapToGrid w:val="0"/>
              <w:spacing w:line="360" w:lineRule="auto"/>
              <w:jc w:val="right"/>
              <w:rPr>
                <w:rFonts w:ascii="仿宋" w:hAnsi="仿宋" w:eastAsia="仿宋" w:cs="Times New Roman"/>
                <w:sz w:val="24"/>
                <w:szCs w:val="24"/>
              </w:rPr>
            </w:pPr>
            <w:r>
              <w:rPr>
                <w:rFonts w:hint="eastAsia" w:ascii="仿宋" w:hAnsi="仿宋" w:eastAsia="仿宋"/>
                <w:sz w:val="24"/>
                <w:szCs w:val="24"/>
              </w:rPr>
              <w:t>3</w:t>
            </w:r>
            <w:r>
              <w:rPr>
                <w:rFonts w:hint="eastAsia" w:ascii="仿宋" w:hAnsi="仿宋" w:eastAsia="仿宋" w:cs="Times New Roman"/>
                <w:sz w:val="24"/>
                <w:szCs w:val="24"/>
              </w:rPr>
              <w:t>.00</w:t>
            </w:r>
          </w:p>
        </w:tc>
        <w:tc>
          <w:tcPr>
            <w:tcW w:w="5601" w:type="dxa"/>
            <w:vAlign w:val="center"/>
          </w:tcPr>
          <w:p>
            <w:pPr>
              <w:adjustRightInd w:val="0"/>
              <w:snapToGrid w:val="0"/>
              <w:spacing w:line="360" w:lineRule="auto"/>
              <w:rPr>
                <w:rFonts w:ascii="仿宋" w:hAnsi="仿宋" w:eastAsia="仿宋" w:cs="Times New Roman"/>
                <w:sz w:val="22"/>
              </w:rPr>
            </w:pPr>
            <w:r>
              <w:rPr>
                <w:rFonts w:hint="eastAsia" w:ascii="仿宋" w:hAnsi="仿宋" w:eastAsia="仿宋" w:cs="Times New Roman"/>
                <w:sz w:val="22"/>
              </w:rPr>
              <w:t>增加年初结转项目开支。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14"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合计</w:t>
            </w:r>
          </w:p>
        </w:tc>
        <w:tc>
          <w:tcPr>
            <w:tcW w:w="1111" w:type="dxa"/>
            <w:vAlign w:val="center"/>
          </w:tcPr>
          <w:p>
            <w:pPr>
              <w:adjustRightInd w:val="0"/>
              <w:snapToGrid w:val="0"/>
              <w:spacing w:line="360" w:lineRule="auto"/>
              <w:jc w:val="right"/>
              <w:rPr>
                <w:rFonts w:ascii="仿宋" w:hAnsi="仿宋" w:eastAsia="仿宋" w:cs="Times New Roman"/>
                <w:b/>
                <w:sz w:val="24"/>
                <w:szCs w:val="24"/>
              </w:rPr>
            </w:pPr>
            <w:r>
              <w:rPr>
                <w:rFonts w:hint="eastAsia" w:ascii="仿宋" w:hAnsi="仿宋" w:eastAsia="仿宋"/>
                <w:b/>
                <w:sz w:val="24"/>
                <w:szCs w:val="24"/>
              </w:rPr>
              <w:t>6729.37</w:t>
            </w:r>
          </w:p>
        </w:tc>
        <w:tc>
          <w:tcPr>
            <w:tcW w:w="1184" w:type="dxa"/>
            <w:vAlign w:val="center"/>
          </w:tcPr>
          <w:p>
            <w:pPr>
              <w:adjustRightInd w:val="0"/>
              <w:snapToGrid w:val="0"/>
              <w:spacing w:line="360" w:lineRule="auto"/>
              <w:jc w:val="right"/>
              <w:rPr>
                <w:rFonts w:ascii="仿宋" w:hAnsi="仿宋" w:eastAsia="仿宋" w:cs="Times New Roman"/>
                <w:b/>
                <w:sz w:val="24"/>
                <w:szCs w:val="24"/>
              </w:rPr>
            </w:pPr>
            <w:r>
              <w:rPr>
                <w:rFonts w:hint="eastAsia" w:ascii="仿宋" w:hAnsi="仿宋" w:eastAsia="仿宋"/>
                <w:b/>
                <w:sz w:val="24"/>
                <w:szCs w:val="24"/>
              </w:rPr>
              <w:t>15227.57</w:t>
            </w:r>
          </w:p>
        </w:tc>
        <w:tc>
          <w:tcPr>
            <w:tcW w:w="1063" w:type="dxa"/>
            <w:vAlign w:val="center"/>
          </w:tcPr>
          <w:p>
            <w:pPr>
              <w:adjustRightInd w:val="0"/>
              <w:snapToGrid w:val="0"/>
              <w:spacing w:line="360" w:lineRule="auto"/>
              <w:jc w:val="right"/>
              <w:rPr>
                <w:rFonts w:ascii="仿宋" w:hAnsi="仿宋" w:eastAsia="仿宋" w:cs="Times New Roman"/>
                <w:b/>
                <w:sz w:val="24"/>
                <w:szCs w:val="24"/>
              </w:rPr>
            </w:pPr>
            <w:r>
              <w:rPr>
                <w:rFonts w:hint="eastAsia" w:ascii="仿宋" w:hAnsi="仿宋" w:eastAsia="仿宋"/>
                <w:b/>
                <w:sz w:val="24"/>
                <w:szCs w:val="24"/>
              </w:rPr>
              <w:t>8498.20</w:t>
            </w:r>
          </w:p>
        </w:tc>
        <w:tc>
          <w:tcPr>
            <w:tcW w:w="5601" w:type="dxa"/>
            <w:vAlign w:val="center"/>
          </w:tcPr>
          <w:p>
            <w:pPr>
              <w:adjustRightInd w:val="0"/>
              <w:snapToGrid w:val="0"/>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w:t>
            </w:r>
          </w:p>
        </w:tc>
      </w:tr>
    </w:tbl>
    <w:p>
      <w:pPr>
        <w:widowControl/>
        <w:adjustRightInd w:val="0"/>
        <w:snapToGrid w:val="0"/>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六、一般公共预算财政拨款基本支出决算情况说明</w:t>
      </w:r>
    </w:p>
    <w:p>
      <w:pPr>
        <w:widowControl/>
        <w:adjustRightInd w:val="0"/>
        <w:snapToGrid w:val="0"/>
        <w:spacing w:line="360" w:lineRule="auto"/>
        <w:rPr>
          <w:rFonts w:ascii="仿宋" w:hAnsi="仿宋" w:eastAsia="仿宋" w:cs="Times New Roman"/>
          <w:b/>
          <w:bCs/>
          <w:kern w:val="0"/>
          <w:sz w:val="32"/>
          <w:szCs w:val="32"/>
        </w:rPr>
      </w:pPr>
      <w:r>
        <w:rPr>
          <w:rFonts w:hint="eastAsia" w:ascii="仿宋" w:hAnsi="仿宋" w:eastAsia="仿宋" w:cs="Times New Roman"/>
          <w:b/>
          <w:bCs/>
          <w:kern w:val="0"/>
          <w:sz w:val="32"/>
          <w:szCs w:val="32"/>
        </w:rPr>
        <w:t xml:space="preserve">    </w:t>
      </w:r>
      <w:r>
        <w:rPr>
          <w:rFonts w:hint="eastAsia" w:ascii="仿宋" w:hAnsi="仿宋" w:eastAsia="仿宋" w:cs="Times New Roman"/>
          <w:bCs/>
          <w:kern w:val="0"/>
          <w:sz w:val="32"/>
          <w:szCs w:val="32"/>
        </w:rPr>
        <w:t>2018年度一般公共预算财政拨款基本支出</w:t>
      </w:r>
      <w:r>
        <w:rPr>
          <w:rFonts w:hint="eastAsia" w:ascii="仿宋" w:hAnsi="仿宋" w:eastAsia="仿宋"/>
          <w:kern w:val="0"/>
          <w:sz w:val="32"/>
          <w:szCs w:val="32"/>
        </w:rPr>
        <w:t>2121.79</w:t>
      </w:r>
      <w:r>
        <w:rPr>
          <w:rFonts w:hint="eastAsia" w:ascii="仿宋" w:hAnsi="仿宋" w:eastAsia="仿宋" w:cs="Times New Roman"/>
          <w:bCs/>
          <w:kern w:val="0"/>
          <w:sz w:val="32"/>
          <w:szCs w:val="32"/>
        </w:rPr>
        <w:t>万元，其中：人员经费支出1878.95万元（其中：工资福利支出1611.09万元，对个人和家庭的补助267.86万元），占比88.55%；公用经费支出242.84万元，均为商品和服务支出，占比11.45%</w:t>
      </w:r>
      <w:r>
        <w:rPr>
          <w:rFonts w:hint="eastAsia" w:ascii="仿宋" w:hAnsi="仿宋" w:eastAsia="仿宋" w:cs="Times New Roman"/>
          <w:kern w:val="0"/>
          <w:sz w:val="32"/>
          <w:szCs w:val="32"/>
        </w:rPr>
        <w:t>（详见公开06表）。</w:t>
      </w:r>
    </w:p>
    <w:p>
      <w:pPr>
        <w:widowControl/>
        <w:adjustRightInd w:val="0"/>
        <w:snapToGrid w:val="0"/>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七、一般公共预算财政拨款“三公”经费支出决算情况说明</w:t>
      </w:r>
    </w:p>
    <w:p>
      <w:pPr>
        <w:widowControl/>
        <w:adjustRightInd w:val="0"/>
        <w:snapToGrid w:val="0"/>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（一）“三公”经费财政拨款支出决算总体情况说明。</w:t>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bCs/>
          <w:kern w:val="0"/>
          <w:sz w:val="32"/>
          <w:szCs w:val="32"/>
        </w:rPr>
        <w:t>2018年度一般公共预算财政拨款“三公”经费支出总额为367.77万元</w:t>
      </w:r>
      <w:r>
        <w:rPr>
          <w:rFonts w:hint="eastAsia" w:ascii="仿宋" w:hAnsi="仿宋" w:eastAsia="仿宋" w:cs="Times New Roman"/>
          <w:kern w:val="0"/>
          <w:sz w:val="32"/>
          <w:szCs w:val="32"/>
        </w:rPr>
        <w:t>（详见公开07表）</w:t>
      </w:r>
      <w:r>
        <w:rPr>
          <w:rFonts w:hint="eastAsia" w:ascii="仿宋" w:hAnsi="仿宋" w:eastAsia="仿宋" w:cs="Times New Roman"/>
          <w:bCs/>
          <w:kern w:val="0"/>
          <w:sz w:val="32"/>
          <w:szCs w:val="32"/>
        </w:rPr>
        <w:t>，其中：因公出国（境）费179.20万元；公务用车购置及运行费29.60万元（其中：公务用车购置费0元，公务用车运行费29.60万元）；公务接待费158.97万元。</w:t>
      </w:r>
      <w:r>
        <w:rPr>
          <w:rFonts w:hint="eastAsia" w:ascii="仿宋" w:hAnsi="仿宋" w:eastAsia="仿宋" w:cs="Times New Roman"/>
          <w:kern w:val="0"/>
          <w:sz w:val="32"/>
          <w:szCs w:val="32"/>
        </w:rPr>
        <w:t>较年初预算数361.50万元增加6.27万元，主要原</w:t>
      </w:r>
      <w:r>
        <w:rPr>
          <w:rFonts w:hint="eastAsia" w:ascii="仿宋" w:hAnsi="仿宋" w:eastAsia="仿宋" w:cs="Times New Roman"/>
          <w:bCs/>
          <w:kern w:val="0"/>
          <w:sz w:val="32"/>
          <w:szCs w:val="32"/>
        </w:rPr>
        <w:t>因为机关2018年增加部分临时出国任务导致相应支出增加。较上年决算数331.99万元增加35.78万元，主要原因为</w:t>
      </w:r>
      <w:r>
        <w:rPr>
          <w:rFonts w:hint="eastAsia" w:ascii="仿宋" w:hAnsi="仿宋" w:eastAsia="仿宋" w:cs="Times New Roman"/>
          <w:kern w:val="0"/>
          <w:sz w:val="32"/>
          <w:szCs w:val="32"/>
        </w:rPr>
        <w:t>按照我省开放崛起战略部署，为开拓国（境）外旅游市场，开展了系列国（境）外旅游促销活动，支出相应增加。具体增减情况见下表（金额单位：万元）:</w:t>
      </w:r>
    </w:p>
    <w:tbl>
      <w:tblPr>
        <w:tblStyle w:val="7"/>
        <w:tblW w:w="992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1560"/>
        <w:gridCol w:w="1417"/>
        <w:gridCol w:w="1276"/>
        <w:gridCol w:w="1276"/>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Merge w:val="restart"/>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名称</w:t>
            </w:r>
          </w:p>
        </w:tc>
        <w:tc>
          <w:tcPr>
            <w:tcW w:w="1560" w:type="dxa"/>
            <w:vMerge w:val="restart"/>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决算数</w:t>
            </w:r>
          </w:p>
        </w:tc>
        <w:tc>
          <w:tcPr>
            <w:tcW w:w="2693" w:type="dxa"/>
            <w:gridSpan w:val="2"/>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本年预决算对比</w:t>
            </w:r>
          </w:p>
        </w:tc>
        <w:tc>
          <w:tcPr>
            <w:tcW w:w="2552" w:type="dxa"/>
            <w:gridSpan w:val="2"/>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与上年决算数对比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Merge w:val="continue"/>
            <w:vAlign w:val="center"/>
          </w:tcPr>
          <w:p>
            <w:pPr>
              <w:adjustRightInd w:val="0"/>
              <w:snapToGrid w:val="0"/>
              <w:spacing w:line="288" w:lineRule="auto"/>
              <w:jc w:val="center"/>
              <w:rPr>
                <w:rFonts w:ascii="仿宋_GB2312" w:eastAsia="仿宋_GB2312"/>
                <w:sz w:val="22"/>
              </w:rPr>
            </w:pPr>
          </w:p>
        </w:tc>
        <w:tc>
          <w:tcPr>
            <w:tcW w:w="1560" w:type="dxa"/>
            <w:vMerge w:val="continue"/>
            <w:vAlign w:val="center"/>
          </w:tcPr>
          <w:p>
            <w:pPr>
              <w:adjustRightInd w:val="0"/>
              <w:snapToGrid w:val="0"/>
              <w:spacing w:line="288" w:lineRule="auto"/>
              <w:jc w:val="center"/>
              <w:rPr>
                <w:rFonts w:ascii="仿宋_GB2312" w:eastAsia="仿宋_GB2312"/>
                <w:sz w:val="22"/>
              </w:rPr>
            </w:pPr>
          </w:p>
        </w:tc>
        <w:tc>
          <w:tcPr>
            <w:tcW w:w="1417"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2018年     预算数</w:t>
            </w:r>
          </w:p>
        </w:tc>
        <w:tc>
          <w:tcPr>
            <w:tcW w:w="1276"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增减值</w:t>
            </w:r>
          </w:p>
        </w:tc>
        <w:tc>
          <w:tcPr>
            <w:tcW w:w="1276"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2017年   决算数</w:t>
            </w:r>
          </w:p>
        </w:tc>
        <w:tc>
          <w:tcPr>
            <w:tcW w:w="1276"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增减值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因公出国（境）费</w:t>
            </w:r>
          </w:p>
        </w:tc>
        <w:tc>
          <w:tcPr>
            <w:tcW w:w="1560"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179.20</w:t>
            </w:r>
          </w:p>
        </w:tc>
        <w:tc>
          <w:tcPr>
            <w:tcW w:w="1417"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150.00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29.20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131.49</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47.71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公务用车运行维护费</w:t>
            </w:r>
          </w:p>
        </w:tc>
        <w:tc>
          <w:tcPr>
            <w:tcW w:w="1560"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29.60</w:t>
            </w:r>
          </w:p>
        </w:tc>
        <w:tc>
          <w:tcPr>
            <w:tcW w:w="1417"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52.00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-22.40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40.51</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公务接待费</w:t>
            </w:r>
          </w:p>
        </w:tc>
        <w:tc>
          <w:tcPr>
            <w:tcW w:w="1560"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158.97</w:t>
            </w:r>
          </w:p>
        </w:tc>
        <w:tc>
          <w:tcPr>
            <w:tcW w:w="1417"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159.50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-0.53</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159.99</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19" w:type="dxa"/>
            <w:vAlign w:val="center"/>
          </w:tcPr>
          <w:p>
            <w:pPr>
              <w:adjustRightInd w:val="0"/>
              <w:snapToGrid w:val="0"/>
              <w:spacing w:line="288" w:lineRule="auto"/>
              <w:jc w:val="center"/>
              <w:rPr>
                <w:rFonts w:ascii="仿宋_GB2312" w:eastAsia="仿宋_GB2312"/>
                <w:sz w:val="22"/>
              </w:rPr>
            </w:pPr>
            <w:r>
              <w:rPr>
                <w:rFonts w:hint="eastAsia" w:ascii="仿宋_GB2312" w:eastAsia="仿宋_GB2312"/>
                <w:sz w:val="22"/>
              </w:rPr>
              <w:t>合计</w:t>
            </w:r>
          </w:p>
        </w:tc>
        <w:tc>
          <w:tcPr>
            <w:tcW w:w="1560"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367.77</w:t>
            </w:r>
          </w:p>
        </w:tc>
        <w:tc>
          <w:tcPr>
            <w:tcW w:w="1417"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361.50</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6.27</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331.99</w:t>
            </w:r>
          </w:p>
        </w:tc>
        <w:tc>
          <w:tcPr>
            <w:tcW w:w="1276" w:type="dxa"/>
            <w:vAlign w:val="center"/>
          </w:tcPr>
          <w:p>
            <w:pPr>
              <w:adjustRightInd w:val="0"/>
              <w:snapToGrid w:val="0"/>
              <w:spacing w:line="288" w:lineRule="auto"/>
              <w:jc w:val="right"/>
              <w:rPr>
                <w:rFonts w:ascii="仿宋_GB2312" w:eastAsia="仿宋_GB2312"/>
                <w:sz w:val="22"/>
              </w:rPr>
            </w:pPr>
            <w:r>
              <w:rPr>
                <w:rFonts w:hint="eastAsia" w:ascii="仿宋_GB2312" w:eastAsia="仿宋_GB2312"/>
                <w:sz w:val="22"/>
              </w:rPr>
              <w:t>35.78</w:t>
            </w:r>
          </w:p>
        </w:tc>
      </w:tr>
    </w:tbl>
    <w:p>
      <w:pPr>
        <w:widowControl/>
        <w:adjustRightInd w:val="0"/>
        <w:snapToGrid w:val="0"/>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（二）“三公”经费财政拨款支出决算具体情况说明。</w:t>
      </w:r>
    </w:p>
    <w:p>
      <w:pPr>
        <w:widowControl/>
        <w:adjustRightInd w:val="0"/>
        <w:snapToGrid w:val="0"/>
        <w:spacing w:line="360" w:lineRule="auto"/>
        <w:ind w:firstLine="640" w:firstLineChars="200"/>
        <w:rPr>
          <w:rFonts w:ascii="仿宋" w:hAnsi="仿宋" w:eastAsia="仿宋" w:cs="Times New Roman"/>
          <w:kern w:val="0"/>
          <w:sz w:val="32"/>
          <w:szCs w:val="32"/>
        </w:rPr>
      </w:pPr>
      <w:r>
        <w:rPr>
          <w:rFonts w:hint="eastAsia" w:ascii="仿宋" w:hAnsi="仿宋" w:eastAsia="仿宋" w:cs="Times New Roman"/>
          <w:bCs/>
          <w:kern w:val="0"/>
          <w:sz w:val="32"/>
          <w:szCs w:val="32"/>
        </w:rPr>
        <w:t>2018年度</w:t>
      </w:r>
      <w:r>
        <w:rPr>
          <w:rFonts w:hint="eastAsia" w:ascii="仿宋" w:hAnsi="仿宋" w:eastAsia="仿宋" w:cs="Times New Roman"/>
          <w:kern w:val="0"/>
          <w:sz w:val="32"/>
          <w:szCs w:val="32"/>
        </w:rPr>
        <w:t>因公出国（境）费支出</w:t>
      </w:r>
      <w:r>
        <w:rPr>
          <w:rFonts w:hint="eastAsia" w:ascii="仿宋" w:hAnsi="仿宋" w:eastAsia="仿宋" w:cs="Times New Roman"/>
          <w:bCs/>
          <w:kern w:val="0"/>
          <w:sz w:val="32"/>
          <w:szCs w:val="32"/>
        </w:rPr>
        <w:t>179.20</w:t>
      </w:r>
      <w:r>
        <w:rPr>
          <w:rFonts w:hint="eastAsia" w:ascii="仿宋" w:hAnsi="仿宋" w:eastAsia="仿宋" w:cs="Times New Roman"/>
          <w:kern w:val="0"/>
          <w:sz w:val="32"/>
          <w:szCs w:val="32"/>
        </w:rPr>
        <w:t>万元,团组数24个，共57人次；</w:t>
      </w:r>
      <w:r>
        <w:rPr>
          <w:rFonts w:hint="eastAsia" w:ascii="仿宋" w:hAnsi="仿宋" w:eastAsia="仿宋" w:cs="Times New Roman"/>
          <w:bCs/>
          <w:kern w:val="0"/>
          <w:sz w:val="32"/>
          <w:szCs w:val="32"/>
        </w:rPr>
        <w:t>公务用车购置及运行费支出29.60万元</w:t>
      </w:r>
      <w:r>
        <w:rPr>
          <w:rFonts w:hint="eastAsia" w:ascii="仿宋" w:hAnsi="仿宋" w:eastAsia="仿宋" w:cs="Times New Roman"/>
          <w:kern w:val="0"/>
          <w:sz w:val="32"/>
          <w:szCs w:val="32"/>
        </w:rPr>
        <w:t>，公务用车保有量5辆；公务接待费支出</w:t>
      </w:r>
      <w:r>
        <w:rPr>
          <w:rFonts w:hint="eastAsia" w:ascii="仿宋" w:hAnsi="仿宋" w:eastAsia="仿宋" w:cs="Times New Roman"/>
          <w:bCs/>
          <w:kern w:val="0"/>
          <w:sz w:val="32"/>
          <w:szCs w:val="32"/>
        </w:rPr>
        <w:t>158.97</w:t>
      </w:r>
      <w:r>
        <w:rPr>
          <w:rFonts w:hint="eastAsia" w:ascii="仿宋" w:hAnsi="仿宋" w:eastAsia="仿宋" w:cs="Times New Roman"/>
          <w:kern w:val="0"/>
          <w:sz w:val="32"/>
          <w:szCs w:val="32"/>
        </w:rPr>
        <w:t>万元，国内公务接待620批次（其中外事接待178批次），国内公务接待26116人次（其中外事接待2160人次）。</w:t>
      </w:r>
    </w:p>
    <w:p>
      <w:pPr>
        <w:widowControl/>
        <w:adjustRightInd w:val="0"/>
        <w:snapToGrid w:val="0"/>
        <w:spacing w:line="360" w:lineRule="auto"/>
        <w:ind w:firstLine="643" w:firstLineChars="200"/>
        <w:rPr>
          <w:rFonts w:ascii="仿宋" w:hAnsi="仿宋" w:eastAsia="仿宋" w:cs="Times New Roman"/>
          <w:b/>
          <w:bCs/>
          <w:kern w:val="0"/>
          <w:sz w:val="32"/>
          <w:szCs w:val="32"/>
        </w:rPr>
      </w:pPr>
      <w:r>
        <w:rPr>
          <w:rFonts w:hint="eastAsia" w:ascii="仿宋" w:hAnsi="仿宋" w:eastAsia="仿宋" w:cs="Times New Roman"/>
          <w:b/>
          <w:bCs/>
          <w:kern w:val="0"/>
          <w:sz w:val="32"/>
          <w:szCs w:val="32"/>
        </w:rPr>
        <w:t>八、政府性基金预算财政拨款收入支出决算情况说明</w:t>
      </w:r>
    </w:p>
    <w:p>
      <w:pPr>
        <w:widowControl/>
        <w:adjustRightInd w:val="0"/>
        <w:snapToGrid w:val="0"/>
        <w:spacing w:line="360" w:lineRule="auto"/>
        <w:ind w:firstLine="660"/>
        <w:rPr>
          <w:rFonts w:ascii="仿宋" w:hAnsi="仿宋" w:eastAsia="仿宋" w:cs="Times New Roman"/>
          <w:bCs/>
          <w:kern w:val="0"/>
          <w:sz w:val="32"/>
          <w:szCs w:val="32"/>
        </w:rPr>
      </w:pPr>
      <w:r>
        <w:rPr>
          <w:rFonts w:hint="eastAsia" w:ascii="仿宋" w:hAnsi="仿宋" w:eastAsia="仿宋" w:cs="Times New Roman"/>
          <w:bCs/>
          <w:kern w:val="0"/>
          <w:sz w:val="32"/>
          <w:szCs w:val="32"/>
        </w:rPr>
        <w:t>本单位2018年度无政府性基金预算财政拨款收入、支出</w:t>
      </w:r>
      <w:r>
        <w:rPr>
          <w:rFonts w:hint="eastAsia" w:ascii="仿宋" w:hAnsi="仿宋" w:eastAsia="仿宋" w:cs="Times New Roman"/>
          <w:kern w:val="0"/>
          <w:sz w:val="32"/>
          <w:szCs w:val="32"/>
        </w:rPr>
        <w:t>（详见公开08表）</w:t>
      </w:r>
      <w:r>
        <w:rPr>
          <w:rFonts w:hint="eastAsia" w:ascii="仿宋" w:hAnsi="仿宋" w:eastAsia="仿宋" w:cs="Times New Roman"/>
          <w:bCs/>
          <w:kern w:val="0"/>
          <w:sz w:val="32"/>
          <w:szCs w:val="32"/>
        </w:rPr>
        <w:t>。</w:t>
      </w:r>
    </w:p>
    <w:p>
      <w:pPr>
        <w:widowControl/>
        <w:adjustRightInd w:val="0"/>
        <w:snapToGrid w:val="0"/>
        <w:spacing w:line="360" w:lineRule="auto"/>
        <w:ind w:firstLine="660"/>
        <w:rPr>
          <w:rFonts w:ascii="仿宋" w:hAnsi="仿宋" w:eastAsia="仿宋" w:cs="Times New Roman"/>
          <w:b/>
          <w:kern w:val="0"/>
          <w:sz w:val="32"/>
          <w:szCs w:val="32"/>
        </w:rPr>
      </w:pPr>
      <w:r>
        <w:rPr>
          <w:rFonts w:hint="eastAsia" w:ascii="仿宋" w:hAnsi="仿宋" w:eastAsia="仿宋" w:cs="Times New Roman"/>
          <w:b/>
          <w:bCs/>
          <w:kern w:val="0"/>
          <w:sz w:val="32"/>
          <w:szCs w:val="32"/>
        </w:rPr>
        <w:t>九、关于20</w:t>
      </w:r>
      <w:r>
        <w:rPr>
          <w:rFonts w:hint="eastAsia" w:ascii="仿宋" w:hAnsi="仿宋" w:eastAsia="仿宋" w:cs="Times New Roman"/>
          <w:b/>
          <w:kern w:val="0"/>
          <w:sz w:val="32"/>
          <w:szCs w:val="32"/>
        </w:rPr>
        <w:t>18年度预算绩效情况说明</w:t>
      </w:r>
    </w:p>
    <w:p>
      <w:pPr>
        <w:adjustRightInd w:val="0"/>
        <w:snapToGrid w:val="0"/>
        <w:spacing w:line="360" w:lineRule="auto"/>
        <w:ind w:firstLine="640" w:firstLineChars="200"/>
        <w:rPr>
          <w:rFonts w:hint="eastAsia" w:ascii="仿宋" w:hAnsi="仿宋" w:eastAsia="仿宋" w:cs="Times New Roman"/>
          <w:bCs/>
          <w:kern w:val="0"/>
          <w:sz w:val="32"/>
          <w:szCs w:val="32"/>
        </w:rPr>
      </w:pPr>
      <w:r>
        <w:rPr>
          <w:rFonts w:hint="eastAsia" w:ascii="仿宋" w:hAnsi="仿宋" w:eastAsia="仿宋" w:cs="Times New Roman"/>
          <w:bCs/>
          <w:kern w:val="0"/>
          <w:sz w:val="32"/>
          <w:szCs w:val="32"/>
        </w:rPr>
        <w:t>根据《湖南省人民政府关于全面推进预算绩效管理的意见》（湘政发〔2012〕33号）和《湖南省财政厅关于开展2018年度部门整体支出绩效自评工作的通知》（湘财绩〔2019〕2号），开展了绩效评价，具体绩效目标完成情况如下：</w:t>
      </w:r>
    </w:p>
    <w:p>
      <w:pPr>
        <w:adjustRightInd w:val="0"/>
        <w:snapToGrid w:val="0"/>
        <w:spacing w:line="360" w:lineRule="auto"/>
        <w:ind w:firstLine="643" w:firstLineChars="200"/>
        <w:rPr>
          <w:rFonts w:hint="eastAsia" w:ascii="仿宋" w:hAnsi="仿宋" w:eastAsia="仿宋" w:cs="Times New Roman"/>
          <w:b/>
          <w:bCs/>
          <w:kern w:val="0"/>
          <w:sz w:val="32"/>
          <w:szCs w:val="32"/>
        </w:rPr>
      </w:pPr>
      <w:r>
        <w:rPr>
          <w:rFonts w:hint="eastAsia" w:ascii="仿宋" w:hAnsi="仿宋" w:eastAsia="仿宋" w:cs="Times New Roman"/>
          <w:b/>
          <w:bCs/>
          <w:kern w:val="0"/>
          <w:sz w:val="32"/>
          <w:szCs w:val="32"/>
        </w:rPr>
        <w:t>（一）项目绩效目标完成情况</w:t>
      </w:r>
    </w:p>
    <w:p>
      <w:pPr>
        <w:adjustRightInd w:val="0"/>
        <w:snapToGrid w:val="0"/>
        <w:spacing w:line="360" w:lineRule="auto"/>
        <w:ind w:firstLine="640" w:firstLineChars="200"/>
        <w:rPr>
          <w:rFonts w:hint="eastAsia" w:ascii="仿宋" w:hAnsi="仿宋" w:eastAsia="仿宋" w:cs="Times New Roman"/>
          <w:bCs/>
          <w:kern w:val="0"/>
          <w:sz w:val="32"/>
          <w:szCs w:val="32"/>
        </w:rPr>
      </w:pPr>
      <w:r>
        <w:rPr>
          <w:rFonts w:hint="eastAsia" w:ascii="仿宋" w:hAnsi="仿宋" w:eastAsia="仿宋" w:cs="Times New Roman"/>
          <w:bCs/>
          <w:kern w:val="0"/>
          <w:sz w:val="32"/>
          <w:szCs w:val="32"/>
        </w:rPr>
        <w:t>（1）促进旅游产业蓬勃发展。一是加快以“锦绣潇湘”为品牌的全域旅游基地建设。省政府办公厅印发《湖南省建设全域旅游基地三年行动计划》，全省实施在建重点旅游项目387个，总投资6001.15 亿元，累计完成投资1631.46亿元，其中30个省级重点在建项目总投资1492.5亿元。确定第三批湖南省精品旅游线路重点支持县27个、第四批湖湘风情文化旅游小镇16个。30个重点国有景区（点）降低门票价格，让人民群众享有更多旅游获得感。二是促进旅游与脱贫攻坚相结合，推动旅游扶贫和乡村旅游发展。从2016年起坚持在贫困地区举办春、夏、秋、冬四季湖南乡村旅游节。举办2018年湖南旅游扶贫工作推进暨线路推介会，发布了51条湖南旅游扶贫线路，启动了“送客入村”项目，组织省内27家旅行社分13个组赴大湘西、大湘东13条旅游精品线路沿线的198个旅游扶贫重点村采风踩线，研发设计旅游扶贫产品线路。形成湖南“让美丽战胜贫困”的55个旅游扶贫典型案例，《让美丽战胜贫困》一书入选2018年国家农家书屋工程。湘鄂渝黔四省市文化和旅游部门签署了《湘鄂渝黔旅游产业扶贫框架协议》，打造湘鄂渝黔黄金旅游带，助推武陵山山区旅游产业扶贫合作。文化和旅游部、国务院扶贫办在张家界市举办的2018年全国乡村旅游与旅游扶贫推进大会暨锦绣潇湘推介会，对我省旅游扶贫工作成效和经验给予了充分肯定。三是促进旅游与革命传统教育相结合，大力发展红色旅游。研究制定《湖南省红色旅游发展三年行动计划（2018—2020年）》，启动《大湘南红色旅游重点建设项目规划》编制，结合纪念平江起义90周年，举办了2018年中国（湖南）红色旅游文化节，推出首批5个红色教育示范基地。举办2018年湖南省红色旅游景区管理人员培训班。深化红色旅游国际合作交流，开展俄罗斯莫斯科湖南红色旅游巡回宣传推介活动，打造从毛泽东家乡至列宁家乡中俄红色旅游精品线路。同时在国家文化和旅游部召开的全国红色旅游五好讲解员建设行动推进会上作交流发言。四是推动旅游与工业融合，大力发展旅游装备制造业。联合省经信委加强旅游装备制造业发展研究，联合中国旅游车船协会策划在湘举办了第七届全国自驾车旅游发展峰会，加快培育本土旅游装备企业品牌，大力引进国内外知名旅游装备企业，培育自驾游、亲水游、低空旅游等旅游新业态。举办以“发展旅游装备，提升旅游品质”为主题的2018中国湖南（第九届）旅游产业博览会暨首届旅游装备展，首次发布《2018中国旅游装备制造业发展报告》。</w:t>
      </w:r>
    </w:p>
    <w:p>
      <w:pPr>
        <w:adjustRightInd w:val="0"/>
        <w:snapToGrid w:val="0"/>
        <w:spacing w:line="360" w:lineRule="auto"/>
        <w:ind w:firstLine="640" w:firstLineChars="200"/>
        <w:rPr>
          <w:rFonts w:hint="eastAsia" w:ascii="仿宋" w:hAnsi="仿宋" w:eastAsia="仿宋" w:cs="Times New Roman"/>
          <w:bCs/>
          <w:kern w:val="0"/>
          <w:sz w:val="32"/>
          <w:szCs w:val="32"/>
        </w:rPr>
      </w:pPr>
      <w:r>
        <w:rPr>
          <w:rFonts w:hint="eastAsia" w:ascii="仿宋" w:hAnsi="仿宋" w:eastAsia="仿宋" w:cs="Times New Roman"/>
          <w:bCs/>
          <w:kern w:val="0"/>
          <w:sz w:val="32"/>
          <w:szCs w:val="32"/>
        </w:rPr>
        <w:t>（2）强化“锦绣潇湘”品牌形象宣传。制定实施《湖南省旅游市场营销三年行动计划（2018—2020年）》，在中央电视台、湖南卫视新推出“锦绣潇湘、伟人故里——湖南如此多娇”旅游形象宣传片。以开展“开放主题年”活动为契机，组织以“锦绣潇湘”为总体品牌的五大区域品牌和14个市州品牌的系列品牌推广活动。实施“湖南入境旅游全球战略合作伙伴计划”。聚焦我国“五大城市群”，在北京、上海、武汉、重庆、广州举办湖南旅游推介会。围绕“一带一路”国家和湖南省直航国际航线，深入开展“锦绣潇湘”走进“一带一路”/直航国家文化旅游合作交流系列活动，全年组织20个批次到27个国家和地区开展“锦绣潇湘”走进“一带一路”文化旅游合作交流系列活动60场次，邀请26个批次17个国家和地区300名境外旅行商和媒体来湖南实地踩线考察宣传推广湖南旅游产品，加快构建全域旅游开放发展新格局。</w:t>
      </w:r>
    </w:p>
    <w:p>
      <w:pPr>
        <w:adjustRightInd w:val="0"/>
        <w:snapToGrid w:val="0"/>
        <w:spacing w:line="360" w:lineRule="auto"/>
        <w:ind w:firstLine="640" w:firstLineChars="200"/>
        <w:rPr>
          <w:rFonts w:hint="eastAsia" w:ascii="仿宋" w:hAnsi="仿宋" w:eastAsia="仿宋" w:cs="Times New Roman"/>
          <w:bCs/>
          <w:kern w:val="0"/>
          <w:sz w:val="32"/>
          <w:szCs w:val="32"/>
        </w:rPr>
      </w:pPr>
      <w:r>
        <w:rPr>
          <w:rFonts w:hint="eastAsia" w:ascii="仿宋" w:hAnsi="仿宋" w:eastAsia="仿宋" w:cs="Times New Roman"/>
          <w:bCs/>
          <w:kern w:val="0"/>
          <w:sz w:val="32"/>
          <w:szCs w:val="32"/>
        </w:rPr>
        <w:t>（3）市场管理和综合执法能力稳步提升。一是狠抓旅游市场综合监管。开展旅游市场秩序专项整治“利剑行动”，重点检查了出境游，查处“不合理低价游”，长沙县综合执法和韶山市联合执法两种模式得到文化和旅游部肯定；建立张吉怀精品旅游带旅游市场秩序协同治理机制，组织沿线涉旅部门共同开展旅游联合执法和市场协同治理，总结推广了张家界市“铁腕治旅”的先进经验和做法。全省共组织开展旅游市场执法检查502次，共出动执法检查人员8574人次，检查旅游企业（网点）1401家，检查旅游团队3624个，检查导游人员2019名，对</w:t>
      </w:r>
      <w:r>
        <w:rPr>
          <w:rFonts w:ascii="仿宋" w:hAnsi="仿宋" w:eastAsia="仿宋" w:cs="Times New Roman"/>
          <w:bCs/>
          <w:kern w:val="0"/>
          <w:sz w:val="32"/>
          <w:szCs w:val="32"/>
        </w:rPr>
        <w:t>59</w:t>
      </w:r>
      <w:r>
        <w:rPr>
          <w:rFonts w:hint="eastAsia" w:ascii="仿宋" w:hAnsi="仿宋" w:eastAsia="仿宋" w:cs="Times New Roman"/>
          <w:bCs/>
          <w:kern w:val="0"/>
          <w:sz w:val="32"/>
          <w:szCs w:val="32"/>
        </w:rPr>
        <w:t>个涉嫌违法违规的旅游企业发出了督办通知书，办结行政处罚案件153件，对83家旅游企业和70名导游（领队）作出警告以上行政处罚，罚款金额120余万元；收到旅游投诉</w:t>
      </w:r>
      <w:r>
        <w:rPr>
          <w:rFonts w:ascii="仿宋" w:hAnsi="仿宋" w:eastAsia="仿宋" w:cs="Times New Roman"/>
          <w:bCs/>
          <w:kern w:val="0"/>
          <w:sz w:val="32"/>
          <w:szCs w:val="32"/>
        </w:rPr>
        <w:t>17</w:t>
      </w:r>
      <w:r>
        <w:rPr>
          <w:rFonts w:hint="eastAsia" w:ascii="仿宋" w:hAnsi="仿宋" w:eastAsia="仿宋" w:cs="Times New Roman"/>
          <w:bCs/>
          <w:kern w:val="0"/>
          <w:sz w:val="32"/>
          <w:szCs w:val="32"/>
        </w:rPr>
        <w:t>34件，受理</w:t>
      </w:r>
      <w:r>
        <w:rPr>
          <w:rFonts w:ascii="仿宋" w:hAnsi="仿宋" w:eastAsia="仿宋" w:cs="Times New Roman"/>
          <w:bCs/>
          <w:kern w:val="0"/>
          <w:sz w:val="32"/>
          <w:szCs w:val="32"/>
        </w:rPr>
        <w:t>164</w:t>
      </w:r>
      <w:r>
        <w:rPr>
          <w:rFonts w:hint="eastAsia" w:ascii="仿宋" w:hAnsi="仿宋" w:eastAsia="仿宋" w:cs="Times New Roman"/>
          <w:bCs/>
          <w:kern w:val="0"/>
          <w:sz w:val="32"/>
          <w:szCs w:val="32"/>
        </w:rPr>
        <w:t>9件，受理率</w:t>
      </w:r>
      <w:r>
        <w:rPr>
          <w:rFonts w:ascii="仿宋" w:hAnsi="仿宋" w:eastAsia="仿宋" w:cs="Times New Roman"/>
          <w:bCs/>
          <w:kern w:val="0"/>
          <w:sz w:val="32"/>
          <w:szCs w:val="32"/>
        </w:rPr>
        <w:t>95.</w:t>
      </w:r>
      <w:r>
        <w:rPr>
          <w:rFonts w:hint="eastAsia" w:ascii="仿宋" w:hAnsi="仿宋" w:eastAsia="仿宋" w:cs="Times New Roman"/>
          <w:bCs/>
          <w:kern w:val="0"/>
          <w:sz w:val="32"/>
          <w:szCs w:val="32"/>
        </w:rPr>
        <w:t>1</w:t>
      </w:r>
      <w:r>
        <w:rPr>
          <w:rFonts w:ascii="仿宋" w:hAnsi="仿宋" w:eastAsia="仿宋" w:cs="Times New Roman"/>
          <w:bCs/>
          <w:kern w:val="0"/>
          <w:sz w:val="32"/>
          <w:szCs w:val="32"/>
        </w:rPr>
        <w:t>%</w:t>
      </w:r>
      <w:r>
        <w:rPr>
          <w:rFonts w:hint="eastAsia" w:ascii="仿宋" w:hAnsi="仿宋" w:eastAsia="仿宋" w:cs="Times New Roman"/>
          <w:bCs/>
          <w:kern w:val="0"/>
          <w:sz w:val="32"/>
          <w:szCs w:val="32"/>
        </w:rPr>
        <w:t>，法定时限结案率超过</w:t>
      </w:r>
      <w:r>
        <w:rPr>
          <w:rFonts w:ascii="仿宋" w:hAnsi="仿宋" w:eastAsia="仿宋" w:cs="Times New Roman"/>
          <w:bCs/>
          <w:kern w:val="0"/>
          <w:sz w:val="32"/>
          <w:szCs w:val="32"/>
        </w:rPr>
        <w:t>90 %</w:t>
      </w:r>
      <w:r>
        <w:rPr>
          <w:rFonts w:hint="eastAsia" w:ascii="仿宋" w:hAnsi="仿宋" w:eastAsia="仿宋" w:cs="Times New Roman"/>
          <w:bCs/>
          <w:kern w:val="0"/>
          <w:sz w:val="32"/>
          <w:szCs w:val="32"/>
        </w:rPr>
        <w:t>，为游客挽回经济损失2</w:t>
      </w:r>
      <w:r>
        <w:rPr>
          <w:rFonts w:ascii="仿宋" w:hAnsi="仿宋" w:eastAsia="仿宋" w:cs="Times New Roman"/>
          <w:bCs/>
          <w:kern w:val="0"/>
          <w:sz w:val="32"/>
          <w:szCs w:val="32"/>
        </w:rPr>
        <w:t>30</w:t>
      </w:r>
      <w:r>
        <w:rPr>
          <w:rFonts w:hint="eastAsia" w:ascii="仿宋" w:hAnsi="仿宋" w:eastAsia="仿宋" w:cs="Times New Roman"/>
          <w:bCs/>
          <w:kern w:val="0"/>
          <w:sz w:val="32"/>
          <w:szCs w:val="32"/>
        </w:rPr>
        <w:t>多万元，游客投诉案件较去年同期下降30</w:t>
      </w:r>
      <w:r>
        <w:rPr>
          <w:rFonts w:ascii="仿宋" w:hAnsi="仿宋" w:eastAsia="仿宋" w:cs="Times New Roman"/>
          <w:bCs/>
          <w:kern w:val="0"/>
          <w:sz w:val="32"/>
          <w:szCs w:val="32"/>
        </w:rPr>
        <w:t>%,</w:t>
      </w:r>
      <w:r>
        <w:rPr>
          <w:rFonts w:hint="eastAsia" w:ascii="仿宋" w:hAnsi="仿宋" w:eastAsia="仿宋" w:cs="Times New Roman"/>
          <w:bCs/>
          <w:kern w:val="0"/>
          <w:sz w:val="32"/>
          <w:szCs w:val="32"/>
        </w:rPr>
        <w:t>全省旅游市场秩序良好。二是深化“放管服”改革，推进文旅政务便利化。文化领域取消下放90 %的行政审批事项，完成旅行社服务网点“多证合一”备案、旅行社“先照后证，证照分离” 网上审批，电子导游证的申领换发，实现与省政府数据对接信息共享，实现《全国旅游服务监管平台》的全覆盖。实现旅游安全监管和安全风险管控前移，以省政府办公厅名义印发《湖南省旅游突发事件应急预案》，广泛开展旅游安全检查和旅游安全培训。</w:t>
      </w:r>
    </w:p>
    <w:p>
      <w:pPr>
        <w:adjustRightInd w:val="0"/>
        <w:snapToGrid w:val="0"/>
        <w:spacing w:line="360" w:lineRule="auto"/>
        <w:ind w:firstLine="643" w:firstLineChars="200"/>
        <w:rPr>
          <w:rFonts w:hint="eastAsia" w:ascii="仿宋" w:hAnsi="仿宋" w:eastAsia="仿宋" w:cs="Times New Roman"/>
          <w:b/>
          <w:bCs/>
          <w:kern w:val="0"/>
          <w:sz w:val="32"/>
          <w:szCs w:val="32"/>
        </w:rPr>
      </w:pPr>
      <w:r>
        <w:rPr>
          <w:rFonts w:hint="eastAsia" w:ascii="仿宋" w:hAnsi="仿宋" w:eastAsia="仿宋" w:cs="Times New Roman"/>
          <w:b/>
          <w:bCs/>
          <w:kern w:val="0"/>
          <w:sz w:val="32"/>
          <w:szCs w:val="32"/>
        </w:rPr>
        <w:t>（二）整体支出绩效目标实现情况</w:t>
      </w:r>
    </w:p>
    <w:p>
      <w:pPr>
        <w:adjustRightInd w:val="0"/>
        <w:snapToGrid w:val="0"/>
        <w:spacing w:line="360" w:lineRule="auto"/>
        <w:ind w:firstLine="640" w:firstLineChars="200"/>
        <w:rPr>
          <w:rFonts w:ascii="仿宋_GB2312" w:eastAsia="仿宋_GB2312"/>
          <w:sz w:val="32"/>
          <w:szCs w:val="32"/>
        </w:rPr>
      </w:pPr>
      <w:r>
        <w:rPr>
          <w:rFonts w:hint="eastAsia" w:ascii="仿宋" w:hAnsi="仿宋" w:eastAsia="仿宋" w:cs="Times New Roman"/>
          <w:bCs/>
          <w:kern w:val="0"/>
          <w:sz w:val="32"/>
          <w:szCs w:val="32"/>
        </w:rPr>
        <w:t>2018年是贯彻落实党的十九大精神的开局之年，是改革开放40周年，面对复杂的外部环境，全省旅游行业保持了稳中有进的发展态势。</w:t>
      </w:r>
      <w:r>
        <w:rPr>
          <w:rFonts w:ascii="仿宋" w:hAnsi="仿宋" w:eastAsia="仿宋" w:cs="Times New Roman"/>
          <w:bCs/>
          <w:kern w:val="0"/>
          <w:sz w:val="32"/>
          <w:szCs w:val="32"/>
        </w:rPr>
        <w:t>2018年湖南省接待国内外旅游者7.53亿人次，同比增长12.5%；实现旅游总收入8355.73亿元，同比增长16.49%，其中接待入境旅游者365.08万人次，同比增长13.14%；实现旅游创汇15.2亿美元，同比增长17.37%。</w:t>
      </w:r>
    </w:p>
    <w:p>
      <w:pPr>
        <w:widowControl/>
        <w:adjustRightInd w:val="0"/>
        <w:snapToGrid w:val="0"/>
        <w:spacing w:line="360" w:lineRule="auto"/>
        <w:ind w:firstLine="660"/>
        <w:rPr>
          <w:rFonts w:ascii="仿宋" w:hAnsi="仿宋" w:eastAsia="仿宋" w:cs="Times New Roman"/>
          <w:b/>
          <w:kern w:val="0"/>
          <w:sz w:val="32"/>
          <w:szCs w:val="32"/>
        </w:rPr>
      </w:pPr>
      <w:r>
        <w:rPr>
          <w:rFonts w:hint="eastAsia" w:ascii="仿宋" w:hAnsi="仿宋" w:eastAsia="仿宋" w:cs="Times New Roman"/>
          <w:b/>
          <w:kern w:val="0"/>
          <w:sz w:val="32"/>
          <w:szCs w:val="32"/>
        </w:rPr>
        <w:t>十、其他重要事项的情况说明</w:t>
      </w:r>
    </w:p>
    <w:p>
      <w:pPr>
        <w:autoSpaceDE w:val="0"/>
        <w:autoSpaceDN w:val="0"/>
        <w:adjustRightInd w:val="0"/>
        <w:snapToGrid w:val="0"/>
        <w:spacing w:line="360" w:lineRule="auto"/>
        <w:ind w:firstLine="643" w:firstLineChars="200"/>
        <w:jc w:val="left"/>
        <w:rPr>
          <w:rFonts w:ascii="仿宋" w:hAnsi="仿宋" w:eastAsia="仿宋" w:cs="Times New Roman"/>
          <w:b/>
          <w:kern w:val="0"/>
          <w:sz w:val="32"/>
          <w:szCs w:val="32"/>
        </w:rPr>
      </w:pPr>
      <w:r>
        <w:rPr>
          <w:rFonts w:hint="eastAsia" w:ascii="仿宋" w:hAnsi="仿宋" w:eastAsia="仿宋" w:cs="Times New Roman"/>
          <w:b/>
          <w:kern w:val="0"/>
          <w:sz w:val="32"/>
          <w:szCs w:val="32"/>
        </w:rPr>
        <w:t>（一）机关运行经费支出情况。</w:t>
      </w:r>
      <w:r>
        <w:rPr>
          <w:rFonts w:hint="eastAsia" w:ascii="仿宋" w:hAnsi="仿宋" w:eastAsia="仿宋" w:cs="Times New Roman"/>
          <w:kern w:val="0"/>
          <w:sz w:val="32"/>
          <w:szCs w:val="32"/>
        </w:rPr>
        <w:t>本部门2018年度机关运行经费支出</w:t>
      </w:r>
      <w:r>
        <w:rPr>
          <w:rFonts w:hint="eastAsia" w:ascii="仿宋" w:hAnsi="仿宋" w:eastAsia="仿宋"/>
          <w:kern w:val="0"/>
          <w:sz w:val="32"/>
          <w:szCs w:val="32"/>
        </w:rPr>
        <w:t>2121.79</w:t>
      </w:r>
      <w:r>
        <w:rPr>
          <w:rFonts w:hint="eastAsia" w:ascii="仿宋" w:hAnsi="仿宋" w:eastAsia="仿宋" w:cs="Times New Roman"/>
          <w:bCs/>
          <w:kern w:val="0"/>
          <w:sz w:val="32"/>
          <w:szCs w:val="32"/>
        </w:rPr>
        <w:t>万元</w:t>
      </w:r>
      <w:r>
        <w:rPr>
          <w:rFonts w:hint="eastAsia" w:ascii="仿宋" w:hAnsi="仿宋" w:eastAsia="仿宋" w:cs="Times New Roman"/>
          <w:kern w:val="0"/>
          <w:sz w:val="32"/>
          <w:szCs w:val="32"/>
        </w:rPr>
        <w:t>，比年初预算增加647.52万元，增长43.92%。主要原因是：</w:t>
      </w:r>
      <w:r>
        <w:rPr>
          <w:rFonts w:hint="eastAsia" w:ascii="仿宋" w:hAnsi="仿宋" w:eastAsia="仿宋" w:cs="Times New Roman"/>
          <w:bCs/>
          <w:kern w:val="0"/>
          <w:sz w:val="32"/>
          <w:szCs w:val="32"/>
        </w:rPr>
        <w:t>年中省财政追</w:t>
      </w:r>
      <w:r>
        <w:rPr>
          <w:rFonts w:hint="eastAsia" w:ascii="仿宋" w:hAnsi="仿宋" w:eastAsia="仿宋" w:cs="Times New Roman"/>
          <w:kern w:val="0"/>
          <w:sz w:val="32"/>
          <w:szCs w:val="32"/>
        </w:rPr>
        <w:t>加安排了综治奖、政府绩效考核奖、基本工资提标等经费，并调剂了2018年度年终一次性奖金和文明奖等经费，支出相应增加</w:t>
      </w:r>
      <w:r>
        <w:rPr>
          <w:rFonts w:hint="eastAsia" w:ascii="仿宋" w:hAnsi="仿宋" w:eastAsia="仿宋" w:cs="Times New Roman"/>
          <w:bCs/>
          <w:kern w:val="0"/>
          <w:sz w:val="32"/>
          <w:szCs w:val="32"/>
        </w:rPr>
        <w:t>。</w:t>
      </w:r>
    </w:p>
    <w:p>
      <w:pPr>
        <w:autoSpaceDE w:val="0"/>
        <w:autoSpaceDN w:val="0"/>
        <w:adjustRightInd w:val="0"/>
        <w:snapToGrid w:val="0"/>
        <w:spacing w:line="360" w:lineRule="auto"/>
        <w:ind w:firstLine="643" w:firstLineChars="200"/>
        <w:jc w:val="left"/>
        <w:rPr>
          <w:rFonts w:ascii="仿宋" w:hAnsi="仿宋" w:eastAsia="仿宋" w:cs="Times New Roman"/>
          <w:kern w:val="0"/>
          <w:sz w:val="32"/>
          <w:szCs w:val="32"/>
        </w:rPr>
      </w:pPr>
      <w:r>
        <w:rPr>
          <w:rFonts w:hint="eastAsia" w:ascii="仿宋" w:hAnsi="仿宋" w:eastAsia="仿宋" w:cs="Times New Roman"/>
          <w:b/>
          <w:kern w:val="0"/>
          <w:sz w:val="32"/>
          <w:szCs w:val="32"/>
        </w:rPr>
        <w:t>（二）政府采购支出情况。</w:t>
      </w:r>
      <w:r>
        <w:rPr>
          <w:rFonts w:hint="eastAsia" w:ascii="仿宋" w:hAnsi="仿宋" w:eastAsia="仿宋" w:cs="Times New Roman"/>
          <w:kern w:val="0"/>
          <w:sz w:val="32"/>
          <w:szCs w:val="32"/>
        </w:rPr>
        <w:t>本部门2018年度政府采购支出总额12599.49万元，其中：政府采购货物支出822.49万元、政府采购服务支出11777.00万元。授予中小企业合同金额12599.49万元，其中：授予小微企业合同金额7698.60万元，占政府采购支出金额的61.10%。</w:t>
      </w:r>
    </w:p>
    <w:p>
      <w:pPr>
        <w:autoSpaceDE w:val="0"/>
        <w:autoSpaceDN w:val="0"/>
        <w:adjustRightInd w:val="0"/>
        <w:snapToGrid w:val="0"/>
        <w:spacing w:line="360" w:lineRule="auto"/>
        <w:ind w:firstLine="803" w:firstLineChars="250"/>
        <w:rPr>
          <w:rFonts w:ascii="仿宋" w:hAnsi="仿宋" w:eastAsia="仿宋" w:cs="Times New Roman"/>
          <w:kern w:val="0"/>
          <w:sz w:val="32"/>
          <w:szCs w:val="32"/>
        </w:rPr>
      </w:pPr>
      <w:r>
        <w:rPr>
          <w:rFonts w:hint="eastAsia" w:ascii="仿宋" w:hAnsi="仿宋" w:eastAsia="仿宋" w:cs="Times New Roman"/>
          <w:b/>
          <w:kern w:val="0"/>
          <w:sz w:val="32"/>
          <w:szCs w:val="32"/>
        </w:rPr>
        <w:t>（三）国有资产占用情况。</w:t>
      </w:r>
      <w:r>
        <w:rPr>
          <w:rFonts w:hint="eastAsia" w:ascii="仿宋" w:hAnsi="仿宋" w:eastAsia="仿宋" w:cs="Times New Roman"/>
          <w:kern w:val="0"/>
          <w:sz w:val="32"/>
          <w:szCs w:val="32"/>
        </w:rPr>
        <w:t>截至2018年12月31日，本部门共有车辆5辆，全为一般公务用车；单位价值50万元以上通用设备0台（套），单价100万元以上专用设备0台（套）。</w:t>
      </w:r>
    </w:p>
    <w:p>
      <w:pPr>
        <w:autoSpaceDE w:val="0"/>
        <w:autoSpaceDN w:val="0"/>
        <w:adjustRightInd w:val="0"/>
        <w:snapToGrid w:val="0"/>
        <w:spacing w:line="360" w:lineRule="auto"/>
        <w:ind w:firstLine="800" w:firstLineChars="250"/>
        <w:rPr>
          <w:rFonts w:ascii="仿宋" w:hAnsi="仿宋" w:eastAsia="仿宋" w:cs="Times New Roman"/>
          <w:kern w:val="0"/>
          <w:sz w:val="32"/>
          <w:szCs w:val="32"/>
        </w:rPr>
      </w:pPr>
    </w:p>
    <w:p>
      <w:pPr>
        <w:widowControl/>
        <w:adjustRightInd w:val="0"/>
        <w:snapToGrid w:val="0"/>
        <w:spacing w:line="360" w:lineRule="auto"/>
        <w:rPr>
          <w:rFonts w:ascii="仿宋" w:hAnsi="仿宋" w:eastAsia="仿宋" w:cs="Times New Roman"/>
          <w:sz w:val="32"/>
          <w:szCs w:val="32"/>
        </w:rPr>
      </w:pPr>
      <w:r>
        <w:rPr>
          <w:rFonts w:hint="eastAsia" w:ascii="Times New Roman" w:hAnsi="Times New Roman" w:eastAsia="黑体" w:cs="Times New Roman"/>
          <w:bCs/>
          <w:kern w:val="0"/>
          <w:sz w:val="32"/>
          <w:szCs w:val="32"/>
        </w:rPr>
        <w:t>第四部分  名词解释</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1、财政拨款收入：指省级财政当年拨付的资金。</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2、其他收入：指除“财政拨款收入”以外的收入。主要是上级单位拨款、存款利息收入等。</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3、基本支出：指为保障机构正常运转、完成日常工作任务而发生的行政单位(含参照公务员法管理的事业单位)履行一般行政管理职能，维持机关日常运转所必须开支的费用，包括用于工资、津贴及奖金等的人员经费和用于办公、水电费等的公用经费。</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4、项目支出：指在基本支出之外为完成特定行政任务和事业发展目标所发生的支出。</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5、年初结转和结余：指以前年度尚未完成、结转到本年仍按原规定用途继续使用的资金，或项目已完成等产生的结余资金。</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6、年末结转和结余：指单位按有关规定结转到下年或以后年度继续使用的资金。</w:t>
      </w:r>
    </w:p>
    <w:p>
      <w:pPr>
        <w:pStyle w:val="5"/>
        <w:shd w:val="clear" w:color="auto" w:fill="FFFFFF"/>
        <w:adjustRightInd w:val="0"/>
        <w:snapToGrid w:val="0"/>
        <w:spacing w:before="0" w:beforeAutospacing="0" w:after="0" w:afterAutospacing="0" w:line="360" w:lineRule="auto"/>
        <w:ind w:firstLine="640" w:firstLineChars="200"/>
        <w:rPr>
          <w:rFonts w:ascii="仿宋" w:hAnsi="仿宋" w:eastAsia="仿宋"/>
          <w:kern w:val="0"/>
          <w:sz w:val="32"/>
          <w:szCs w:val="32"/>
        </w:rPr>
      </w:pPr>
      <w:r>
        <w:rPr>
          <w:rFonts w:hint="eastAsia" w:ascii="仿宋" w:hAnsi="仿宋" w:eastAsia="仿宋"/>
          <w:kern w:val="0"/>
          <w:sz w:val="32"/>
          <w:szCs w:val="32"/>
        </w:rPr>
        <w:t>7、“三公”经费：纳入财政预决算管理的“三公”经费，是指用财政拨款安排的因公出国(境)费、公务用车购置及运行费和公务接待费。其中，因公出国(境)费反映单位因公务出国(境)的国际旅费、国外城市间交通费、住宿费、伙食费、培训费、公杂费等支出；公务用车购置及运行费反映单位因公务用车车辆购置支出(含车辆购置税)及租用费、燃料费、维修费、过路过桥费、保险费、安全奖励费用等支出；公务接待费反映单位按中央和省委省政府相关规定开支的各类公务接待(含外宾接待)支出。</w:t>
      </w:r>
    </w:p>
    <w:p>
      <w:pPr>
        <w:adjustRightInd w:val="0"/>
        <w:snapToGrid w:val="0"/>
        <w:spacing w:line="360" w:lineRule="auto"/>
        <w:ind w:firstLine="640" w:firstLineChars="200"/>
        <w:rPr>
          <w:rFonts w:ascii="仿宋" w:hAnsi="仿宋" w:eastAsia="仿宋"/>
        </w:rPr>
      </w:pPr>
      <w:r>
        <w:rPr>
          <w:rFonts w:hint="eastAsia" w:ascii="仿宋" w:hAnsi="仿宋" w:eastAsia="仿宋"/>
          <w:kern w:val="0"/>
          <w:sz w:val="32"/>
          <w:szCs w:val="32"/>
        </w:rPr>
        <w:t>8、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482"/>
      <w:jc w:val="center"/>
    </w:pPr>
    <w:r>
      <w:rPr>
        <w:rFonts w:hint="eastAsia"/>
        <w:b/>
        <w:sz w:val="24"/>
        <w:szCs w:val="24"/>
      </w:rPr>
      <w:t>－</w:t>
    </w:r>
    <w:r>
      <w:rPr>
        <w:rFonts w:ascii="Arial" w:hAnsi="Arial" w:cs="Arial"/>
        <w:b/>
        <w:sz w:val="21"/>
        <w:szCs w:val="21"/>
      </w:rPr>
      <w:fldChar w:fldCharType="begin"/>
    </w:r>
    <w:r>
      <w:rPr>
        <w:rFonts w:ascii="Arial" w:hAnsi="Arial" w:cs="Arial"/>
        <w:b/>
        <w:sz w:val="21"/>
        <w:szCs w:val="21"/>
      </w:rPr>
      <w:instrText xml:space="preserve">PAGE</w:instrText>
    </w:r>
    <w:r>
      <w:rPr>
        <w:rFonts w:ascii="Arial" w:hAnsi="Arial" w:cs="Arial"/>
        <w:b/>
        <w:sz w:val="21"/>
        <w:szCs w:val="21"/>
      </w:rPr>
      <w:fldChar w:fldCharType="separate"/>
    </w:r>
    <w:r>
      <w:rPr>
        <w:rFonts w:ascii="Arial" w:hAnsi="Arial" w:cs="Arial"/>
        <w:b/>
        <w:sz w:val="21"/>
        <w:szCs w:val="21"/>
      </w:rPr>
      <w:t>17</w:t>
    </w:r>
    <w:r>
      <w:rPr>
        <w:rFonts w:ascii="Arial" w:hAnsi="Arial" w:cs="Arial"/>
        <w:b/>
        <w:sz w:val="21"/>
        <w:szCs w:val="21"/>
      </w:rPr>
      <w:fldChar w:fldCharType="end"/>
    </w:r>
    <w:r>
      <w:rPr>
        <w:rFonts w:hint="eastAsia"/>
        <w:b/>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E384F"/>
    <w:multiLevelType w:val="multilevel"/>
    <w:tmpl w:val="2A8E384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84A8E"/>
    <w:rsid w:val="0000396C"/>
    <w:rsid w:val="00014F8D"/>
    <w:rsid w:val="0002580F"/>
    <w:rsid w:val="00045381"/>
    <w:rsid w:val="00053B5E"/>
    <w:rsid w:val="00063E5A"/>
    <w:rsid w:val="00067E96"/>
    <w:rsid w:val="00071237"/>
    <w:rsid w:val="000722E1"/>
    <w:rsid w:val="000A3B16"/>
    <w:rsid w:val="000B0A22"/>
    <w:rsid w:val="000B0AF3"/>
    <w:rsid w:val="000D6264"/>
    <w:rsid w:val="000D67F9"/>
    <w:rsid w:val="000D734F"/>
    <w:rsid w:val="0010547A"/>
    <w:rsid w:val="00106B0B"/>
    <w:rsid w:val="001126DE"/>
    <w:rsid w:val="00121BEB"/>
    <w:rsid w:val="00121CF7"/>
    <w:rsid w:val="001313C1"/>
    <w:rsid w:val="0013198D"/>
    <w:rsid w:val="001374CC"/>
    <w:rsid w:val="0014319B"/>
    <w:rsid w:val="0016239A"/>
    <w:rsid w:val="001738C6"/>
    <w:rsid w:val="00196737"/>
    <w:rsid w:val="001B2D55"/>
    <w:rsid w:val="001B405B"/>
    <w:rsid w:val="001C55ED"/>
    <w:rsid w:val="001C76D8"/>
    <w:rsid w:val="001C7DF1"/>
    <w:rsid w:val="001D0B9C"/>
    <w:rsid w:val="001E75CB"/>
    <w:rsid w:val="001F2ECD"/>
    <w:rsid w:val="001F6302"/>
    <w:rsid w:val="00221C69"/>
    <w:rsid w:val="0022273F"/>
    <w:rsid w:val="00223992"/>
    <w:rsid w:val="00280052"/>
    <w:rsid w:val="002831E7"/>
    <w:rsid w:val="00287575"/>
    <w:rsid w:val="002A055D"/>
    <w:rsid w:val="002E53F4"/>
    <w:rsid w:val="002F06C2"/>
    <w:rsid w:val="002F3363"/>
    <w:rsid w:val="002F7152"/>
    <w:rsid w:val="00302072"/>
    <w:rsid w:val="00312528"/>
    <w:rsid w:val="0032659A"/>
    <w:rsid w:val="00331212"/>
    <w:rsid w:val="003368E2"/>
    <w:rsid w:val="00342ACE"/>
    <w:rsid w:val="0034481E"/>
    <w:rsid w:val="00362FFA"/>
    <w:rsid w:val="00366933"/>
    <w:rsid w:val="003946BD"/>
    <w:rsid w:val="003B595F"/>
    <w:rsid w:val="003B62C4"/>
    <w:rsid w:val="003C05DB"/>
    <w:rsid w:val="003C0E07"/>
    <w:rsid w:val="003C55FC"/>
    <w:rsid w:val="003D12D8"/>
    <w:rsid w:val="003D6D54"/>
    <w:rsid w:val="003E6AD9"/>
    <w:rsid w:val="003F0B3B"/>
    <w:rsid w:val="004025FF"/>
    <w:rsid w:val="00404E19"/>
    <w:rsid w:val="0042466C"/>
    <w:rsid w:val="00427E6F"/>
    <w:rsid w:val="0043410F"/>
    <w:rsid w:val="004428B6"/>
    <w:rsid w:val="00443EB8"/>
    <w:rsid w:val="00445114"/>
    <w:rsid w:val="00446B1E"/>
    <w:rsid w:val="00456DB2"/>
    <w:rsid w:val="004663EB"/>
    <w:rsid w:val="00472BE8"/>
    <w:rsid w:val="00474309"/>
    <w:rsid w:val="004908FF"/>
    <w:rsid w:val="00490C44"/>
    <w:rsid w:val="00490D3D"/>
    <w:rsid w:val="004A03D3"/>
    <w:rsid w:val="004A5F66"/>
    <w:rsid w:val="004C0935"/>
    <w:rsid w:val="004C441C"/>
    <w:rsid w:val="004C668D"/>
    <w:rsid w:val="004D7B9C"/>
    <w:rsid w:val="004E3160"/>
    <w:rsid w:val="004E6C9F"/>
    <w:rsid w:val="004F2857"/>
    <w:rsid w:val="00512960"/>
    <w:rsid w:val="0051730E"/>
    <w:rsid w:val="00531E52"/>
    <w:rsid w:val="0054376C"/>
    <w:rsid w:val="00557DB6"/>
    <w:rsid w:val="00561D91"/>
    <w:rsid w:val="005625A1"/>
    <w:rsid w:val="00590662"/>
    <w:rsid w:val="005A23EB"/>
    <w:rsid w:val="005A750C"/>
    <w:rsid w:val="005B0C2A"/>
    <w:rsid w:val="005B7510"/>
    <w:rsid w:val="005C6820"/>
    <w:rsid w:val="005D2748"/>
    <w:rsid w:val="005D3D52"/>
    <w:rsid w:val="005D7943"/>
    <w:rsid w:val="005E7021"/>
    <w:rsid w:val="005F2BCA"/>
    <w:rsid w:val="006266A6"/>
    <w:rsid w:val="006500DF"/>
    <w:rsid w:val="00655CE1"/>
    <w:rsid w:val="00655FC1"/>
    <w:rsid w:val="0066219D"/>
    <w:rsid w:val="00674220"/>
    <w:rsid w:val="00675927"/>
    <w:rsid w:val="00681712"/>
    <w:rsid w:val="006915FE"/>
    <w:rsid w:val="00696257"/>
    <w:rsid w:val="006C4007"/>
    <w:rsid w:val="006E4423"/>
    <w:rsid w:val="007009FC"/>
    <w:rsid w:val="007022E9"/>
    <w:rsid w:val="00713E89"/>
    <w:rsid w:val="0072303A"/>
    <w:rsid w:val="0072314F"/>
    <w:rsid w:val="00742295"/>
    <w:rsid w:val="0075782C"/>
    <w:rsid w:val="00760D69"/>
    <w:rsid w:val="00762EFC"/>
    <w:rsid w:val="0077261D"/>
    <w:rsid w:val="00781171"/>
    <w:rsid w:val="007835E0"/>
    <w:rsid w:val="0078383A"/>
    <w:rsid w:val="00787EE9"/>
    <w:rsid w:val="0079157A"/>
    <w:rsid w:val="007942A0"/>
    <w:rsid w:val="007A2DC2"/>
    <w:rsid w:val="007A736B"/>
    <w:rsid w:val="007B0008"/>
    <w:rsid w:val="007B443C"/>
    <w:rsid w:val="007B4E49"/>
    <w:rsid w:val="007D0245"/>
    <w:rsid w:val="007D620F"/>
    <w:rsid w:val="007D7671"/>
    <w:rsid w:val="007F6521"/>
    <w:rsid w:val="00823D36"/>
    <w:rsid w:val="00825C8A"/>
    <w:rsid w:val="00842795"/>
    <w:rsid w:val="008520E7"/>
    <w:rsid w:val="00860953"/>
    <w:rsid w:val="00863D3A"/>
    <w:rsid w:val="00866C97"/>
    <w:rsid w:val="008727A8"/>
    <w:rsid w:val="0087620B"/>
    <w:rsid w:val="00877367"/>
    <w:rsid w:val="00885622"/>
    <w:rsid w:val="00885802"/>
    <w:rsid w:val="00890012"/>
    <w:rsid w:val="008921D4"/>
    <w:rsid w:val="00893F81"/>
    <w:rsid w:val="00895A40"/>
    <w:rsid w:val="008A35DA"/>
    <w:rsid w:val="008A47C8"/>
    <w:rsid w:val="008A4F79"/>
    <w:rsid w:val="008C0D0B"/>
    <w:rsid w:val="008F3807"/>
    <w:rsid w:val="008F7BE8"/>
    <w:rsid w:val="00902D71"/>
    <w:rsid w:val="009138F9"/>
    <w:rsid w:val="00926A56"/>
    <w:rsid w:val="00955403"/>
    <w:rsid w:val="00965253"/>
    <w:rsid w:val="009664AF"/>
    <w:rsid w:val="00980BD5"/>
    <w:rsid w:val="009829F6"/>
    <w:rsid w:val="00982C8C"/>
    <w:rsid w:val="009C63A9"/>
    <w:rsid w:val="009D4542"/>
    <w:rsid w:val="009D4755"/>
    <w:rsid w:val="009E412D"/>
    <w:rsid w:val="009F0E87"/>
    <w:rsid w:val="009F280A"/>
    <w:rsid w:val="009F4F41"/>
    <w:rsid w:val="00A0516B"/>
    <w:rsid w:val="00A141F0"/>
    <w:rsid w:val="00A16602"/>
    <w:rsid w:val="00A175D1"/>
    <w:rsid w:val="00A245FF"/>
    <w:rsid w:val="00A3341D"/>
    <w:rsid w:val="00A374E2"/>
    <w:rsid w:val="00A45175"/>
    <w:rsid w:val="00A611F5"/>
    <w:rsid w:val="00A731F2"/>
    <w:rsid w:val="00A8613A"/>
    <w:rsid w:val="00A871BD"/>
    <w:rsid w:val="00A9678D"/>
    <w:rsid w:val="00AB6999"/>
    <w:rsid w:val="00AC016C"/>
    <w:rsid w:val="00AC32DE"/>
    <w:rsid w:val="00AD185D"/>
    <w:rsid w:val="00AE1E13"/>
    <w:rsid w:val="00AE4383"/>
    <w:rsid w:val="00AF1BB7"/>
    <w:rsid w:val="00B0686B"/>
    <w:rsid w:val="00B06E86"/>
    <w:rsid w:val="00B135B5"/>
    <w:rsid w:val="00B355BF"/>
    <w:rsid w:val="00B447CA"/>
    <w:rsid w:val="00B50B06"/>
    <w:rsid w:val="00B65C92"/>
    <w:rsid w:val="00B8368D"/>
    <w:rsid w:val="00B83ABC"/>
    <w:rsid w:val="00BA02F4"/>
    <w:rsid w:val="00BA1FA2"/>
    <w:rsid w:val="00BB7F44"/>
    <w:rsid w:val="00BC22FC"/>
    <w:rsid w:val="00BC297B"/>
    <w:rsid w:val="00BC4C4B"/>
    <w:rsid w:val="00BD1569"/>
    <w:rsid w:val="00BF1F0B"/>
    <w:rsid w:val="00C049CB"/>
    <w:rsid w:val="00C101E7"/>
    <w:rsid w:val="00C1573F"/>
    <w:rsid w:val="00C16682"/>
    <w:rsid w:val="00C17609"/>
    <w:rsid w:val="00C359CB"/>
    <w:rsid w:val="00C82E51"/>
    <w:rsid w:val="00CA71E9"/>
    <w:rsid w:val="00CC196A"/>
    <w:rsid w:val="00CD61FA"/>
    <w:rsid w:val="00CE4DDF"/>
    <w:rsid w:val="00D13682"/>
    <w:rsid w:val="00D255AE"/>
    <w:rsid w:val="00D35238"/>
    <w:rsid w:val="00D42FE2"/>
    <w:rsid w:val="00D51828"/>
    <w:rsid w:val="00D56461"/>
    <w:rsid w:val="00D62947"/>
    <w:rsid w:val="00D73FB9"/>
    <w:rsid w:val="00D75082"/>
    <w:rsid w:val="00D813EB"/>
    <w:rsid w:val="00D84A8E"/>
    <w:rsid w:val="00D852B2"/>
    <w:rsid w:val="00D9054A"/>
    <w:rsid w:val="00D9071A"/>
    <w:rsid w:val="00D920E8"/>
    <w:rsid w:val="00DA7CF2"/>
    <w:rsid w:val="00DD1392"/>
    <w:rsid w:val="00DF4BBF"/>
    <w:rsid w:val="00E1743B"/>
    <w:rsid w:val="00E2353C"/>
    <w:rsid w:val="00E3306E"/>
    <w:rsid w:val="00E53BC4"/>
    <w:rsid w:val="00E60FB5"/>
    <w:rsid w:val="00E71860"/>
    <w:rsid w:val="00E843F6"/>
    <w:rsid w:val="00E91D5F"/>
    <w:rsid w:val="00E944EC"/>
    <w:rsid w:val="00E96CD5"/>
    <w:rsid w:val="00EA7A53"/>
    <w:rsid w:val="00EB4CDE"/>
    <w:rsid w:val="00EC22E6"/>
    <w:rsid w:val="00EF0B41"/>
    <w:rsid w:val="00F0012A"/>
    <w:rsid w:val="00F006CE"/>
    <w:rsid w:val="00F075F4"/>
    <w:rsid w:val="00F22E6F"/>
    <w:rsid w:val="00F5057A"/>
    <w:rsid w:val="00F50F98"/>
    <w:rsid w:val="00F6480A"/>
    <w:rsid w:val="00F67AB7"/>
    <w:rsid w:val="00F77076"/>
    <w:rsid w:val="00F83ECE"/>
    <w:rsid w:val="00F84841"/>
    <w:rsid w:val="00F91A31"/>
    <w:rsid w:val="00FB50AD"/>
    <w:rsid w:val="00FB5338"/>
    <w:rsid w:val="00FC11B7"/>
    <w:rsid w:val="00FC58E4"/>
    <w:rsid w:val="00FD2D41"/>
    <w:rsid w:val="00FD2F56"/>
    <w:rsid w:val="00FD4F8E"/>
    <w:rsid w:val="00FF4EAA"/>
    <w:rsid w:val="00FF517E"/>
    <w:rsid w:val="00FF5A03"/>
    <w:rsid w:val="00FF7843"/>
    <w:rsid w:val="13DE0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uiPriority w:val="0"/>
    <w:pPr>
      <w:widowControl w:val="0"/>
      <w:spacing w:before="100" w:beforeAutospacing="1" w:after="100" w:afterAutospacing="1"/>
    </w:pPr>
    <w:rPr>
      <w:rFonts w:ascii="宋体" w:hAnsi="Times New Roman" w:eastAsia="宋体" w:cs="Times New Roman"/>
      <w:kern w:val="2"/>
      <w:sz w:val="24"/>
      <w:szCs w:val="20"/>
      <w:lang w:val="en-US" w:eastAsia="zh-CN" w:bidi="ar-SA"/>
    </w:rPr>
  </w:style>
  <w:style w:type="character" w:customStyle="1" w:styleId="8">
    <w:name w:val="页眉 Char"/>
    <w:basedOn w:val="6"/>
    <w:link w:val="4"/>
    <w:qFormat/>
    <w:uiPriority w:val="99"/>
    <w:rPr>
      <w:sz w:val="18"/>
      <w:szCs w:val="18"/>
    </w:rPr>
  </w:style>
  <w:style w:type="character" w:customStyle="1" w:styleId="9">
    <w:name w:val="页脚 Char"/>
    <w:basedOn w:val="6"/>
    <w:link w:val="3"/>
    <w:uiPriority w:val="99"/>
    <w:rPr>
      <w:sz w:val="18"/>
      <w:szCs w:val="18"/>
    </w:rPr>
  </w:style>
  <w:style w:type="character" w:customStyle="1" w:styleId="10">
    <w:name w:val="批注框文本 Char"/>
    <w:basedOn w:val="6"/>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1198</Words>
  <Characters>6832</Characters>
  <Lines>56</Lines>
  <Paragraphs>16</Paragraphs>
  <TotalTime>667</TotalTime>
  <ScaleCrop>false</ScaleCrop>
  <LinksUpToDate>false</LinksUpToDate>
  <CharactersWithSpaces>8014</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2019-09-02T03:26:00Z</dcterms:created>
  <dc:creator>周亮辉 10.104.93.85</dc:creator>
  <cp:lastModifiedBy>周峥</cp:lastModifiedBy>
  <dcterms:modified xsi:type="dcterms:W3CDTF">2019-09-06T00:43:07Z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