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Ansi="黑体"/>
          <w:sz w:val="84"/>
          <w:szCs w:val="84"/>
        </w:rPr>
      </w:pPr>
      <w:r>
        <w:rPr>
          <w:rFonts w:hint="eastAsia" w:hAnsi="黑体"/>
          <w:sz w:val="84"/>
          <w:szCs w:val="84"/>
        </w:rPr>
        <w:t>2020年度</w:t>
      </w:r>
    </w:p>
    <w:p>
      <w:pPr>
        <w:pStyle w:val="12"/>
        <w:jc w:val="center"/>
        <w:rPr>
          <w:rFonts w:hAnsi="黑体"/>
          <w:sz w:val="84"/>
          <w:szCs w:val="84"/>
        </w:rPr>
      </w:pPr>
      <w:r>
        <w:rPr>
          <w:rFonts w:hint="eastAsia" w:hAnsi="黑体"/>
          <w:sz w:val="84"/>
          <w:szCs w:val="84"/>
        </w:rPr>
        <w:t>湖南省旅游局信息中心</w:t>
      </w:r>
    </w:p>
    <w:p>
      <w:pPr>
        <w:pStyle w:val="12"/>
        <w:jc w:val="center"/>
        <w:rPr>
          <w:rFonts w:ascii="方正小标宋简体" w:eastAsia="方正小标宋简体"/>
          <w:sz w:val="84"/>
          <w:szCs w:val="84"/>
        </w:rPr>
      </w:pPr>
      <w:r>
        <w:rPr>
          <w:rFonts w:hint="eastAsia" w:hAnsi="黑体"/>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pacing w:line="500" w:lineRule="exact"/>
        <w:jc w:val="center"/>
        <w:rPr>
          <w:rFonts w:ascii="方正小标宋简体" w:eastAsia="方正小标宋简体"/>
          <w:sz w:val="44"/>
          <w:szCs w:val="44"/>
        </w:rPr>
      </w:pPr>
      <w:r>
        <w:rPr>
          <w:rFonts w:hint="eastAsia" w:ascii="方正小标宋简体" w:eastAsia="方正小标宋简体"/>
          <w:sz w:val="44"/>
          <w:szCs w:val="44"/>
        </w:rPr>
        <w:t>目录</w:t>
      </w:r>
    </w:p>
    <w:p>
      <w:pPr>
        <w:pStyle w:val="12"/>
        <w:spacing w:line="500" w:lineRule="exact"/>
        <w:rPr>
          <w:rFonts w:ascii="仿宋_GB2312" w:hAnsi="仿宋_GB2312" w:cs="仿宋_GB2312"/>
          <w:b/>
          <w:sz w:val="28"/>
          <w:szCs w:val="28"/>
        </w:rPr>
      </w:pPr>
      <w:r>
        <w:rPr>
          <w:rFonts w:hint="eastAsia"/>
          <w:b/>
          <w:sz w:val="28"/>
          <w:szCs w:val="28"/>
        </w:rPr>
        <w:t>第一部分湖南省旅游局信息中心概况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第五部分附件</w:t>
      </w:r>
    </w:p>
    <w:p>
      <w:pPr>
        <w:pStyle w:val="12"/>
        <w:jc w:val="center"/>
        <w:rPr>
          <w:rFonts w:ascii="方正小标宋简体" w:eastAsia="方正小标宋简体"/>
          <w:sz w:val="84"/>
          <w:szCs w:val="84"/>
        </w:rPr>
      </w:pPr>
    </w:p>
    <w:p>
      <w:pPr>
        <w:pStyle w:val="12"/>
        <w:jc w:val="both"/>
        <w:rPr>
          <w:rFonts w:ascii="方正小标宋简体" w:eastAsia="方正小标宋简体"/>
          <w:sz w:val="84"/>
          <w:szCs w:val="8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both"/>
        <w:rPr>
          <w:rFonts w:ascii="方正小标宋简体" w:eastAsia="方正小标宋简体"/>
          <w:sz w:val="44"/>
          <w:szCs w:val="44"/>
        </w:rPr>
      </w:pPr>
    </w:p>
    <w:p>
      <w:pPr>
        <w:pStyle w:val="12"/>
        <w:jc w:val="center"/>
        <w:rPr>
          <w:rFonts w:hAnsi="黑体"/>
          <w:sz w:val="84"/>
          <w:szCs w:val="84"/>
        </w:rPr>
      </w:pPr>
      <w:r>
        <w:rPr>
          <w:rFonts w:hint="eastAsia" w:hAnsi="黑体"/>
          <w:sz w:val="84"/>
          <w:szCs w:val="84"/>
        </w:rPr>
        <w:t>第一部分</w:t>
      </w:r>
    </w:p>
    <w:p>
      <w:pPr>
        <w:pStyle w:val="12"/>
        <w:jc w:val="center"/>
        <w:rPr>
          <w:rFonts w:hint="eastAsia" w:hAnsi="黑体"/>
          <w:sz w:val="84"/>
          <w:szCs w:val="84"/>
        </w:rPr>
      </w:pPr>
    </w:p>
    <w:p>
      <w:pPr>
        <w:pStyle w:val="12"/>
        <w:jc w:val="center"/>
        <w:rPr>
          <w:rFonts w:hAnsi="黑体"/>
          <w:sz w:val="84"/>
          <w:szCs w:val="84"/>
        </w:rPr>
      </w:pPr>
      <w:r>
        <w:rPr>
          <w:rFonts w:hint="eastAsia" w:hAnsi="黑体"/>
          <w:sz w:val="84"/>
          <w:szCs w:val="84"/>
        </w:rPr>
        <w:t>湖南省旅游局信息中心</w:t>
      </w:r>
    </w:p>
    <w:p>
      <w:pPr>
        <w:pStyle w:val="12"/>
        <w:jc w:val="center"/>
        <w:rPr>
          <w:rFonts w:hAnsi="黑体"/>
          <w:sz w:val="84"/>
          <w:szCs w:val="84"/>
        </w:rPr>
      </w:pPr>
      <w:r>
        <w:rPr>
          <w:rFonts w:hint="eastAsia" w:hAnsi="黑体"/>
          <w:sz w:val="84"/>
          <w:szCs w:val="84"/>
        </w:rPr>
        <w:t>单位概况</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widowControl/>
        <w:spacing w:line="600" w:lineRule="exact"/>
        <w:ind w:firstLine="627" w:firstLineChars="196"/>
        <w:jc w:val="left"/>
        <w:rPr>
          <w:rFonts w:ascii="仿宋_GB2312" w:eastAsia="仿宋_GB2312" w:hAnsiTheme="minorEastAsia" w:cstheme="minorEastAsia"/>
          <w:b/>
          <w:sz w:val="32"/>
          <w:szCs w:val="32"/>
        </w:rPr>
      </w:pPr>
      <w:r>
        <w:rPr>
          <w:rFonts w:hint="eastAsia" w:ascii="仿宋_GB2312" w:eastAsia="仿宋_GB2312" w:hAnsiTheme="minorEastAsia" w:cstheme="minorEastAsia"/>
          <w:sz w:val="32"/>
          <w:szCs w:val="32"/>
        </w:rPr>
        <w:t>承担省文化和旅游厅宣传、信息化和网络安全工作</w:t>
      </w:r>
      <w:r>
        <w:rPr>
          <w:rFonts w:hint="eastAsia" w:ascii="仿宋_GB2312" w:eastAsia="仿宋_GB2312" w:hAnsiTheme="minorEastAsia" w:cstheme="minorEastAsia"/>
          <w:color w:val="333333"/>
          <w:sz w:val="32"/>
          <w:szCs w:val="32"/>
          <w:shd w:val="clear" w:color="auto" w:fill="FFFFFF"/>
        </w:rPr>
        <w:t>。</w:t>
      </w:r>
      <w:r>
        <w:rPr>
          <w:rFonts w:hint="eastAsia" w:ascii="仿宋_GB2312" w:eastAsia="仿宋_GB2312" w:hAnsiTheme="minorEastAsia" w:cstheme="minorEastAsia"/>
          <w:sz w:val="32"/>
          <w:szCs w:val="32"/>
        </w:rPr>
        <w:t>具体职责是：宣传湖南文化旅游资源，促进湖南文化和旅游发展</w:t>
      </w:r>
      <w:r>
        <w:rPr>
          <w:rFonts w:hint="eastAsia" w:ascii="仿宋_GB2312" w:eastAsia="仿宋_GB2312" w:hAnsiTheme="minorEastAsia" w:cstheme="minorEastAsia"/>
          <w:color w:val="333333"/>
          <w:sz w:val="32"/>
          <w:szCs w:val="32"/>
          <w:shd w:val="clear" w:color="auto" w:fill="FFFFFF"/>
        </w:rPr>
        <w:t>。</w:t>
      </w:r>
      <w:r>
        <w:rPr>
          <w:rFonts w:hint="eastAsia" w:ascii="仿宋_GB2312" w:eastAsia="仿宋_GB2312" w:hAnsiTheme="minorEastAsia" w:cstheme="minorEastAsia"/>
          <w:sz w:val="32"/>
          <w:szCs w:val="32"/>
        </w:rPr>
        <w:t>文化旅游信息采集、研究、发布，文化旅游信息系统建设、资料管理、信息查询与咨询服务</w:t>
      </w:r>
      <w:r>
        <w:rPr>
          <w:rFonts w:hint="eastAsia" w:ascii="仿宋_GB2312" w:eastAsia="仿宋_GB2312" w:hAnsiTheme="minorEastAsia" w:cstheme="minorEastAsia"/>
          <w:color w:val="333333"/>
          <w:sz w:val="32"/>
          <w:szCs w:val="32"/>
          <w:shd w:val="clear" w:color="auto" w:fill="FFFFFF"/>
        </w:rPr>
        <w:t>，</w:t>
      </w:r>
      <w:r>
        <w:rPr>
          <w:rFonts w:hint="eastAsia" w:ascii="仿宋_GB2312" w:eastAsia="仿宋_GB2312" w:hAnsiTheme="minorEastAsia" w:cstheme="minorEastAsia"/>
          <w:sz w:val="32"/>
          <w:szCs w:val="32"/>
        </w:rPr>
        <w:t>文化旅游信息业务培训，文化旅游信息产品研制开发与维护管理</w:t>
      </w:r>
      <w:r>
        <w:rPr>
          <w:rFonts w:hint="eastAsia" w:ascii="仿宋_GB2312" w:eastAsia="仿宋_GB2312" w:hAnsiTheme="minorEastAsia" w:cstheme="minorEastAsia"/>
          <w:color w:val="333333"/>
          <w:sz w:val="32"/>
          <w:szCs w:val="32"/>
          <w:shd w:val="clear" w:color="auto" w:fill="FFFFFF"/>
        </w:rPr>
        <w:t>，</w:t>
      </w:r>
      <w:r>
        <w:rPr>
          <w:rFonts w:hint="eastAsia" w:ascii="仿宋_GB2312" w:eastAsia="仿宋_GB2312" w:hAnsiTheme="minorEastAsia" w:cstheme="minorEastAsia"/>
          <w:sz w:val="32"/>
          <w:szCs w:val="32"/>
        </w:rPr>
        <w:t>文化旅游网站建设、维护与管理，其他文化旅游信息相关社会服务</w:t>
      </w:r>
      <w:r>
        <w:rPr>
          <w:rFonts w:hint="eastAsia" w:ascii="仿宋_GB2312" w:eastAsia="仿宋_GB2312" w:hAnsiTheme="minorEastAsia" w:cstheme="minorEastAsia"/>
          <w:color w:val="333333"/>
          <w:sz w:val="32"/>
          <w:szCs w:val="32"/>
          <w:shd w:val="clear" w:color="auto" w:fill="FFFFFF"/>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27" w:firstLineChars="196"/>
        <w:jc w:val="left"/>
        <w:rPr>
          <w:rFonts w:ascii="仿宋_GB2312" w:eastAsia="仿宋_GB2312" w:hAnsiTheme="minorEastAsia" w:cstheme="minorEastAsia"/>
          <w:sz w:val="32"/>
          <w:szCs w:val="32"/>
        </w:rPr>
      </w:pPr>
      <w:r>
        <w:rPr>
          <w:rFonts w:hint="eastAsia" w:ascii="仿宋_GB2312" w:eastAsia="仿宋_GB2312" w:hAnsiTheme="minorEastAsia"/>
          <w:bCs/>
          <w:kern w:val="0"/>
          <w:sz w:val="32"/>
          <w:szCs w:val="32"/>
        </w:rPr>
        <w:t>（一）内设机构设置。</w:t>
      </w:r>
      <w:r>
        <w:rPr>
          <w:rFonts w:hint="eastAsia" w:ascii="仿宋_GB2312" w:eastAsia="仿宋_GB2312" w:hAnsiTheme="minorEastAsia" w:cstheme="minorEastAsia"/>
          <w:sz w:val="32"/>
          <w:szCs w:val="32"/>
        </w:rPr>
        <w:t>湖南省旅游局信息中心现有在编在岗干部职工5人，包括主任1人，副主任1人，以及负责综合工作、信息化工作及宣传工作的人员各1人。</w:t>
      </w:r>
    </w:p>
    <w:p>
      <w:pPr>
        <w:widowControl/>
        <w:spacing w:line="600" w:lineRule="exact"/>
        <w:ind w:firstLine="627" w:firstLineChars="196"/>
        <w:jc w:val="left"/>
        <w:rPr>
          <w:rFonts w:ascii="仿宋_GB2312" w:eastAsia="仿宋_GB2312" w:hAnsiTheme="minorEastAsia" w:cstheme="minorEastAsia"/>
          <w:bCs/>
          <w:kern w:val="0"/>
          <w:sz w:val="32"/>
          <w:szCs w:val="32"/>
        </w:rPr>
      </w:pPr>
      <w:r>
        <w:rPr>
          <w:rFonts w:hint="eastAsia" w:ascii="仿宋_GB2312" w:eastAsia="仿宋_GB2312" w:hAnsiTheme="minorEastAsia"/>
          <w:bCs/>
          <w:kern w:val="0"/>
          <w:sz w:val="32"/>
          <w:szCs w:val="32"/>
        </w:rPr>
        <w:t>（二）决算单位构成。</w:t>
      </w:r>
      <w:r>
        <w:rPr>
          <w:rFonts w:hint="eastAsia" w:ascii="仿宋_GB2312" w:eastAsia="仿宋_GB2312" w:hAnsiTheme="minorEastAsia" w:cstheme="minorEastAsia"/>
          <w:sz w:val="32"/>
          <w:szCs w:val="32"/>
        </w:rPr>
        <w:t>湖南省旅游局信息中心</w:t>
      </w:r>
      <w:r>
        <w:rPr>
          <w:rFonts w:hint="eastAsia" w:ascii="仿宋_GB2312" w:eastAsia="仿宋_GB2312" w:hAnsiTheme="minorEastAsia" w:cstheme="minorEastAsia"/>
          <w:bCs/>
          <w:kern w:val="0"/>
          <w:sz w:val="32"/>
          <w:szCs w:val="32"/>
        </w:rPr>
        <w:t>2020年部门决算汇总公开单位构成包括：</w:t>
      </w:r>
      <w:r>
        <w:rPr>
          <w:rFonts w:hint="eastAsia" w:ascii="仿宋_GB2312" w:eastAsia="仿宋_GB2312" w:hAnsiTheme="minorEastAsia" w:cstheme="minorEastAsia"/>
          <w:sz w:val="32"/>
          <w:szCs w:val="32"/>
        </w:rPr>
        <w:t>湖南省旅游局信息中心</w:t>
      </w:r>
      <w:r>
        <w:rPr>
          <w:rFonts w:hint="eastAsia" w:ascii="仿宋_GB2312" w:eastAsia="仿宋_GB2312" w:hAnsiTheme="minorEastAsia" w:cstheme="minorEastAsia"/>
          <w:bCs/>
          <w:kern w:val="0"/>
          <w:sz w:val="32"/>
          <w:szCs w:val="32"/>
        </w:rPr>
        <w:t>本级。</w:t>
      </w:r>
    </w:p>
    <w:p>
      <w:pPr>
        <w:widowControl/>
        <w:spacing w:line="600" w:lineRule="exact"/>
        <w:ind w:firstLine="627" w:firstLineChars="196"/>
        <w:jc w:val="left"/>
        <w:rPr>
          <w:rFonts w:ascii="仿宋_GB2312" w:eastAsia="仿宋_GB2312" w:hAnsiTheme="minorEastAsia" w:cstheme="minorEastAsia"/>
          <w:bCs/>
          <w:kern w:val="0"/>
          <w:sz w:val="32"/>
          <w:szCs w:val="32"/>
        </w:rPr>
      </w:pPr>
    </w:p>
    <w:p>
      <w:pPr>
        <w:widowControl/>
        <w:spacing w:line="600" w:lineRule="exact"/>
        <w:ind w:firstLine="627" w:firstLineChars="196"/>
        <w:jc w:val="left"/>
        <w:rPr>
          <w:rFonts w:ascii="仿宋_GB2312" w:eastAsia="仿宋_GB2312" w:hAnsiTheme="minorEastAsia" w:cstheme="minorEastAsia"/>
          <w:bCs/>
          <w:kern w:val="0"/>
          <w:sz w:val="32"/>
          <w:szCs w:val="32"/>
        </w:rPr>
      </w:pPr>
    </w:p>
    <w:p>
      <w:pPr>
        <w:widowControl/>
        <w:spacing w:line="600" w:lineRule="exact"/>
        <w:ind w:firstLine="627" w:firstLineChars="196"/>
        <w:jc w:val="left"/>
        <w:rPr>
          <w:rFonts w:ascii="仿宋_GB2312" w:eastAsia="仿宋_GB2312" w:hAnsiTheme="minorEastAsia" w:cstheme="minorEastAsia"/>
          <w:bCs/>
          <w:kern w:val="0"/>
          <w:sz w:val="32"/>
          <w:szCs w:val="32"/>
        </w:rPr>
      </w:pPr>
    </w:p>
    <w:p>
      <w:pPr>
        <w:widowControl/>
        <w:spacing w:line="600" w:lineRule="exact"/>
        <w:ind w:firstLine="627" w:firstLineChars="196"/>
        <w:jc w:val="left"/>
        <w:rPr>
          <w:rFonts w:ascii="仿宋_GB2312" w:eastAsia="仿宋_GB2312" w:hAnsiTheme="minorEastAsia" w:cstheme="minorEastAsia"/>
          <w:bCs/>
          <w:kern w:val="0"/>
          <w:sz w:val="32"/>
          <w:szCs w:val="32"/>
        </w:rPr>
      </w:pPr>
    </w:p>
    <w:p>
      <w:pPr>
        <w:widowControl/>
        <w:spacing w:line="600" w:lineRule="exact"/>
        <w:ind w:firstLine="627" w:firstLineChars="196"/>
        <w:jc w:val="left"/>
        <w:rPr>
          <w:rFonts w:ascii="仿宋_GB2312" w:eastAsia="仿宋_GB2312" w:hAnsiTheme="minorEastAsia" w:cstheme="minorEastAsia"/>
          <w:bCs/>
          <w:kern w:val="0"/>
          <w:sz w:val="32"/>
          <w:szCs w:val="32"/>
        </w:rPr>
      </w:pPr>
    </w:p>
    <w:p>
      <w:pPr>
        <w:widowControl/>
        <w:spacing w:line="600" w:lineRule="exact"/>
        <w:ind w:firstLine="627" w:firstLineChars="196"/>
        <w:jc w:val="left"/>
        <w:rPr>
          <w:rFonts w:ascii="仿宋_GB2312" w:eastAsia="仿宋_GB2312" w:hAnsiTheme="minorEastAsia" w:cstheme="minorEastAsia"/>
          <w:bCs/>
          <w:kern w:val="0"/>
          <w:sz w:val="32"/>
          <w:szCs w:val="32"/>
        </w:rPr>
      </w:pPr>
    </w:p>
    <w:p>
      <w:pPr>
        <w:widowControl/>
        <w:spacing w:line="600" w:lineRule="exact"/>
        <w:ind w:firstLine="627" w:firstLineChars="196"/>
        <w:jc w:val="left"/>
        <w:rPr>
          <w:rFonts w:ascii="仿宋_GB2312" w:eastAsia="仿宋_GB2312" w:hAnsiTheme="minorEastAsia" w:cstheme="minorEastAsia"/>
          <w:bCs/>
          <w:kern w:val="0"/>
          <w:sz w:val="32"/>
          <w:szCs w:val="32"/>
        </w:rPr>
      </w:pPr>
    </w:p>
    <w:p>
      <w:pPr>
        <w:widowControl/>
        <w:spacing w:line="600" w:lineRule="exact"/>
        <w:jc w:val="center"/>
        <w:rPr>
          <w:rFonts w:ascii="方正小标宋简体" w:eastAsia="方正小标宋简体" w:hAnsiTheme="minorEastAsia" w:cstheme="minorEastAsia"/>
          <w:kern w:val="0"/>
          <w:sz w:val="44"/>
          <w:szCs w:val="44"/>
        </w:rPr>
      </w:pPr>
    </w:p>
    <w:p>
      <w:pPr>
        <w:widowControl/>
        <w:spacing w:line="600" w:lineRule="exact"/>
        <w:jc w:val="center"/>
        <w:rPr>
          <w:rFonts w:ascii="方正小标宋简体" w:eastAsia="方正小标宋简体" w:hAnsiTheme="minorEastAsia" w:cstheme="minorEastAsia"/>
          <w:kern w:val="0"/>
          <w:sz w:val="44"/>
          <w:szCs w:val="44"/>
        </w:rPr>
      </w:pPr>
    </w:p>
    <w:p>
      <w:pPr>
        <w:widowControl/>
        <w:spacing w:line="600" w:lineRule="exact"/>
        <w:jc w:val="center"/>
        <w:rPr>
          <w:rFonts w:hint="eastAsia" w:ascii="方正小标宋简体" w:eastAsia="方正小标宋简体" w:hAnsiTheme="minorEastAsia" w:cstheme="minorEastAsia"/>
          <w:kern w:val="0"/>
          <w:sz w:val="84"/>
          <w:szCs w:val="84"/>
        </w:rPr>
      </w:pPr>
    </w:p>
    <w:p>
      <w:pPr>
        <w:widowControl/>
        <w:spacing w:line="600" w:lineRule="exact"/>
        <w:jc w:val="center"/>
        <w:rPr>
          <w:rFonts w:hint="eastAsia" w:ascii="方正小标宋简体" w:eastAsia="方正小标宋简体" w:hAnsiTheme="minorEastAsia" w:cstheme="minorEastAsia"/>
          <w:kern w:val="0"/>
          <w:sz w:val="84"/>
          <w:szCs w:val="84"/>
        </w:rPr>
      </w:pPr>
    </w:p>
    <w:p>
      <w:pPr>
        <w:widowControl/>
        <w:spacing w:line="1000" w:lineRule="exact"/>
        <w:jc w:val="center"/>
        <w:rPr>
          <w:rFonts w:ascii="黑体" w:hAnsi="黑体" w:eastAsia="黑体" w:cstheme="minorEastAsia"/>
          <w:kern w:val="0"/>
          <w:sz w:val="84"/>
          <w:szCs w:val="84"/>
        </w:rPr>
      </w:pPr>
      <w:r>
        <w:rPr>
          <w:rFonts w:hint="eastAsia" w:ascii="黑体" w:hAnsi="黑体" w:eastAsia="黑体" w:cstheme="minorEastAsia"/>
          <w:kern w:val="0"/>
          <w:sz w:val="84"/>
          <w:szCs w:val="84"/>
        </w:rPr>
        <w:t>第二部分</w:t>
      </w:r>
    </w:p>
    <w:p>
      <w:pPr>
        <w:widowControl/>
        <w:spacing w:line="1000" w:lineRule="exact"/>
        <w:jc w:val="center"/>
        <w:rPr>
          <w:rFonts w:ascii="黑体" w:hAnsi="黑体" w:eastAsia="黑体" w:cstheme="minorEastAsia"/>
          <w:kern w:val="0"/>
          <w:sz w:val="84"/>
          <w:szCs w:val="84"/>
        </w:rPr>
      </w:pPr>
    </w:p>
    <w:p>
      <w:pPr>
        <w:widowControl/>
        <w:spacing w:line="1000" w:lineRule="exact"/>
        <w:jc w:val="center"/>
        <w:rPr>
          <w:rFonts w:ascii="黑体" w:hAnsi="黑体" w:eastAsia="黑体" w:cstheme="minorEastAsia"/>
          <w:kern w:val="0"/>
          <w:sz w:val="84"/>
          <w:szCs w:val="84"/>
        </w:rPr>
      </w:pPr>
      <w:r>
        <w:rPr>
          <w:rFonts w:ascii="黑体" w:hAnsi="黑体" w:eastAsia="黑体" w:cstheme="minorEastAsia"/>
          <w:kern w:val="0"/>
          <w:sz w:val="84"/>
          <w:szCs w:val="84"/>
        </w:rPr>
        <w:t>20</w:t>
      </w:r>
      <w:r>
        <w:rPr>
          <w:rFonts w:hint="eastAsia" w:ascii="黑体" w:hAnsi="黑体" w:eastAsia="黑体" w:cstheme="minorEastAsia"/>
          <w:kern w:val="0"/>
          <w:sz w:val="84"/>
          <w:szCs w:val="84"/>
        </w:rPr>
        <w:t>20年度部门决算表</w:t>
      </w:r>
    </w:p>
    <w:p>
      <w:pPr>
        <w:widowControl/>
        <w:spacing w:line="1000" w:lineRule="exact"/>
        <w:ind w:firstLine="1019" w:firstLineChars="196"/>
        <w:jc w:val="center"/>
        <w:rPr>
          <w:rFonts w:ascii="方正小标宋简体" w:eastAsia="方正小标宋简体" w:hAnsiTheme="minorEastAsia" w:cstheme="minorEastAsia"/>
          <w:kern w:val="0"/>
          <w:sz w:val="52"/>
          <w:szCs w:val="52"/>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sectPr>
          <w:pgSz w:w="11906" w:h="16838"/>
          <w:pgMar w:top="1418" w:right="1361" w:bottom="1361" w:left="1418" w:header="851" w:footer="992" w:gutter="0"/>
          <w:cols w:space="425" w:num="1"/>
          <w:docGrid w:type="linesAndChars" w:linePitch="312" w:charSpace="0"/>
        </w:sectPr>
      </w:pPr>
    </w:p>
    <w:tbl>
      <w:tblPr>
        <w:tblStyle w:val="6"/>
        <w:tblW w:w="14710" w:type="dxa"/>
        <w:tblInd w:w="93" w:type="dxa"/>
        <w:tblLayout w:type="autofit"/>
        <w:tblCellMar>
          <w:top w:w="0" w:type="dxa"/>
          <w:left w:w="108" w:type="dxa"/>
          <w:bottom w:w="0" w:type="dxa"/>
          <w:right w:w="108" w:type="dxa"/>
        </w:tblCellMar>
      </w:tblPr>
      <w:tblGrid>
        <w:gridCol w:w="4200"/>
        <w:gridCol w:w="580"/>
        <w:gridCol w:w="2890"/>
        <w:gridCol w:w="4200"/>
        <w:gridCol w:w="580"/>
        <w:gridCol w:w="2260"/>
      </w:tblGrid>
      <w:tr>
        <w:tblPrEx>
          <w:tblCellMar>
            <w:top w:w="0" w:type="dxa"/>
            <w:left w:w="108" w:type="dxa"/>
            <w:bottom w:w="0" w:type="dxa"/>
            <w:right w:w="108" w:type="dxa"/>
          </w:tblCellMar>
        </w:tblPrEx>
        <w:trPr>
          <w:trHeight w:val="375" w:hRule="atLeast"/>
        </w:trPr>
        <w:tc>
          <w:tcPr>
            <w:tcW w:w="14710" w:type="dxa"/>
            <w:gridSpan w:val="6"/>
            <w:tcBorders>
              <w:top w:val="nil"/>
              <w:left w:val="nil"/>
              <w:bottom w:val="nil"/>
            </w:tcBorders>
            <w:shd w:val="clear" w:color="000000" w:fill="FFFFFF"/>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收入支出决算总表</w:t>
            </w:r>
          </w:p>
        </w:tc>
      </w:tr>
      <w:tr>
        <w:tblPrEx>
          <w:tblCellMar>
            <w:top w:w="0" w:type="dxa"/>
            <w:left w:w="108" w:type="dxa"/>
            <w:bottom w:w="0" w:type="dxa"/>
            <w:right w:w="108" w:type="dxa"/>
          </w:tblCellMar>
        </w:tblPrEx>
        <w:trPr>
          <w:trHeight w:val="300" w:hRule="atLeast"/>
        </w:trPr>
        <w:tc>
          <w:tcPr>
            <w:tcW w:w="42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9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420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部门：湖南省旅游局信息中心</w:t>
            </w:r>
          </w:p>
        </w:tc>
        <w:tc>
          <w:tcPr>
            <w:tcW w:w="58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90"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2020年度</w:t>
            </w:r>
          </w:p>
        </w:tc>
        <w:tc>
          <w:tcPr>
            <w:tcW w:w="420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auto"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76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4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89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20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208.75</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178.93</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289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26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208.75</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186.48</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24.05</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12"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28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210.53</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210.53</w:t>
            </w:r>
          </w:p>
        </w:tc>
      </w:tr>
      <w:tr>
        <w:tblPrEx>
          <w:tblCellMar>
            <w:top w:w="0" w:type="dxa"/>
            <w:left w:w="108" w:type="dxa"/>
            <w:bottom w:w="0" w:type="dxa"/>
            <w:right w:w="108" w:type="dxa"/>
          </w:tblCellMar>
        </w:tblPrEx>
        <w:trPr>
          <w:trHeight w:val="300" w:hRule="atLeast"/>
        </w:trPr>
        <w:tc>
          <w:tcPr>
            <w:tcW w:w="14710" w:type="dxa"/>
            <w:gridSpan w:val="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注：本表反映部门本年度的总收支和年末结转结余情况。本套报表金额单位转换时可能存在尾数误差。</w:t>
            </w:r>
          </w:p>
        </w:tc>
      </w:tr>
    </w:tbl>
    <w:p>
      <w:pPr>
        <w:jc w:val="left"/>
        <w:rPr>
          <w:rFonts w:ascii="方正小标宋简体" w:eastAsia="方正小标宋简体"/>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tbl>
      <w:tblPr>
        <w:tblStyle w:val="6"/>
        <w:tblW w:w="15041" w:type="dxa"/>
        <w:tblInd w:w="93" w:type="dxa"/>
        <w:tblLayout w:type="autofit"/>
        <w:tblCellMar>
          <w:top w:w="0" w:type="dxa"/>
          <w:left w:w="108" w:type="dxa"/>
          <w:bottom w:w="0" w:type="dxa"/>
          <w:right w:w="108" w:type="dxa"/>
        </w:tblCellMar>
      </w:tblPr>
      <w:tblGrid>
        <w:gridCol w:w="441"/>
        <w:gridCol w:w="239"/>
        <w:gridCol w:w="340"/>
        <w:gridCol w:w="3920"/>
        <w:gridCol w:w="1312"/>
        <w:gridCol w:w="1701"/>
        <w:gridCol w:w="1560"/>
        <w:gridCol w:w="1417"/>
        <w:gridCol w:w="1276"/>
        <w:gridCol w:w="1559"/>
        <w:gridCol w:w="1276"/>
      </w:tblGrid>
      <w:tr>
        <w:tblPrEx>
          <w:tblCellMar>
            <w:top w:w="0" w:type="dxa"/>
            <w:left w:w="108" w:type="dxa"/>
            <w:bottom w:w="0" w:type="dxa"/>
            <w:right w:w="108" w:type="dxa"/>
          </w:tblCellMar>
        </w:tblPrEx>
        <w:trPr>
          <w:trHeight w:val="375" w:hRule="atLeast"/>
        </w:trPr>
        <w:tc>
          <w:tcPr>
            <w:tcW w:w="15041" w:type="dxa"/>
            <w:gridSpan w:val="11"/>
            <w:tcBorders>
              <w:top w:val="nil"/>
              <w:left w:val="nil"/>
              <w:bottom w:val="nil"/>
            </w:tcBorders>
            <w:shd w:val="clear" w:color="000000" w:fill="FFFFFF"/>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收入决算表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44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1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5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公开02表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部门：湖南省旅游局信息中心</w:t>
            </w:r>
          </w:p>
        </w:tc>
        <w:tc>
          <w:tcPr>
            <w:tcW w:w="1312"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2020年度</w:t>
            </w:r>
          </w:p>
        </w:tc>
        <w:tc>
          <w:tcPr>
            <w:tcW w:w="156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7"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59"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single" w:color="auto"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312"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ind w:left="-107" w:leftChars="-51" w:firstLine="108" w:firstLineChars="54"/>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trPr>
        <w:tc>
          <w:tcPr>
            <w:tcW w:w="1020" w:type="dxa"/>
            <w:gridSpan w:val="3"/>
            <w:vMerge w:val="restart"/>
            <w:tcBorders>
              <w:top w:val="single" w:color="auto" w:sz="4" w:space="0"/>
              <w:left w:val="single" w:color="000000" w:sz="4" w:space="0"/>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312" w:type="dxa"/>
            <w:vMerge w:val="continue"/>
            <w:tcBorders>
              <w:top w:val="single" w:color="auto" w:sz="4" w:space="0"/>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560" w:type="dxa"/>
            <w:vMerge w:val="continue"/>
            <w:tcBorders>
              <w:top w:val="single" w:color="auto" w:sz="4" w:space="0"/>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417" w:type="dxa"/>
            <w:vMerge w:val="continue"/>
            <w:tcBorders>
              <w:top w:val="single" w:color="auto" w:sz="4" w:space="0"/>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276" w:type="dxa"/>
            <w:vMerge w:val="continue"/>
            <w:tcBorders>
              <w:top w:val="single" w:color="auto" w:sz="4" w:space="0"/>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559" w:type="dxa"/>
            <w:vMerge w:val="continue"/>
            <w:tcBorders>
              <w:top w:val="single" w:color="auto" w:sz="4" w:space="0"/>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276" w:type="dxa"/>
            <w:vMerge w:val="continue"/>
            <w:tcBorders>
              <w:top w:val="single" w:color="auto" w:sz="4" w:space="0"/>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312"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701"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560"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417"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276"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559"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276"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312"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701"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560"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417"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276"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559"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c>
          <w:tcPr>
            <w:tcW w:w="1276" w:type="dxa"/>
            <w:vMerge w:val="continue"/>
            <w:tcBorders>
              <w:top w:val="nil"/>
              <w:left w:val="nil"/>
              <w:bottom w:val="single" w:color="000000" w:sz="4" w:space="0"/>
              <w:right w:val="single" w:color="000000" w:sz="4" w:space="0"/>
            </w:tcBorders>
            <w:shd w:val="clear" w:color="000000"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312" w:type="dxa"/>
            <w:tcBorders>
              <w:top w:val="nil"/>
              <w:left w:val="nil"/>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701" w:type="dxa"/>
            <w:tcBorders>
              <w:top w:val="nil"/>
              <w:left w:val="nil"/>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60" w:type="dxa"/>
            <w:tcBorders>
              <w:top w:val="nil"/>
              <w:left w:val="nil"/>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17" w:type="dxa"/>
            <w:tcBorders>
              <w:top w:val="nil"/>
              <w:left w:val="nil"/>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276" w:type="dxa"/>
            <w:tcBorders>
              <w:top w:val="nil"/>
              <w:left w:val="nil"/>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59" w:type="dxa"/>
            <w:tcBorders>
              <w:top w:val="nil"/>
              <w:left w:val="nil"/>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276" w:type="dxa"/>
            <w:tcBorders>
              <w:top w:val="nil"/>
              <w:left w:val="nil"/>
              <w:bottom w:val="single" w:color="000000" w:sz="4" w:space="0"/>
              <w:right w:val="single" w:color="000000"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31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208.75</w:t>
            </w:r>
          </w:p>
        </w:tc>
        <w:tc>
          <w:tcPr>
            <w:tcW w:w="1701"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208.75</w:t>
            </w:r>
          </w:p>
        </w:tc>
        <w:tc>
          <w:tcPr>
            <w:tcW w:w="1560"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17"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59"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文化旅游体育与传媒支出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201.75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201.75</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文化和旅游</w:t>
            </w:r>
          </w:p>
        </w:tc>
        <w:tc>
          <w:tcPr>
            <w:tcW w:w="13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201.75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201.75</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9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2070199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其他文化和旅游支出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201.75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201.75</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7.00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5041" w:type="dxa"/>
            <w:gridSpan w:val="11"/>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hint="eastAsia" w:ascii="方正小标宋简体" w:eastAsia="方正小标宋简体"/>
          <w:color w:val="auto"/>
          <w:sz w:val="44"/>
          <w:szCs w:val="44"/>
        </w:rPr>
      </w:pPr>
    </w:p>
    <w:p>
      <w:pPr>
        <w:pStyle w:val="12"/>
        <w:jc w:val="center"/>
        <w:rPr>
          <w:rFonts w:ascii="方正小标宋简体" w:eastAsia="方正小标宋简体"/>
          <w:color w:val="auto"/>
          <w:sz w:val="44"/>
          <w:szCs w:val="44"/>
        </w:rPr>
      </w:pPr>
    </w:p>
    <w:tbl>
      <w:tblPr>
        <w:tblStyle w:val="6"/>
        <w:tblW w:w="14757" w:type="dxa"/>
        <w:tblInd w:w="93" w:type="dxa"/>
        <w:tblLayout w:type="autofit"/>
        <w:tblCellMar>
          <w:top w:w="0" w:type="dxa"/>
          <w:left w:w="108" w:type="dxa"/>
          <w:bottom w:w="0" w:type="dxa"/>
          <w:right w:w="108" w:type="dxa"/>
        </w:tblCellMar>
      </w:tblPr>
      <w:tblGrid>
        <w:gridCol w:w="441"/>
        <w:gridCol w:w="239"/>
        <w:gridCol w:w="340"/>
        <w:gridCol w:w="3920"/>
        <w:gridCol w:w="1454"/>
        <w:gridCol w:w="1843"/>
        <w:gridCol w:w="1276"/>
        <w:gridCol w:w="1701"/>
        <w:gridCol w:w="1842"/>
        <w:gridCol w:w="1701"/>
      </w:tblGrid>
      <w:tr>
        <w:tblPrEx>
          <w:tblCellMar>
            <w:top w:w="0" w:type="dxa"/>
            <w:left w:w="108" w:type="dxa"/>
            <w:bottom w:w="0" w:type="dxa"/>
            <w:right w:w="108" w:type="dxa"/>
          </w:tblCellMar>
        </w:tblPrEx>
        <w:trPr>
          <w:trHeight w:val="375" w:hRule="atLeast"/>
        </w:trPr>
        <w:tc>
          <w:tcPr>
            <w:tcW w:w="44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16" w:type="dxa"/>
            <w:gridSpan w:val="9"/>
            <w:tcBorders>
              <w:top w:val="nil"/>
              <w:left w:val="nil"/>
              <w:bottom w:val="nil"/>
            </w:tcBorders>
            <w:shd w:val="clear" w:color="000000" w:fill="FFFFFF"/>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44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公开03表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部门：湖南省旅游局信息中心</w:t>
            </w:r>
          </w:p>
        </w:tc>
        <w:tc>
          <w:tcPr>
            <w:tcW w:w="1454"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2020年度</w:t>
            </w:r>
          </w:p>
        </w:tc>
        <w:tc>
          <w:tcPr>
            <w:tcW w:w="1843"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2"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tcBorders>
              <w:top w:val="nil"/>
              <w:left w:val="nil"/>
              <w:bottom w:val="single" w:color="auto"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454"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186.48</w:t>
            </w:r>
          </w:p>
        </w:tc>
        <w:tc>
          <w:tcPr>
            <w:tcW w:w="1843"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92.62</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93.86</w:t>
            </w:r>
          </w:p>
        </w:tc>
        <w:tc>
          <w:tcPr>
            <w:tcW w:w="1701"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842"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20129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群众团体事务</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2012902</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0.60</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文化旅游体育与传媒支出</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178.93</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85.67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93.26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20701</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文化和旅游</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178.93</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85.67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93.26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2070199</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其他文化和旅游支出</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178.93</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85.67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93.26</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4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4757" w:type="dxa"/>
            <w:gridSpan w:val="10"/>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tbl>
      <w:tblPr>
        <w:tblStyle w:val="6"/>
        <w:tblW w:w="15183" w:type="dxa"/>
        <w:tblInd w:w="93" w:type="dxa"/>
        <w:tblLayout w:type="autofit"/>
        <w:tblCellMar>
          <w:top w:w="0" w:type="dxa"/>
          <w:left w:w="108" w:type="dxa"/>
          <w:bottom w:w="0" w:type="dxa"/>
          <w:right w:w="108" w:type="dxa"/>
        </w:tblCellMar>
      </w:tblPr>
      <w:tblGrid>
        <w:gridCol w:w="2850"/>
        <w:gridCol w:w="338"/>
        <w:gridCol w:w="371"/>
        <w:gridCol w:w="198"/>
        <w:gridCol w:w="936"/>
        <w:gridCol w:w="3260"/>
        <w:gridCol w:w="995"/>
        <w:gridCol w:w="1273"/>
        <w:gridCol w:w="1360"/>
        <w:gridCol w:w="200"/>
        <w:gridCol w:w="1701"/>
        <w:gridCol w:w="1701"/>
      </w:tblGrid>
      <w:tr>
        <w:tblPrEx>
          <w:tblCellMar>
            <w:top w:w="0" w:type="dxa"/>
            <w:left w:w="108" w:type="dxa"/>
            <w:bottom w:w="0" w:type="dxa"/>
            <w:right w:w="108" w:type="dxa"/>
          </w:tblCellMar>
        </w:tblPrEx>
        <w:trPr>
          <w:trHeight w:val="375" w:hRule="atLeast"/>
        </w:trPr>
        <w:tc>
          <w:tcPr>
            <w:tcW w:w="15183" w:type="dxa"/>
            <w:gridSpan w:val="12"/>
            <w:tcBorders>
              <w:top w:val="nil"/>
              <w:left w:val="nil"/>
              <w:bottom w:val="nil"/>
            </w:tcBorders>
            <w:shd w:val="clear" w:color="000000" w:fill="FFFFFF"/>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财政拨款收入支出决算总表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15183" w:type="dxa"/>
            <w:gridSpan w:val="12"/>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18"/>
                <w:szCs w:val="18"/>
              </w:rPr>
              <w:t>　</w:t>
            </w:r>
            <w:r>
              <w:rPr>
                <w:rFonts w:hint="eastAsia" w:ascii="宋体" w:hAnsi="宋体" w:eastAsia="宋体" w:cs="Arial"/>
                <w:kern w:val="0"/>
                <w:sz w:val="22"/>
              </w:rPr>
              <w:t>公开04表</w:t>
            </w:r>
          </w:p>
        </w:tc>
      </w:tr>
      <w:tr>
        <w:tblPrEx>
          <w:tblCellMar>
            <w:top w:w="0" w:type="dxa"/>
            <w:left w:w="108" w:type="dxa"/>
            <w:bottom w:w="0" w:type="dxa"/>
            <w:right w:w="108" w:type="dxa"/>
          </w:tblCellMar>
        </w:tblPrEx>
        <w:trPr>
          <w:trHeight w:val="300" w:hRule="atLeast"/>
        </w:trPr>
        <w:tc>
          <w:tcPr>
            <w:tcW w:w="3188"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部门：湖南省旅游局信息中心</w:t>
            </w:r>
          </w:p>
        </w:tc>
        <w:tc>
          <w:tcPr>
            <w:tcW w:w="569"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6"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5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33"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22"/>
              </w:rPr>
              <w:t>2020年度</w:t>
            </w:r>
            <w:r>
              <w:rPr>
                <w:rFonts w:hint="eastAsia" w:ascii="宋体" w:hAnsi="宋体" w:eastAsia="宋体" w:cs="Arial"/>
                <w:kern w:val="0"/>
                <w:sz w:val="18"/>
                <w:szCs w:val="18"/>
              </w:rPr>
              <w:t>　</w:t>
            </w:r>
          </w:p>
        </w:tc>
        <w:tc>
          <w:tcPr>
            <w:tcW w:w="3602" w:type="dxa"/>
            <w:gridSpan w:val="3"/>
            <w:tcBorders>
              <w:top w:val="nil"/>
              <w:left w:val="nil"/>
              <w:bottom w:val="single" w:color="auto" w:sz="4" w:space="0"/>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18"/>
                <w:szCs w:val="18"/>
              </w:rPr>
              <w:t xml:space="preserve">　            　    </w:t>
            </w: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4693" w:type="dxa"/>
            <w:gridSpan w:val="5"/>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10490" w:type="dxa"/>
            <w:gridSpan w:val="7"/>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12" w:hRule="atLeast"/>
        </w:trPr>
        <w:tc>
          <w:tcPr>
            <w:tcW w:w="2850"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9"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260" w:type="dxa"/>
            <w:vMerge w:val="restart"/>
            <w:tcBorders>
              <w:top w:val="single" w:color="auto" w:sz="4" w:space="0"/>
              <w:left w:val="single" w:color="auto" w:sz="4" w:space="0"/>
              <w:bottom w:val="single" w:color="auto" w:sz="4" w:space="0"/>
              <w:right w:val="single" w:color="auto" w:sz="4" w:space="0"/>
            </w:tcBorders>
            <w:shd w:val="clear" w:color="000000"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995"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273"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560"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285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709"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32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995"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273"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560"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2850" w:type="dxa"/>
            <w:tcBorders>
              <w:top w:val="single" w:color="auto" w:sz="4" w:space="0"/>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9"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134"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260" w:type="dxa"/>
            <w:tcBorders>
              <w:top w:val="single" w:color="auto" w:sz="4" w:space="0"/>
              <w:left w:val="nil"/>
              <w:bottom w:val="single" w:color="auto" w:sz="4" w:space="0"/>
              <w:right w:val="single" w:color="000000" w:sz="4" w:space="0"/>
            </w:tcBorders>
            <w:shd w:val="clear" w:color="000000"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995" w:type="dxa"/>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273" w:type="dxa"/>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60"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701" w:type="dxa"/>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701" w:type="dxa"/>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70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134"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208.75</w:t>
            </w:r>
          </w:p>
        </w:tc>
        <w:tc>
          <w:tcPr>
            <w:tcW w:w="3260" w:type="dxa"/>
            <w:tcBorders>
              <w:top w:val="single" w:color="auto" w:sz="4" w:space="0"/>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99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273"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0.60</w:t>
            </w:r>
          </w:p>
        </w:tc>
        <w:tc>
          <w:tcPr>
            <w:tcW w:w="1560"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0.60</w:t>
            </w:r>
          </w:p>
        </w:tc>
        <w:tc>
          <w:tcPr>
            <w:tcW w:w="1701"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70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134"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99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273"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70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34"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99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273"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134"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99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273"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134"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99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273"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134"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99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273"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178.93</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178.93</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995"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27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208.75</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186.48</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186.48</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24.05</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24.05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9" w:type="dxa"/>
            <w:gridSpan w:val="2"/>
            <w:tcBorders>
              <w:top w:val="nil"/>
              <w:left w:val="nil"/>
              <w:bottom w:val="single" w:color="000000" w:sz="12"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210.53</w:t>
            </w:r>
          </w:p>
        </w:tc>
        <w:tc>
          <w:tcPr>
            <w:tcW w:w="3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9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210.53</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210.53</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3482" w:type="dxa"/>
            <w:gridSpan w:val="11"/>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70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tbl>
      <w:tblPr>
        <w:tblStyle w:val="6"/>
        <w:tblW w:w="14899" w:type="dxa"/>
        <w:tblInd w:w="93" w:type="dxa"/>
        <w:tblLayout w:type="autofit"/>
        <w:tblCellMar>
          <w:top w:w="0" w:type="dxa"/>
          <w:left w:w="108" w:type="dxa"/>
          <w:bottom w:w="0" w:type="dxa"/>
          <w:right w:w="108" w:type="dxa"/>
        </w:tblCellMar>
      </w:tblPr>
      <w:tblGrid>
        <w:gridCol w:w="964"/>
        <w:gridCol w:w="963"/>
        <w:gridCol w:w="963"/>
        <w:gridCol w:w="3920"/>
        <w:gridCol w:w="2260"/>
        <w:gridCol w:w="159"/>
        <w:gridCol w:w="2101"/>
        <w:gridCol w:w="734"/>
        <w:gridCol w:w="2835"/>
      </w:tblGrid>
      <w:tr>
        <w:tblPrEx>
          <w:tblCellMar>
            <w:top w:w="0" w:type="dxa"/>
            <w:left w:w="108" w:type="dxa"/>
            <w:bottom w:w="0" w:type="dxa"/>
            <w:right w:w="108" w:type="dxa"/>
          </w:tblCellMar>
        </w:tblPrEx>
        <w:trPr>
          <w:trHeight w:val="375" w:hRule="atLeast"/>
        </w:trPr>
        <w:tc>
          <w:tcPr>
            <w:tcW w:w="14899" w:type="dxa"/>
            <w:gridSpan w:val="9"/>
            <w:tcBorders>
              <w:top w:val="nil"/>
              <w:left w:val="nil"/>
              <w:bottom w:val="nil"/>
            </w:tcBorders>
            <w:shd w:val="clear" w:color="000000" w:fill="FFFFFF"/>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一般公共预算财政拨款支出决算表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9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69" w:type="dxa"/>
            <w:gridSpan w:val="2"/>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公开05表</w:t>
            </w:r>
          </w:p>
        </w:tc>
      </w:tr>
      <w:tr>
        <w:tblPrEx>
          <w:tblCellMar>
            <w:top w:w="0" w:type="dxa"/>
            <w:left w:w="108" w:type="dxa"/>
            <w:bottom w:w="0" w:type="dxa"/>
            <w:right w:w="108" w:type="dxa"/>
          </w:tblCellMar>
        </w:tblPrEx>
        <w:trPr>
          <w:trHeight w:val="300" w:hRule="atLeast"/>
        </w:trPr>
        <w:tc>
          <w:tcPr>
            <w:tcW w:w="2890" w:type="dxa"/>
            <w:gridSpan w:val="3"/>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部门：湖南省旅游局信息中心</w:t>
            </w:r>
          </w:p>
        </w:tc>
        <w:tc>
          <w:tcPr>
            <w:tcW w:w="3920"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2020年度</w:t>
            </w:r>
          </w:p>
        </w:tc>
        <w:tc>
          <w:tcPr>
            <w:tcW w:w="226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69" w:type="dxa"/>
            <w:gridSpan w:val="2"/>
            <w:tcBorders>
              <w:top w:val="nil"/>
              <w:left w:val="nil"/>
              <w:bottom w:val="single" w:color="auto"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6810" w:type="dxa"/>
            <w:gridSpan w:val="4"/>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8089" w:type="dxa"/>
            <w:gridSpan w:val="5"/>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2890" w:type="dxa"/>
            <w:gridSpan w:val="3"/>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419" w:type="dxa"/>
            <w:gridSpan w:val="2"/>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835" w:type="dxa"/>
            <w:gridSpan w:val="2"/>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835"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2890" w:type="dxa"/>
            <w:gridSpan w:val="3"/>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2419" w:type="dxa"/>
            <w:gridSpan w:val="2"/>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2835" w:type="dxa"/>
            <w:gridSpan w:val="2"/>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2890" w:type="dxa"/>
            <w:gridSpan w:val="3"/>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2419" w:type="dxa"/>
            <w:gridSpan w:val="2"/>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2835" w:type="dxa"/>
            <w:gridSpan w:val="2"/>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6810" w:type="dxa"/>
            <w:gridSpan w:val="4"/>
            <w:tcBorders>
              <w:top w:val="single" w:color="auto" w:sz="4" w:space="0"/>
              <w:left w:val="single" w:color="000000" w:sz="4" w:space="0"/>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419" w:type="dxa"/>
            <w:gridSpan w:val="2"/>
            <w:tcBorders>
              <w:top w:val="single" w:color="auto" w:sz="4" w:space="0"/>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835" w:type="dxa"/>
            <w:gridSpan w:val="2"/>
            <w:tcBorders>
              <w:top w:val="single" w:color="auto" w:sz="4" w:space="0"/>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835" w:type="dxa"/>
            <w:tcBorders>
              <w:top w:val="single" w:color="auto" w:sz="4" w:space="0"/>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6810" w:type="dxa"/>
            <w:gridSpan w:val="4"/>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186.48</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92.62</w:t>
            </w: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93.86</w:t>
            </w: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20129</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群众团体事务</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0.60</w:t>
            </w: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2012902</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0.60</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0.60</w:t>
            </w: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文化旅游体育与传媒支出</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178.93</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85.67</w:t>
            </w: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93.26</w:t>
            </w: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20701</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文化和旅游</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178.93</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85.67</w:t>
            </w: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93.26</w:t>
            </w: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2070199</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其他文化和旅游支出</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178.93</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85.67</w:t>
            </w: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93.26</w:t>
            </w: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6.95</w:t>
            </w: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2419"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c>
          <w:tcPr>
            <w:tcW w:w="2835" w:type="dxa"/>
            <w:gridSpan w:val="2"/>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c>
          <w:tcPr>
            <w:tcW w:w="2835" w:type="dxa"/>
            <w:tcBorders>
              <w:top w:val="nil"/>
              <w:left w:val="nil"/>
              <w:bottom w:val="single" w:color="000000" w:sz="4" w:space="0"/>
              <w:right w:val="single" w:color="000000" w:sz="4" w:space="0"/>
            </w:tcBorders>
            <w:shd w:val="clear" w:color="000000" w:fill="FFFFFF" w:themeFill="background1"/>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4899" w:type="dxa"/>
            <w:gridSpan w:val="9"/>
            <w:tcBorders>
              <w:top w:val="nil"/>
              <w:left w:val="nil"/>
              <w:bottom w:val="nil"/>
              <w:right w:val="nil"/>
            </w:tcBorders>
            <w:shd w:val="clear" w:color="000000" w:fill="FFFFFF" w:themeFill="background1"/>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both"/>
        <w:rPr>
          <w:rFonts w:ascii="方正小标宋简体" w:eastAsia="方正小标宋简体"/>
          <w:color w:val="auto"/>
          <w:sz w:val="44"/>
          <w:szCs w:val="44"/>
        </w:rPr>
      </w:pPr>
    </w:p>
    <w:tbl>
      <w:tblPr>
        <w:tblStyle w:val="6"/>
        <w:tblW w:w="15324" w:type="dxa"/>
        <w:tblInd w:w="93" w:type="dxa"/>
        <w:tblLayout w:type="autofit"/>
        <w:tblCellMar>
          <w:top w:w="0" w:type="dxa"/>
          <w:left w:w="108" w:type="dxa"/>
          <w:bottom w:w="0" w:type="dxa"/>
          <w:right w:w="108" w:type="dxa"/>
        </w:tblCellMar>
      </w:tblPr>
      <w:tblGrid>
        <w:gridCol w:w="733"/>
        <w:gridCol w:w="3485"/>
        <w:gridCol w:w="1132"/>
        <w:gridCol w:w="1265"/>
        <w:gridCol w:w="123"/>
        <w:gridCol w:w="2126"/>
        <w:gridCol w:w="630"/>
        <w:gridCol w:w="777"/>
        <w:gridCol w:w="1009"/>
        <w:gridCol w:w="259"/>
        <w:gridCol w:w="478"/>
        <w:gridCol w:w="2173"/>
        <w:gridCol w:w="1134"/>
      </w:tblGrid>
      <w:tr>
        <w:tblPrEx>
          <w:tblCellMar>
            <w:top w:w="0" w:type="dxa"/>
            <w:left w:w="108" w:type="dxa"/>
            <w:bottom w:w="0" w:type="dxa"/>
            <w:right w:w="108" w:type="dxa"/>
          </w:tblCellMar>
        </w:tblPrEx>
        <w:trPr>
          <w:trHeight w:val="375" w:hRule="atLeast"/>
        </w:trPr>
        <w:tc>
          <w:tcPr>
            <w:tcW w:w="15324" w:type="dxa"/>
            <w:gridSpan w:val="13"/>
            <w:tcBorders>
              <w:top w:val="nil"/>
              <w:left w:val="nil"/>
              <w:bottom w:val="nil"/>
            </w:tcBorders>
            <w:shd w:val="clear" w:color="000000" w:fill="FFFFFF"/>
            <w:noWrap/>
            <w:vAlign w:val="center"/>
          </w:tcPr>
          <w:p>
            <w:pPr>
              <w:widowControl/>
              <w:jc w:val="center"/>
              <w:rPr>
                <w:rFonts w:ascii="宋体" w:hAnsi="宋体" w:eastAsia="宋体" w:cs="Arial"/>
                <w:kern w:val="0"/>
                <w:sz w:val="18"/>
                <w:szCs w:val="18"/>
              </w:rPr>
            </w:pPr>
            <w:r>
              <w:rPr>
                <w:rFonts w:hint="eastAsia" w:ascii="黑体" w:hAnsi="黑体" w:eastAsia="黑体" w:cs="Arial"/>
                <w:kern w:val="0"/>
                <w:sz w:val="30"/>
                <w:szCs w:val="30"/>
              </w:rPr>
              <w:t>一般公共预算财政拨款基本支出决算表</w:t>
            </w:r>
          </w:p>
        </w:tc>
      </w:tr>
      <w:tr>
        <w:tblPrEx>
          <w:tblCellMar>
            <w:top w:w="0" w:type="dxa"/>
            <w:left w:w="108" w:type="dxa"/>
            <w:bottom w:w="0" w:type="dxa"/>
            <w:right w:w="108" w:type="dxa"/>
          </w:tblCellMar>
        </w:tblPrEx>
        <w:trPr>
          <w:trHeight w:val="924" w:hRule="atLeast"/>
        </w:trPr>
        <w:tc>
          <w:tcPr>
            <w:tcW w:w="15324" w:type="dxa"/>
            <w:gridSpan w:val="13"/>
            <w:tcBorders>
              <w:top w:val="nil"/>
              <w:left w:val="nil"/>
            </w:tcBorders>
            <w:shd w:val="clear" w:color="000000" w:fill="FFFFFF"/>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公开06表</w:t>
            </w:r>
          </w:p>
        </w:tc>
      </w:tr>
      <w:tr>
        <w:tblPrEx>
          <w:tblCellMar>
            <w:top w:w="0" w:type="dxa"/>
            <w:left w:w="108" w:type="dxa"/>
            <w:bottom w:w="0" w:type="dxa"/>
            <w:right w:w="108" w:type="dxa"/>
          </w:tblCellMar>
        </w:tblPrEx>
        <w:trPr>
          <w:trHeight w:val="300" w:hRule="atLeast"/>
        </w:trPr>
        <w:tc>
          <w:tcPr>
            <w:tcW w:w="4218"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部门：湖南省旅游局信息中心</w:t>
            </w:r>
          </w:p>
        </w:tc>
        <w:tc>
          <w:tcPr>
            <w:tcW w:w="1132"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8"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56"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2020年度</w:t>
            </w:r>
          </w:p>
        </w:tc>
        <w:tc>
          <w:tcPr>
            <w:tcW w:w="1786"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37"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07" w:type="dxa"/>
            <w:gridSpan w:val="2"/>
            <w:tcBorders>
              <w:top w:val="nil"/>
              <w:left w:val="nil"/>
              <w:bottom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金额单位：万元</w:t>
            </w:r>
          </w:p>
        </w:tc>
      </w:tr>
      <w:tr>
        <w:tblPrEx>
          <w:tblCellMar>
            <w:top w:w="0" w:type="dxa"/>
            <w:left w:w="108" w:type="dxa"/>
            <w:bottom w:w="0" w:type="dxa"/>
            <w:right w:w="108" w:type="dxa"/>
          </w:tblCellMar>
        </w:tblPrEx>
        <w:trPr>
          <w:trHeight w:val="300" w:hRule="atLeast"/>
        </w:trPr>
        <w:tc>
          <w:tcPr>
            <w:tcW w:w="5350" w:type="dxa"/>
            <w:gridSpan w:val="3"/>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974" w:type="dxa"/>
            <w:gridSpan w:val="10"/>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33"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485"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32"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1265"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249"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07"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1268"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651"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733"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3485"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13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265"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2249"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407"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268"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2651"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33"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4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132"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86.04</w:t>
            </w:r>
          </w:p>
        </w:tc>
        <w:tc>
          <w:tcPr>
            <w:tcW w:w="126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24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1407"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6.18</w:t>
            </w:r>
          </w:p>
        </w:tc>
        <w:tc>
          <w:tcPr>
            <w:tcW w:w="1268"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2651"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13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4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132"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22.02</w:t>
            </w:r>
          </w:p>
        </w:tc>
        <w:tc>
          <w:tcPr>
            <w:tcW w:w="126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24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1407"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0.68</w:t>
            </w:r>
          </w:p>
        </w:tc>
        <w:tc>
          <w:tcPr>
            <w:tcW w:w="1268"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2651"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13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33" w:type="dxa"/>
            <w:tcBorders>
              <w:top w:val="single" w:color="auto" w:sz="4" w:space="0"/>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485" w:type="dxa"/>
            <w:tcBorders>
              <w:top w:val="single" w:color="auto" w:sz="4" w:space="0"/>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132" w:type="dxa"/>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5.49</w:t>
            </w:r>
          </w:p>
        </w:tc>
        <w:tc>
          <w:tcPr>
            <w:tcW w:w="1265" w:type="dxa"/>
            <w:tcBorders>
              <w:top w:val="single" w:color="auto" w:sz="4" w:space="0"/>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249"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1407"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8"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2651"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134" w:type="dxa"/>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13.99</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0.24</w:t>
            </w: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0.40</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3.48</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18.90</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0.40</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6.95</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1.27</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0.02</w:t>
            </w: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0.71</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0.80</w:t>
            </w: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7.00</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6.24</w:t>
            </w: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48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132"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p>
        </w:tc>
        <w:tc>
          <w:tcPr>
            <w:tcW w:w="1265"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249"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1407" w:type="dxa"/>
            <w:gridSpan w:val="2"/>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2651" w:type="dxa"/>
            <w:gridSpan w:val="2"/>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134" w:type="dxa"/>
            <w:tcBorders>
              <w:top w:val="nil"/>
              <w:left w:val="nil"/>
              <w:bottom w:val="single" w:color="000000" w:sz="4" w:space="0"/>
              <w:right w:val="single" w:color="000000" w:sz="4" w:space="0"/>
            </w:tcBorders>
            <w:shd w:val="clear" w:color="000000"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single" w:color="auto" w:sz="4" w:space="0"/>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485"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24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140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2651"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single" w:color="auto" w:sz="4" w:space="0"/>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485"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24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140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2651"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4.05</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0.15</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0.25</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8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24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140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6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1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86.04</w:t>
            </w:r>
          </w:p>
        </w:tc>
        <w:tc>
          <w:tcPr>
            <w:tcW w:w="8840" w:type="dxa"/>
            <w:gridSpan w:val="9"/>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6.58</w:t>
            </w:r>
          </w:p>
        </w:tc>
      </w:tr>
      <w:tr>
        <w:tblPrEx>
          <w:tblCellMar>
            <w:top w:w="0" w:type="dxa"/>
            <w:left w:w="108" w:type="dxa"/>
            <w:bottom w:w="0" w:type="dxa"/>
            <w:right w:w="108" w:type="dxa"/>
          </w:tblCellMar>
        </w:tblPrEx>
        <w:trPr>
          <w:trHeight w:val="300" w:hRule="atLeast"/>
        </w:trPr>
        <w:tc>
          <w:tcPr>
            <w:tcW w:w="15324" w:type="dxa"/>
            <w:gridSpan w:val="1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tbl>
      <w:tblPr>
        <w:tblStyle w:val="6"/>
        <w:tblW w:w="14852" w:type="dxa"/>
        <w:tblInd w:w="93" w:type="dxa"/>
        <w:tblLayout w:type="autofit"/>
        <w:tblCellMar>
          <w:top w:w="0" w:type="dxa"/>
          <w:left w:w="108" w:type="dxa"/>
          <w:bottom w:w="0" w:type="dxa"/>
          <w:right w:w="108" w:type="dxa"/>
        </w:tblCellMar>
      </w:tblPr>
      <w:tblGrid>
        <w:gridCol w:w="1291"/>
        <w:gridCol w:w="129"/>
        <w:gridCol w:w="863"/>
        <w:gridCol w:w="557"/>
        <w:gridCol w:w="152"/>
        <w:gridCol w:w="1268"/>
        <w:gridCol w:w="150"/>
        <w:gridCol w:w="1270"/>
        <w:gridCol w:w="289"/>
        <w:gridCol w:w="1131"/>
        <w:gridCol w:w="145"/>
        <w:gridCol w:w="557"/>
        <w:gridCol w:w="151"/>
        <w:gridCol w:w="1606"/>
        <w:gridCol w:w="896"/>
        <w:gridCol w:w="1420"/>
        <w:gridCol w:w="189"/>
        <w:gridCol w:w="1513"/>
        <w:gridCol w:w="1275"/>
      </w:tblGrid>
      <w:tr>
        <w:tblPrEx>
          <w:tblCellMar>
            <w:top w:w="0" w:type="dxa"/>
            <w:left w:w="108" w:type="dxa"/>
            <w:bottom w:w="0" w:type="dxa"/>
            <w:right w:w="108" w:type="dxa"/>
          </w:tblCellMar>
        </w:tblPrEx>
        <w:trPr>
          <w:trHeight w:val="555" w:hRule="atLeast"/>
        </w:trPr>
        <w:tc>
          <w:tcPr>
            <w:tcW w:w="14852" w:type="dxa"/>
            <w:gridSpan w:val="19"/>
            <w:tcBorders>
              <w:top w:val="nil"/>
              <w:left w:val="nil"/>
              <w:bottom w:val="nil"/>
            </w:tcBorders>
            <w:shd w:val="clear" w:color="000000" w:fill="FFFFFF"/>
            <w:noWrap/>
            <w:vAlign w:val="center"/>
          </w:tcPr>
          <w:p>
            <w:pPr>
              <w:widowControl/>
              <w:jc w:val="center"/>
              <w:rPr>
                <w:rFonts w:ascii="黑体" w:hAnsi="黑体" w:eastAsia="黑体" w:cs="Arial"/>
                <w:kern w:val="0"/>
                <w:sz w:val="44"/>
                <w:szCs w:val="44"/>
              </w:rPr>
            </w:pPr>
            <w:r>
              <w:rPr>
                <w:rFonts w:hint="eastAsia" w:ascii="黑体" w:hAnsi="黑体" w:eastAsia="黑体" w:cs="Arial"/>
                <w:kern w:val="0"/>
                <w:sz w:val="44"/>
                <w:szCs w:val="44"/>
              </w:rPr>
              <w:t>一般公共预算财政拨款“三公”经费支出决算表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1420" w:type="dxa"/>
            <w:gridSpan w:val="2"/>
            <w:tcBorders>
              <w:top w:val="nil"/>
              <w:left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预算代码：</w:t>
            </w:r>
          </w:p>
        </w:tc>
        <w:tc>
          <w:tcPr>
            <w:tcW w:w="1420" w:type="dxa"/>
            <w:gridSpan w:val="2"/>
            <w:tcBorders>
              <w:top w:val="nil"/>
              <w:left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0" w:type="dxa"/>
            <w:gridSpan w:val="2"/>
            <w:tcBorders>
              <w:top w:val="nil"/>
              <w:left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0" w:type="dxa"/>
            <w:gridSpan w:val="2"/>
            <w:tcBorders>
              <w:top w:val="nil"/>
              <w:left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0" w:type="dxa"/>
            <w:gridSpan w:val="2"/>
            <w:tcBorders>
              <w:top w:val="nil"/>
              <w:left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02" w:type="dxa"/>
            <w:gridSpan w:val="2"/>
            <w:tcBorders>
              <w:top w:val="nil"/>
              <w:left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53" w:type="dxa"/>
            <w:gridSpan w:val="3"/>
            <w:tcBorders>
              <w:top w:val="nil"/>
              <w:left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0" w:type="dxa"/>
            <w:tcBorders>
              <w:top w:val="nil"/>
              <w:left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977" w:type="dxa"/>
            <w:gridSpan w:val="3"/>
            <w:tcBorders>
              <w:top w:val="nil"/>
              <w:left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18"/>
                <w:szCs w:val="18"/>
              </w:rPr>
              <w:t>　　   　</w:t>
            </w:r>
            <w:r>
              <w:rPr>
                <w:rFonts w:hint="eastAsia" w:ascii="宋体" w:hAnsi="宋体" w:eastAsia="宋体" w:cs="Arial"/>
                <w:kern w:val="0"/>
                <w:sz w:val="22"/>
              </w:rPr>
              <w:t>公开07表</w:t>
            </w:r>
          </w:p>
        </w:tc>
      </w:tr>
      <w:tr>
        <w:tblPrEx>
          <w:tblCellMar>
            <w:top w:w="0" w:type="dxa"/>
            <w:left w:w="108" w:type="dxa"/>
            <w:bottom w:w="0" w:type="dxa"/>
            <w:right w:w="108" w:type="dxa"/>
          </w:tblCellMar>
        </w:tblPrEx>
        <w:trPr>
          <w:trHeight w:val="300" w:hRule="atLeast"/>
        </w:trPr>
        <w:tc>
          <w:tcPr>
            <w:tcW w:w="4260" w:type="dxa"/>
            <w:gridSpan w:val="6"/>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部门：湖南省旅游局信息中心</w:t>
            </w:r>
          </w:p>
        </w:tc>
        <w:tc>
          <w:tcPr>
            <w:tcW w:w="1420"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w:t>
            </w:r>
          </w:p>
        </w:tc>
        <w:tc>
          <w:tcPr>
            <w:tcW w:w="6195" w:type="dxa"/>
            <w:gridSpan w:val="8"/>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w:t>
            </w:r>
          </w:p>
          <w:p>
            <w:pPr>
              <w:widowControl/>
              <w:ind w:firstLine="550" w:firstLineChars="250"/>
              <w:jc w:val="left"/>
              <w:rPr>
                <w:rFonts w:ascii="宋体" w:hAnsi="宋体" w:eastAsia="宋体" w:cs="Arial"/>
                <w:kern w:val="0"/>
                <w:sz w:val="18"/>
                <w:szCs w:val="18"/>
              </w:rPr>
            </w:pPr>
            <w:r>
              <w:rPr>
                <w:rFonts w:hint="eastAsia" w:ascii="宋体" w:hAnsi="宋体" w:eastAsia="宋体" w:cs="Arial"/>
                <w:kern w:val="0"/>
                <w:sz w:val="22"/>
              </w:rPr>
              <w:t>2020年度</w:t>
            </w:r>
            <w:r>
              <w:rPr>
                <w:rFonts w:hint="eastAsia" w:ascii="宋体" w:hAnsi="宋体" w:eastAsia="宋体" w:cs="Arial"/>
                <w:kern w:val="0"/>
                <w:sz w:val="18"/>
                <w:szCs w:val="18"/>
              </w:rPr>
              <w:t>　</w:t>
            </w:r>
          </w:p>
        </w:tc>
        <w:tc>
          <w:tcPr>
            <w:tcW w:w="2977" w:type="dxa"/>
            <w:gridSpan w:val="3"/>
            <w:tcBorders>
              <w:top w:val="nil"/>
              <w:left w:val="nil"/>
              <w:bottom w:val="single" w:color="auto"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18"/>
                <w:szCs w:val="18"/>
              </w:rPr>
              <w:t>　</w:t>
            </w: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724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760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00" w:hRule="atLeast"/>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99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40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12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p>
        </w:tc>
        <w:tc>
          <w:tcPr>
            <w:tcW w:w="992" w:type="dxa"/>
            <w:gridSpan w:val="2"/>
            <w:vMerge w:val="continue"/>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p>
        </w:tc>
        <w:tc>
          <w:tcPr>
            <w:tcW w:w="709"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418"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559"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276" w:type="dxa"/>
            <w:gridSpan w:val="2"/>
            <w:vMerge w:val="continue"/>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p>
        </w:tc>
        <w:tc>
          <w:tcPr>
            <w:tcW w:w="708" w:type="dxa"/>
            <w:gridSpan w:val="2"/>
            <w:vMerge w:val="continue"/>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p>
        </w:tc>
        <w:tc>
          <w:tcPr>
            <w:tcW w:w="1606" w:type="dxa"/>
            <w:vMerge w:val="continue"/>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p>
        </w:tc>
        <w:tc>
          <w:tcPr>
            <w:tcW w:w="89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609"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51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275" w:type="dxa"/>
            <w:vMerge w:val="continue"/>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7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8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6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5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300"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89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51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600" w:hRule="atLeast"/>
        </w:trPr>
        <w:tc>
          <w:tcPr>
            <w:tcW w:w="14852" w:type="dxa"/>
            <w:gridSpan w:val="19"/>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tbl>
      <w:tblPr>
        <w:tblStyle w:val="6"/>
        <w:tblW w:w="15020" w:type="dxa"/>
        <w:tblInd w:w="93" w:type="dxa"/>
        <w:tblLayout w:type="autofit"/>
        <w:tblCellMar>
          <w:top w:w="0" w:type="dxa"/>
          <w:left w:w="108" w:type="dxa"/>
          <w:bottom w:w="0" w:type="dxa"/>
          <w:right w:w="108" w:type="dxa"/>
        </w:tblCellMar>
      </w:tblPr>
      <w:tblGrid>
        <w:gridCol w:w="340"/>
        <w:gridCol w:w="340"/>
        <w:gridCol w:w="340"/>
        <w:gridCol w:w="3920"/>
        <w:gridCol w:w="1680"/>
        <w:gridCol w:w="1680"/>
        <w:gridCol w:w="1680"/>
        <w:gridCol w:w="1680"/>
        <w:gridCol w:w="1680"/>
        <w:gridCol w:w="1680"/>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14680" w:type="dxa"/>
            <w:gridSpan w:val="9"/>
            <w:tcBorders>
              <w:top w:val="nil"/>
              <w:left w:val="nil"/>
              <w:bottom w:val="nil"/>
            </w:tcBorders>
            <w:shd w:val="clear" w:color="000000" w:fill="FFFFFF"/>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政府性基金预算财政拨款收入支出决算表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公开08表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部门：湖南省旅游局信息中心</w:t>
            </w:r>
          </w:p>
        </w:tc>
        <w:tc>
          <w:tcPr>
            <w:tcW w:w="1680"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2020年度</w:t>
            </w:r>
          </w:p>
        </w:tc>
        <w:tc>
          <w:tcPr>
            <w:tcW w:w="168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auto"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5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0</w:t>
            </w:r>
          </w:p>
        </w:tc>
        <w:tc>
          <w:tcPr>
            <w:tcW w:w="3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本单位无政府性基金收支</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5020"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注：本表反映部门本年度政府性基金预算财政拨款收入、支出及结转和结余情况。</w:t>
            </w:r>
          </w:p>
        </w:tc>
      </w:tr>
    </w:tbl>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hint="eastAsia" w:ascii="方正小标宋简体" w:eastAsia="方正小标宋简体"/>
          <w:color w:val="auto"/>
          <w:sz w:val="44"/>
          <w:szCs w:val="44"/>
        </w:rPr>
      </w:pPr>
    </w:p>
    <w:p>
      <w:pPr>
        <w:pStyle w:val="12"/>
        <w:jc w:val="center"/>
        <w:rPr>
          <w:rFonts w:ascii="方正小标宋简体" w:eastAsia="方正小标宋简体"/>
          <w:color w:val="auto"/>
          <w:sz w:val="44"/>
          <w:szCs w:val="44"/>
        </w:rPr>
      </w:pPr>
    </w:p>
    <w:tbl>
      <w:tblPr>
        <w:tblStyle w:val="6"/>
        <w:tblW w:w="15041" w:type="dxa"/>
        <w:tblInd w:w="93" w:type="dxa"/>
        <w:tblLayout w:type="autofit"/>
        <w:tblCellMar>
          <w:top w:w="0" w:type="dxa"/>
          <w:left w:w="108" w:type="dxa"/>
          <w:bottom w:w="0" w:type="dxa"/>
          <w:right w:w="108" w:type="dxa"/>
        </w:tblCellMar>
      </w:tblPr>
      <w:tblGrid>
        <w:gridCol w:w="964"/>
        <w:gridCol w:w="963"/>
        <w:gridCol w:w="963"/>
        <w:gridCol w:w="3920"/>
        <w:gridCol w:w="1680"/>
        <w:gridCol w:w="597"/>
        <w:gridCol w:w="1083"/>
        <w:gridCol w:w="2036"/>
        <w:gridCol w:w="2835"/>
      </w:tblGrid>
      <w:tr>
        <w:tblPrEx>
          <w:tblCellMar>
            <w:top w:w="0" w:type="dxa"/>
            <w:left w:w="108" w:type="dxa"/>
            <w:bottom w:w="0" w:type="dxa"/>
            <w:right w:w="108" w:type="dxa"/>
          </w:tblCellMar>
        </w:tblPrEx>
        <w:trPr>
          <w:trHeight w:val="375" w:hRule="atLeast"/>
        </w:trPr>
        <w:tc>
          <w:tcPr>
            <w:tcW w:w="9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96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151" w:type="dxa"/>
            <w:gridSpan w:val="6"/>
            <w:tcBorders>
              <w:top w:val="nil"/>
              <w:left w:val="nil"/>
              <w:bottom w:val="nil"/>
            </w:tcBorders>
            <w:shd w:val="clear" w:color="000000" w:fill="FFFFFF"/>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国有资本经营预算财政拨款支出决算表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9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871" w:type="dxa"/>
            <w:gridSpan w:val="2"/>
            <w:tcBorders>
              <w:top w:val="nil"/>
              <w:left w:val="nil"/>
              <w:bottom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公开09表</w:t>
            </w:r>
          </w:p>
        </w:tc>
      </w:tr>
      <w:tr>
        <w:tblPrEx>
          <w:tblCellMar>
            <w:top w:w="0" w:type="dxa"/>
            <w:left w:w="108" w:type="dxa"/>
            <w:bottom w:w="0" w:type="dxa"/>
            <w:right w:w="108" w:type="dxa"/>
          </w:tblCellMar>
        </w:tblPrEx>
        <w:trPr>
          <w:trHeight w:val="300" w:hRule="atLeast"/>
        </w:trPr>
        <w:tc>
          <w:tcPr>
            <w:tcW w:w="6810" w:type="dxa"/>
            <w:gridSpan w:val="4"/>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22"/>
              </w:rPr>
            </w:pPr>
          </w:p>
          <w:p>
            <w:pPr>
              <w:widowControl/>
              <w:jc w:val="left"/>
              <w:rPr>
                <w:rFonts w:ascii="宋体" w:hAnsi="宋体" w:eastAsia="宋体" w:cs="Arial"/>
                <w:kern w:val="0"/>
                <w:sz w:val="22"/>
              </w:rPr>
            </w:pPr>
            <w:r>
              <w:rPr>
                <w:rFonts w:hint="eastAsia" w:ascii="宋体" w:hAnsi="宋体" w:eastAsia="宋体" w:cs="Arial"/>
                <w:kern w:val="0"/>
                <w:sz w:val="22"/>
              </w:rPr>
              <w:t>部门：湖南省旅游局信息中心                      2020年度</w:t>
            </w:r>
          </w:p>
        </w:tc>
        <w:tc>
          <w:tcPr>
            <w:tcW w:w="1680"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871" w:type="dxa"/>
            <w:gridSpan w:val="2"/>
            <w:tcBorders>
              <w:top w:val="nil"/>
              <w:left w:val="nil"/>
              <w:bottom w:val="single" w:color="auto" w:sz="4" w:space="0"/>
            </w:tcBorders>
            <w:shd w:val="clear" w:color="000000" w:fill="FFFFFF"/>
            <w:noWrap/>
            <w:vAlign w:val="center"/>
          </w:tcPr>
          <w:p>
            <w:pPr>
              <w:widowControl/>
              <w:jc w:val="right"/>
              <w:rPr>
                <w:rFonts w:ascii="宋体" w:hAnsi="宋体" w:eastAsia="宋体" w:cs="Arial"/>
                <w:kern w:val="0"/>
                <w:sz w:val="22"/>
              </w:rPr>
            </w:pPr>
          </w:p>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6810" w:type="dxa"/>
            <w:gridSpan w:val="4"/>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8231" w:type="dxa"/>
            <w:gridSpan w:val="5"/>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2890" w:type="dxa"/>
            <w:gridSpan w:val="3"/>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77"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3119" w:type="dxa"/>
            <w:gridSpan w:val="2"/>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835"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2890" w:type="dxa"/>
            <w:gridSpan w:val="3"/>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2277"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3119"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2890" w:type="dxa"/>
            <w:gridSpan w:val="3"/>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392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2277"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3119" w:type="dxa"/>
            <w:gridSpan w:val="2"/>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6810" w:type="dxa"/>
            <w:gridSpan w:val="4"/>
            <w:tcBorders>
              <w:top w:val="single" w:color="auto" w:sz="4" w:space="0"/>
              <w:left w:val="single" w:color="000000" w:sz="4" w:space="0"/>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77"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119" w:type="dxa"/>
            <w:gridSpan w:val="2"/>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835" w:type="dxa"/>
            <w:tcBorders>
              <w:top w:val="single" w:color="auto" w:sz="4" w:space="0"/>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6810" w:type="dxa"/>
            <w:gridSpan w:val="4"/>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7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b/>
                <w:bCs/>
                <w:kern w:val="0"/>
                <w:sz w:val="20"/>
                <w:szCs w:val="20"/>
              </w:rPr>
            </w:pPr>
          </w:p>
        </w:tc>
        <w:tc>
          <w:tcPr>
            <w:tcW w:w="311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b/>
                <w:bCs/>
                <w:kern w:val="0"/>
                <w:sz w:val="20"/>
                <w:szCs w:val="20"/>
              </w:rPr>
            </w:pPr>
          </w:p>
        </w:tc>
        <w:tc>
          <w:tcPr>
            <w:tcW w:w="283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300" w:hRule="atLeast"/>
        </w:trPr>
        <w:tc>
          <w:tcPr>
            <w:tcW w:w="2890" w:type="dxa"/>
            <w:gridSpan w:val="3"/>
            <w:tcBorders>
              <w:top w:val="nil"/>
              <w:left w:val="single" w:color="000000" w:sz="4" w:space="0"/>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0</w:t>
            </w:r>
          </w:p>
        </w:tc>
        <w:tc>
          <w:tcPr>
            <w:tcW w:w="3920" w:type="dxa"/>
            <w:tcBorders>
              <w:top w:val="nil"/>
              <w:left w:val="nil"/>
              <w:bottom w:val="single" w:color="000000" w:sz="4" w:space="0"/>
              <w:right w:val="single" w:color="000000" w:sz="4" w:space="0"/>
            </w:tcBorders>
            <w:shd w:val="clear" w:color="000000"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本单位无国有资本经营收支</w:t>
            </w:r>
          </w:p>
        </w:tc>
        <w:tc>
          <w:tcPr>
            <w:tcW w:w="2277"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3119" w:type="dxa"/>
            <w:gridSpan w:val="2"/>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835" w:type="dxa"/>
            <w:tcBorders>
              <w:top w:val="nil"/>
              <w:left w:val="nil"/>
              <w:bottom w:val="single" w:color="000000" w:sz="4" w:space="0"/>
              <w:right w:val="single" w:color="000000" w:sz="4" w:space="0"/>
            </w:tcBorders>
            <w:shd w:val="clear" w:color="000000"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5041"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注：本表反映部门本年度国有资本经营预算财政拨款支出情况。</w:t>
            </w:r>
          </w:p>
        </w:tc>
      </w:tr>
    </w:tbl>
    <w:p>
      <w:pPr>
        <w:pStyle w:val="12"/>
        <w:jc w:val="center"/>
        <w:rPr>
          <w:rFonts w:ascii="方正小标宋简体" w:eastAsia="方正小标宋简体"/>
          <w:sz w:val="44"/>
          <w:szCs w:val="44"/>
        </w:rPr>
      </w:pPr>
    </w:p>
    <w:p>
      <w:pPr>
        <w:pStyle w:val="12"/>
        <w:jc w:val="center"/>
        <w:rPr>
          <w:rFonts w:ascii="方正小标宋简体" w:eastAsia="方正小标宋简体"/>
          <w:sz w:val="44"/>
          <w:szCs w:val="44"/>
        </w:rPr>
        <w:sectPr>
          <w:pgSz w:w="16838" w:h="11906" w:orient="landscape"/>
          <w:pgMar w:top="720" w:right="720" w:bottom="720" w:left="720" w:header="851" w:footer="992" w:gutter="0"/>
          <w:cols w:space="425" w:num="1"/>
          <w:docGrid w:type="lines" w:linePitch="312" w:charSpace="0"/>
        </w:sectPr>
      </w:pPr>
    </w:p>
    <w:p>
      <w:pPr>
        <w:pStyle w:val="12"/>
        <w:jc w:val="center"/>
        <w:rPr>
          <w:rFonts w:hint="eastAsia" w:hAnsi="黑体"/>
          <w:sz w:val="84"/>
          <w:szCs w:val="84"/>
        </w:rPr>
      </w:pPr>
    </w:p>
    <w:p>
      <w:pPr>
        <w:pStyle w:val="12"/>
        <w:jc w:val="center"/>
        <w:rPr>
          <w:rFonts w:hAnsi="黑体"/>
          <w:sz w:val="84"/>
          <w:szCs w:val="84"/>
        </w:rPr>
      </w:pPr>
      <w:r>
        <w:rPr>
          <w:rFonts w:hint="eastAsia" w:hAnsi="黑体"/>
          <w:sz w:val="84"/>
          <w:szCs w:val="84"/>
        </w:rPr>
        <w:t>第三部分</w:t>
      </w:r>
    </w:p>
    <w:p>
      <w:pPr>
        <w:pStyle w:val="12"/>
        <w:jc w:val="center"/>
        <w:rPr>
          <w:rFonts w:hint="eastAsia" w:hAnsi="黑体"/>
          <w:sz w:val="84"/>
          <w:szCs w:val="84"/>
        </w:rPr>
      </w:pPr>
    </w:p>
    <w:p>
      <w:pPr>
        <w:pStyle w:val="12"/>
        <w:jc w:val="center"/>
        <w:rPr>
          <w:rFonts w:hAnsi="黑体"/>
          <w:sz w:val="84"/>
          <w:szCs w:val="84"/>
        </w:rPr>
      </w:pPr>
      <w:r>
        <w:rPr>
          <w:rFonts w:hint="eastAsia" w:hAnsi="黑体"/>
          <w:sz w:val="84"/>
          <w:szCs w:val="84"/>
        </w:rPr>
        <w:t>2020年度部门决算</w:t>
      </w:r>
    </w:p>
    <w:p>
      <w:pPr>
        <w:pStyle w:val="12"/>
        <w:jc w:val="center"/>
        <w:rPr>
          <w:rFonts w:asciiTheme="minorEastAsia" w:hAnsiTheme="minorEastAsia" w:eastAsiaTheme="minorEastAsia"/>
          <w:sz w:val="84"/>
          <w:szCs w:val="84"/>
        </w:rPr>
      </w:pPr>
      <w:r>
        <w:rPr>
          <w:rFonts w:hint="eastAsia" w:hAnsi="黑体"/>
          <w:sz w:val="84"/>
          <w:szCs w:val="84"/>
        </w:rPr>
        <w:t>情况说明</w:t>
      </w: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hint="eastAsia" w:asciiTheme="minorEastAsia" w:hAnsiTheme="minorEastAsia" w:eastAsiaTheme="minorEastAsia"/>
          <w:color w:val="auto"/>
          <w:sz w:val="32"/>
          <w:szCs w:val="32"/>
        </w:rPr>
      </w:pPr>
    </w:p>
    <w:p>
      <w:pPr>
        <w:pStyle w:val="12"/>
        <w:ind w:firstLine="640" w:firstLineChars="200"/>
        <w:rPr>
          <w:rFonts w:hint="eastAsia"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ind w:firstLine="640" w:firstLineChars="200"/>
        <w:rPr>
          <w:rFonts w:asciiTheme="minorEastAsia" w:hAnsiTheme="minorEastAsia" w:eastAsiaTheme="minorEastAsia"/>
          <w:color w:val="auto"/>
          <w:sz w:val="32"/>
          <w:szCs w:val="32"/>
        </w:rPr>
      </w:pPr>
    </w:p>
    <w:p>
      <w:pPr>
        <w:pStyle w:val="12"/>
        <w:rPr>
          <w:rFonts w:hAnsi="黑体"/>
          <w:b/>
          <w:color w:val="auto"/>
          <w:sz w:val="32"/>
          <w:szCs w:val="32"/>
        </w:rPr>
      </w:pPr>
      <w:r>
        <w:rPr>
          <w:rFonts w:hint="eastAsia" w:asciiTheme="minorEastAsia" w:hAnsiTheme="minorEastAsia" w:eastAsiaTheme="minorEastAsia"/>
          <w:color w:val="auto"/>
          <w:sz w:val="32"/>
          <w:szCs w:val="32"/>
        </w:rPr>
        <w:t>一、</w:t>
      </w:r>
      <w:r>
        <w:rPr>
          <w:rFonts w:hint="eastAsia" w:hAnsi="黑体"/>
          <w:b/>
          <w:color w:val="auto"/>
          <w:sz w:val="32"/>
          <w:szCs w:val="32"/>
        </w:rPr>
        <w:t>收入支出决算总体情况说明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收、支总计210.53万元。与上年相比减少26.39万元，减少12.54%，主要原因有：一是2019年收到共青团省委委托我中心牵头采购的“湖南红色旅游手绘地图项目”资金12万元，而2020年没有此项目，预算收入减少了12万元；二是年初结转资金减少了19.34万元。</w:t>
      </w:r>
    </w:p>
    <w:p>
      <w:pPr>
        <w:pStyle w:val="12"/>
        <w:ind w:firstLine="320" w:firstLineChars="100"/>
        <w:rPr>
          <w:rFonts w:hAnsi="黑体"/>
          <w:b/>
          <w:color w:val="auto"/>
          <w:sz w:val="32"/>
          <w:szCs w:val="32"/>
        </w:rPr>
      </w:pPr>
      <w:r>
        <w:rPr>
          <w:rFonts w:hint="eastAsia" w:hAnsi="黑体"/>
          <w:b/>
          <w:color w:val="auto"/>
          <w:sz w:val="32"/>
          <w:szCs w:val="32"/>
        </w:rPr>
        <w:t>二、收入决算情况说明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2020年度收入合计208.75万元，其中：财政拨款收入208.75万元，占100%。</w:t>
      </w:r>
    </w:p>
    <w:p>
      <w:pPr>
        <w:pStyle w:val="12"/>
        <w:ind w:firstLine="320" w:firstLineChars="100"/>
        <w:rPr>
          <w:rFonts w:hAnsi="黑体"/>
          <w:b/>
          <w:color w:val="auto"/>
          <w:sz w:val="32"/>
          <w:szCs w:val="32"/>
        </w:rPr>
      </w:pPr>
      <w:r>
        <w:rPr>
          <w:rFonts w:hint="eastAsia" w:hAnsi="黑体"/>
          <w:b/>
          <w:color w:val="auto"/>
          <w:sz w:val="32"/>
          <w:szCs w:val="32"/>
        </w:rPr>
        <w:t>三、支出决算情况说明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2020年度支出合计186.48万元，其中：基本支出92.62万元，占49.67%；项目支出93.86万元，占50.33%。</w:t>
      </w:r>
    </w:p>
    <w:p>
      <w:pPr>
        <w:pStyle w:val="12"/>
        <w:ind w:firstLine="320" w:firstLineChars="100"/>
        <w:rPr>
          <w:rFonts w:hAnsi="黑体"/>
          <w:b/>
          <w:color w:val="auto"/>
          <w:sz w:val="32"/>
          <w:szCs w:val="32"/>
        </w:rPr>
      </w:pPr>
      <w:r>
        <w:rPr>
          <w:rFonts w:hint="eastAsia" w:hAnsi="黑体"/>
          <w:b/>
          <w:color w:val="auto"/>
          <w:sz w:val="32"/>
          <w:szCs w:val="32"/>
        </w:rPr>
        <w:t>四、财政拨款收入支出决算总体情况说明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财政拨款收、支总计210.53万元，与上年相比减少26.39万元，减少12.54%，主要原因有：一是2019年收到共青团省委委托我中心牵头采购的“湖南红色旅游手绘地图项目”资金12万元，而2020年没有此项目，预算收入减少了12万元；二是年初结转资金减少了19.34万元。</w:t>
      </w:r>
    </w:p>
    <w:p>
      <w:pPr>
        <w:pStyle w:val="12"/>
        <w:ind w:firstLine="627" w:firstLineChars="196"/>
        <w:rPr>
          <w:rFonts w:hAnsi="黑体"/>
          <w:b/>
          <w:color w:val="auto"/>
          <w:sz w:val="32"/>
          <w:szCs w:val="32"/>
        </w:rPr>
      </w:pPr>
      <w:r>
        <w:rPr>
          <w:rFonts w:hint="eastAsia" w:hAnsi="黑体"/>
          <w:b/>
          <w:color w:val="auto"/>
          <w:sz w:val="32"/>
          <w:szCs w:val="32"/>
        </w:rPr>
        <w:t>五、一般公共预算财政拨款支出决算情况说明</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2"/>
        <w:ind w:firstLine="64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2020年度财政拨款支出186.48万元，占本年支出合计的100%，与上年相比，财政拨款支出减少35.51万元，减少19.04%，主要原因是项目支出减少了，一是 2019年收到共青团省委委托我中心牵头采购的“湖南红色旅游手绘地图项目”支出11.31万元，而2020年没有此项目支出，支出减少11.31万元；二是年初结转项目资金减少了19.34万元。</w:t>
      </w:r>
    </w:p>
    <w:p>
      <w:pPr>
        <w:pStyle w:val="12"/>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2020年度财政拨款支出186.48万元，主要用于以下方面：一般公共服务（类）支出0.6万元，占0.32%；文化旅游体育与传媒支出178.93万元，占95.96%；社会保障和就业支出6.95万元，占3.72%。</w:t>
      </w:r>
    </w:p>
    <w:p>
      <w:pPr>
        <w:pStyle w:val="12"/>
        <w:ind w:firstLine="627" w:firstLineChars="196"/>
        <w:rPr>
          <w:rFonts w:ascii="仿宋_GB2312" w:eastAsia="仿宋_GB2312" w:hAnsiTheme="minorEastAsia"/>
          <w:color w:val="auto"/>
          <w:sz w:val="32"/>
          <w:szCs w:val="32"/>
        </w:rPr>
      </w:pPr>
      <w:r>
        <w:rPr>
          <w:rFonts w:hint="eastAsia" w:asciiTheme="minorEastAsia" w:hAnsiTheme="minorEastAsia" w:eastAsiaTheme="minorEastAsia"/>
          <w:b/>
          <w:color w:val="auto"/>
          <w:sz w:val="32"/>
          <w:szCs w:val="32"/>
        </w:rPr>
        <w:t>（三）财政拨款支出决算具体情况</w:t>
      </w:r>
    </w:p>
    <w:p>
      <w:pPr>
        <w:pStyle w:val="12"/>
        <w:ind w:firstLine="800" w:firstLineChars="25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2020年度财政拨款支出年初预算数为210.53万元，支出决算数为186.48万元，完成年初预算的88.58%，其中：</w:t>
      </w:r>
    </w:p>
    <w:p>
      <w:pPr>
        <w:pStyle w:val="12"/>
        <w:ind w:firstLine="800" w:firstLineChars="250"/>
        <w:rPr>
          <w:rFonts w:ascii="楷体" w:hAnsi="楷体" w:eastAsia="楷体"/>
          <w:color w:val="auto"/>
          <w:sz w:val="32"/>
          <w:szCs w:val="32"/>
        </w:rPr>
      </w:pPr>
      <w:r>
        <w:rPr>
          <w:rFonts w:hint="eastAsia" w:ascii="楷体" w:hAnsi="楷体" w:eastAsia="楷体"/>
          <w:color w:val="auto"/>
          <w:sz w:val="32"/>
          <w:szCs w:val="32"/>
        </w:rPr>
        <w:t>1、一般公共服务（类）群众团体事务（款）一般行政管理事务（项）</w:t>
      </w:r>
    </w:p>
    <w:p>
      <w:pPr>
        <w:pStyle w:val="12"/>
        <w:ind w:firstLine="800" w:firstLineChars="250"/>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年初预算为0.7万元，支出决算为0.6万元，完成年初预算的85.71%，决算数小于年初预算数的主要原因是：合同协议总价比预算资金减少0.1万元。</w:t>
      </w:r>
    </w:p>
    <w:p>
      <w:pPr>
        <w:pStyle w:val="12"/>
        <w:ind w:firstLine="800" w:firstLineChars="250"/>
        <w:rPr>
          <w:rFonts w:ascii="楷体" w:hAnsi="楷体" w:eastAsia="楷体"/>
          <w:color w:val="auto"/>
          <w:sz w:val="32"/>
          <w:szCs w:val="32"/>
        </w:rPr>
      </w:pPr>
      <w:r>
        <w:rPr>
          <w:rFonts w:hint="eastAsia" w:ascii="楷体" w:hAnsi="楷体" w:eastAsia="楷体"/>
          <w:color w:val="auto"/>
          <w:sz w:val="32"/>
          <w:szCs w:val="32"/>
        </w:rPr>
        <w:t>2、文化旅游体育与传媒支出（类）文化和旅游（款）其他文化和旅游支出（项）</w:t>
      </w:r>
    </w:p>
    <w:p>
      <w:pPr>
        <w:snapToGrid w:val="0"/>
        <w:spacing w:line="600" w:lineRule="exact"/>
        <w:ind w:firstLine="627" w:firstLineChars="196"/>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年初预算为202.83万元，支出决算为178.93万元，完成年初预算的88.22%，决算数小于年初预算数的主要原因是：一是因疫情影响减少外出工作业务结余了公用经费支出；二是因中心医保账户未从厅机关分离出去，结余医疗保险费缴费。</w:t>
      </w:r>
    </w:p>
    <w:p>
      <w:pPr>
        <w:pStyle w:val="12"/>
        <w:ind w:firstLine="800" w:firstLineChars="250"/>
        <w:rPr>
          <w:rFonts w:ascii="楷体" w:hAnsi="楷体" w:eastAsia="楷体"/>
          <w:color w:val="auto"/>
          <w:sz w:val="32"/>
          <w:szCs w:val="32"/>
        </w:rPr>
      </w:pPr>
      <w:r>
        <w:rPr>
          <w:rFonts w:hint="eastAsia" w:ascii="楷体" w:hAnsi="楷体" w:eastAsia="楷体"/>
          <w:color w:val="auto"/>
          <w:sz w:val="32"/>
          <w:szCs w:val="32"/>
        </w:rPr>
        <w:t>3、社会保障和就业支出（类）行政事业单位养老支出（款）机关事业单位基本养老保险缴费支出（项）</w:t>
      </w:r>
    </w:p>
    <w:p>
      <w:pPr>
        <w:pStyle w:val="12"/>
        <w:ind w:firstLine="800" w:firstLineChars="250"/>
        <w:rPr>
          <w:rFonts w:ascii="仿宋_GB2312" w:eastAsia="仿宋_GB2312" w:hAnsiTheme="minorEastAsia"/>
          <w:color w:val="auto"/>
          <w:sz w:val="32"/>
          <w:szCs w:val="32"/>
        </w:rPr>
      </w:pPr>
      <w:r>
        <w:rPr>
          <w:rFonts w:hint="eastAsia" w:ascii="仿宋_GB2312" w:eastAsia="仿宋_GB2312" w:hAnsiTheme="minorEastAsia"/>
          <w:color w:val="auto"/>
          <w:sz w:val="32"/>
          <w:szCs w:val="32"/>
        </w:rPr>
        <w:t>年初预算为7万元，支出决算为6.95万元，完成年初预算的99.29%。</w:t>
      </w:r>
    </w:p>
    <w:p>
      <w:pPr>
        <w:pStyle w:val="12"/>
        <w:ind w:firstLine="627" w:firstLineChars="196"/>
        <w:rPr>
          <w:rFonts w:hAnsi="黑体"/>
          <w:b/>
          <w:color w:val="auto"/>
          <w:sz w:val="32"/>
          <w:szCs w:val="32"/>
        </w:rPr>
      </w:pPr>
      <w:r>
        <w:rPr>
          <w:rFonts w:hint="eastAsia" w:hAnsi="黑体"/>
          <w:b/>
          <w:color w:val="auto"/>
          <w:sz w:val="32"/>
          <w:szCs w:val="32"/>
        </w:rPr>
        <w:t>六、一般公共预算财政拨款基本支出决算情况说明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财政拨款基本支出92.62万元，其中：人员经费86.04万元，占基本支出的92.90%,主要包括基本工资、绩效工资、津贴补贴、奖金、伙食补助费、机关事业单位基本医疗保险缴费、住房公积金、其他工资福利支出；公用经费6.58万元，占基本支出的7.10%，主要包括办公费、咨询费、工会经费、差旅费、其他交通费用。</w:t>
      </w:r>
    </w:p>
    <w:p>
      <w:pPr>
        <w:pStyle w:val="12"/>
        <w:ind w:firstLine="627" w:firstLineChars="196"/>
        <w:rPr>
          <w:rFonts w:hAnsi="黑体"/>
          <w:b/>
          <w:color w:val="auto"/>
          <w:sz w:val="32"/>
          <w:szCs w:val="32"/>
        </w:rPr>
      </w:pPr>
      <w:r>
        <w:rPr>
          <w:rFonts w:hint="eastAsia" w:hAnsi="黑体"/>
          <w:b/>
          <w:color w:val="auto"/>
          <w:sz w:val="32"/>
          <w:szCs w:val="32"/>
        </w:rPr>
        <w:t>七、一般公共预算财政拨款三公经费支出决算情况说明</w:t>
      </w:r>
    </w:p>
    <w:p>
      <w:pPr>
        <w:pStyle w:val="12"/>
        <w:ind w:firstLine="627" w:firstLineChars="196"/>
        <w:rPr>
          <w:rFonts w:ascii="楷体" w:hAnsi="楷体" w:eastAsia="楷体"/>
          <w:b/>
          <w:bCs/>
          <w:color w:val="auto"/>
          <w:sz w:val="32"/>
          <w:szCs w:val="32"/>
        </w:rPr>
      </w:pPr>
      <w:r>
        <w:rPr>
          <w:rFonts w:hint="eastAsia" w:ascii="楷体" w:hAnsi="楷体" w:eastAsia="楷体"/>
          <w:b/>
          <w:bCs/>
          <w:color w:val="auto"/>
          <w:sz w:val="32"/>
          <w:szCs w:val="32"/>
        </w:rPr>
        <w:t>（一）“三公”经费财政拨款支出决算总体情况说明</w:t>
      </w:r>
    </w:p>
    <w:p>
      <w:pPr>
        <w:pStyle w:val="12"/>
        <w:ind w:firstLine="800" w:firstLineChars="250"/>
        <w:rPr>
          <w:rFonts w:ascii="仿宋_GB2312" w:eastAsia="仿宋_GB2312" w:hAnsiTheme="minorEastAsia"/>
          <w:color w:val="auto"/>
          <w:sz w:val="32"/>
          <w:szCs w:val="32"/>
        </w:rPr>
      </w:pPr>
      <w:r>
        <w:rPr>
          <w:rFonts w:hint="eastAsia" w:ascii="仿宋_GB2312" w:eastAsia="仿宋_GB2312" w:hAnsiTheme="minorEastAsia"/>
          <w:color w:val="auto"/>
          <w:sz w:val="32"/>
          <w:szCs w:val="32"/>
        </w:rPr>
        <w:t>“三公”经费财政拨款支出预算为0万元，支出决算为0万元。</w:t>
      </w:r>
    </w:p>
    <w:p>
      <w:pPr>
        <w:pStyle w:val="12"/>
        <w:ind w:firstLine="800" w:firstLineChars="250"/>
        <w:rPr>
          <w:rFonts w:ascii="仿宋_GB2312" w:eastAsia="仿宋_GB2312" w:hAnsiTheme="minorEastAsia"/>
          <w:color w:val="auto"/>
          <w:sz w:val="32"/>
          <w:szCs w:val="32"/>
        </w:rPr>
      </w:pPr>
      <w:r>
        <w:rPr>
          <w:rFonts w:hint="eastAsia" w:ascii="仿宋_GB2312" w:eastAsia="仿宋_GB2312" w:hAnsiTheme="minorEastAsia"/>
          <w:color w:val="auto"/>
          <w:sz w:val="32"/>
          <w:szCs w:val="32"/>
        </w:rPr>
        <w:t>因公出国（境）费支出预算为0万元，支出决算为0万元。</w:t>
      </w:r>
    </w:p>
    <w:p>
      <w:pPr>
        <w:pStyle w:val="12"/>
        <w:ind w:firstLine="800" w:firstLineChars="250"/>
        <w:rPr>
          <w:rFonts w:ascii="仿宋_GB2312" w:eastAsia="仿宋_GB2312" w:hAnsiTheme="minorEastAsia"/>
          <w:color w:val="auto"/>
          <w:sz w:val="32"/>
          <w:szCs w:val="32"/>
        </w:rPr>
      </w:pPr>
      <w:r>
        <w:rPr>
          <w:rFonts w:hint="eastAsia" w:ascii="仿宋_GB2312" w:eastAsia="仿宋_GB2312" w:hAnsiTheme="minorEastAsia"/>
          <w:color w:val="auto"/>
          <w:sz w:val="32"/>
          <w:szCs w:val="32"/>
        </w:rPr>
        <w:t>公务接待费支出预算为0万元，支出决算为0万元，。</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公务用车购置费及运行维护费支出预算为0万元，支出决算为0万元。</w:t>
      </w:r>
    </w:p>
    <w:p>
      <w:pPr>
        <w:pStyle w:val="12"/>
        <w:ind w:firstLine="627" w:firstLineChars="196"/>
        <w:rPr>
          <w:rFonts w:ascii="楷体" w:hAnsi="楷体" w:eastAsia="楷体"/>
          <w:color w:val="auto"/>
          <w:sz w:val="32"/>
          <w:szCs w:val="32"/>
        </w:rPr>
      </w:pPr>
      <w:r>
        <w:rPr>
          <w:rFonts w:hint="eastAsia" w:ascii="楷体" w:hAnsi="楷体" w:eastAsia="楷体"/>
          <w:color w:val="auto"/>
          <w:sz w:val="32"/>
          <w:szCs w:val="32"/>
        </w:rPr>
        <w:t>（二）“三公”经费财政拨款支出决算具体情况说明</w:t>
      </w:r>
    </w:p>
    <w:p>
      <w:pPr>
        <w:ind w:firstLine="800" w:firstLineChars="250"/>
        <w:rPr>
          <w:rFonts w:ascii="仿宋_GB2312" w:eastAsia="仿宋_GB2312" w:cs="黑体" w:hAnsiTheme="minorEastAsia"/>
          <w:kern w:val="0"/>
          <w:sz w:val="32"/>
          <w:szCs w:val="32"/>
        </w:rPr>
      </w:pPr>
      <w:r>
        <w:rPr>
          <w:rFonts w:hint="eastAsia" w:ascii="仿宋_GB2312" w:eastAsia="仿宋_GB2312" w:hAnsiTheme="minorEastAsia"/>
          <w:sz w:val="32"/>
          <w:szCs w:val="32"/>
        </w:rPr>
        <w:t>2020年度“三公”经费财政拨款支出决算中，公务接待费支出决算0万元，因公出国（境）费支出决算0万元，公务用车购置费及运行维护费支出决算0万元。</w:t>
      </w:r>
      <w:r>
        <w:rPr>
          <w:rFonts w:hint="eastAsia" w:asciiTheme="minorEastAsia" w:hAnsiTheme="minorEastAsia"/>
          <w:sz w:val="32"/>
          <w:szCs w:val="32"/>
        </w:rPr>
        <w:t>截止202</w:t>
      </w:r>
      <w:r>
        <w:rPr>
          <w:rFonts w:hint="eastAsia" w:asciiTheme="minorEastAsia" w:hAnsiTheme="minorEastAsia"/>
          <w:sz w:val="32"/>
          <w:szCs w:val="32"/>
          <w:lang w:val="en-US" w:eastAsia="zh-CN"/>
        </w:rPr>
        <w:t>0</w:t>
      </w:r>
      <w:bookmarkStart w:id="0" w:name="_GoBack"/>
      <w:bookmarkEnd w:id="0"/>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ind w:firstLine="627" w:firstLineChars="196"/>
        <w:rPr>
          <w:rFonts w:hAnsi="黑体"/>
          <w:b/>
          <w:color w:val="auto"/>
          <w:sz w:val="32"/>
          <w:szCs w:val="32"/>
        </w:rPr>
      </w:pPr>
      <w:r>
        <w:rPr>
          <w:rFonts w:hint="eastAsia" w:hAnsi="黑体"/>
          <w:b/>
          <w:color w:val="auto"/>
          <w:sz w:val="32"/>
          <w:szCs w:val="32"/>
        </w:rPr>
        <w:t>八、政府性基金预算收入支出决算情况</w:t>
      </w:r>
    </w:p>
    <w:p>
      <w:pPr>
        <w:pStyle w:val="12"/>
        <w:rPr>
          <w:rFonts w:ascii="仿宋_GB2312" w:eastAsia="仿宋_GB2312" w:hAnsiTheme="minorEastAsia"/>
          <w:i/>
          <w:color w:val="auto"/>
          <w:sz w:val="32"/>
          <w:szCs w:val="32"/>
        </w:rPr>
      </w:pPr>
      <w:r>
        <w:rPr>
          <w:rFonts w:hint="eastAsia" w:ascii="仿宋_GB2312" w:eastAsia="仿宋_GB2312" w:hAnsiTheme="minorEastAsia"/>
          <w:color w:val="auto"/>
          <w:sz w:val="32"/>
          <w:szCs w:val="32"/>
        </w:rPr>
        <w:t xml:space="preserve">    2020年度政府性基金预算财政拨款收入0万元；年初结转和结余0万元；支出0万元，其中基本支出0万元，项目支出0万元；年末结转和结余0万元。</w:t>
      </w:r>
    </w:p>
    <w:p>
      <w:pPr>
        <w:pStyle w:val="12"/>
        <w:ind w:firstLine="627" w:firstLineChars="196"/>
        <w:rPr>
          <w:rFonts w:hAnsi="黑体"/>
          <w:b/>
          <w:color w:val="auto"/>
          <w:sz w:val="32"/>
          <w:szCs w:val="32"/>
        </w:rPr>
      </w:pPr>
      <w:r>
        <w:rPr>
          <w:rFonts w:hint="eastAsia" w:hAnsi="黑体"/>
          <w:b/>
          <w:color w:val="auto"/>
          <w:sz w:val="32"/>
          <w:szCs w:val="32"/>
        </w:rPr>
        <w:t>九、关于机关运行经费支出说明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我中心2020年度机关运行经费支出6.58万元，比年初预算数减少8.97万元，减少57.68 %。主要原因</w:t>
      </w:r>
      <w:r>
        <w:rPr>
          <w:rFonts w:hint="eastAsia" w:ascii="仿宋_GB2312" w:eastAsia="仿宋_GB2312" w:hAnsiTheme="minorEastAsia" w:cstheme="minorEastAsia"/>
          <w:bCs/>
          <w:color w:val="auto"/>
          <w:sz w:val="32"/>
          <w:szCs w:val="32"/>
        </w:rPr>
        <w:t>是</w:t>
      </w:r>
      <w:r>
        <w:rPr>
          <w:rFonts w:hint="eastAsia" w:ascii="仿宋_GB2312" w:eastAsia="仿宋_GB2312" w:hAnsiTheme="minorEastAsia" w:cstheme="minorEastAsia"/>
          <w:color w:val="auto"/>
          <w:sz w:val="32"/>
          <w:szCs w:val="32"/>
        </w:rPr>
        <w:t>因疫情影响减少外出工作业务</w:t>
      </w:r>
      <w:r>
        <w:rPr>
          <w:rFonts w:hint="eastAsia" w:ascii="仿宋_GB2312" w:eastAsia="仿宋_GB2312" w:hAnsiTheme="minorEastAsia"/>
          <w:color w:val="auto"/>
          <w:sz w:val="32"/>
          <w:szCs w:val="32"/>
        </w:rPr>
        <w:t>。</w:t>
      </w:r>
    </w:p>
    <w:p>
      <w:pPr>
        <w:pStyle w:val="12"/>
        <w:ind w:firstLine="627" w:firstLineChars="196"/>
        <w:rPr>
          <w:rFonts w:hAnsi="黑体"/>
          <w:b/>
          <w:color w:val="auto"/>
          <w:sz w:val="32"/>
          <w:szCs w:val="32"/>
        </w:rPr>
      </w:pPr>
      <w:r>
        <w:rPr>
          <w:rFonts w:hint="eastAsia" w:hAnsi="黑体"/>
          <w:b/>
          <w:color w:val="auto"/>
          <w:sz w:val="32"/>
          <w:szCs w:val="32"/>
        </w:rPr>
        <w:t>十、一般性支出情况</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2020年开支会议费0万元；开支培训费0万元；举办节庆、晚会、论坛、赛事活动，开支0万元。</w:t>
      </w:r>
    </w:p>
    <w:p>
      <w:pPr>
        <w:pStyle w:val="12"/>
        <w:ind w:firstLine="627" w:firstLineChars="196"/>
        <w:rPr>
          <w:rFonts w:hAnsi="黑体"/>
          <w:b/>
          <w:color w:val="auto"/>
          <w:sz w:val="32"/>
          <w:szCs w:val="32"/>
        </w:rPr>
      </w:pPr>
      <w:r>
        <w:rPr>
          <w:rFonts w:hint="eastAsia" w:hAnsi="黑体"/>
          <w:b/>
          <w:color w:val="auto"/>
          <w:sz w:val="32"/>
          <w:szCs w:val="32"/>
        </w:rPr>
        <w:t>十一、关于政府采购支出说明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2020年度政府采购支出总额92.3万元，均为政府采购服务支出。授予中小企业合同金额92.3万元，占政府采购支出总额的100%，其中：授予小微企业合同金额92.3万元，占政府采购支出总额的100%。</w:t>
      </w:r>
    </w:p>
    <w:p>
      <w:pPr>
        <w:pStyle w:val="12"/>
        <w:ind w:firstLine="627" w:firstLineChars="196"/>
        <w:rPr>
          <w:rFonts w:hAnsi="黑体"/>
          <w:b/>
          <w:color w:val="auto"/>
          <w:sz w:val="32"/>
          <w:szCs w:val="32"/>
        </w:rPr>
      </w:pPr>
      <w:r>
        <w:rPr>
          <w:rFonts w:hint="eastAsia" w:hAnsi="黑体"/>
          <w:b/>
          <w:color w:val="auto"/>
          <w:sz w:val="32"/>
          <w:szCs w:val="32"/>
        </w:rPr>
        <w:t>十二、关于国有资产占用情况说明</w:t>
      </w:r>
    </w:p>
    <w:p>
      <w:pPr>
        <w:pStyle w:val="12"/>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截至2020年12月31日，本单位共有车辆0辆；单位价值50万元以上通用设备0台（套）；单位价值100万元以上专用设备0台（套）。</w:t>
      </w:r>
    </w:p>
    <w:p>
      <w:pPr>
        <w:pStyle w:val="12"/>
        <w:ind w:firstLine="627" w:firstLineChars="196"/>
        <w:rPr>
          <w:rFonts w:hAnsi="黑体"/>
          <w:b/>
          <w:color w:val="auto"/>
          <w:sz w:val="32"/>
          <w:szCs w:val="32"/>
        </w:rPr>
      </w:pPr>
      <w:r>
        <w:rPr>
          <w:rFonts w:hint="eastAsia" w:hAnsi="黑体"/>
          <w:b/>
          <w:color w:val="auto"/>
          <w:sz w:val="32"/>
          <w:szCs w:val="32"/>
        </w:rPr>
        <w:t>十三、关于2020年度项目预算绩效情况的说明</w:t>
      </w:r>
    </w:p>
    <w:p>
      <w:pPr>
        <w:spacing w:line="600" w:lineRule="exact"/>
        <w:ind w:firstLine="640" w:firstLineChars="200"/>
        <w:rPr>
          <w:rFonts w:ascii="仿宋_GB2312" w:eastAsia="仿宋_GB2312" w:cs="黑体"/>
          <w:sz w:val="32"/>
          <w:szCs w:val="32"/>
        </w:rPr>
      </w:pPr>
      <w:r>
        <w:rPr>
          <w:rFonts w:hint="eastAsia" w:ascii="仿宋" w:hAnsi="仿宋" w:eastAsia="仿宋" w:cs="宋体"/>
          <w:sz w:val="32"/>
          <w:szCs w:val="32"/>
        </w:rPr>
        <w:t>2020年度我中心预算项目为机关网络运维，即“省文旅厅机关信息化</w:t>
      </w:r>
      <w:r>
        <w:rPr>
          <w:rFonts w:hint="eastAsia" w:ascii="仿宋_GB2312" w:eastAsia="仿宋_GB2312" w:cs="黑体"/>
          <w:sz w:val="32"/>
          <w:szCs w:val="32"/>
        </w:rPr>
        <w:t>服务项目”。项目预算金额95万元，实际采购金额为92.3万元。绩效目标为</w:t>
      </w:r>
      <w:r>
        <w:rPr>
          <w:rFonts w:hint="eastAsia" w:ascii="仿宋" w:hAnsi="仿宋" w:eastAsia="仿宋"/>
          <w:sz w:val="32"/>
          <w:szCs w:val="32"/>
        </w:rPr>
        <w:t>保障省文旅厅机关信息系统正常运行，2020年度</w:t>
      </w:r>
      <w:r>
        <w:rPr>
          <w:rFonts w:hint="eastAsia" w:ascii="仿宋_GB2312" w:eastAsia="仿宋_GB2312" w:cs="黑体"/>
          <w:sz w:val="32"/>
          <w:szCs w:val="32"/>
        </w:rPr>
        <w:t>绩效目标完成情况：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本年度为省文旅厅机关维护计算机、打印机软硬件855次，处置网络故障146次，提供会议技术保障150次，受托对非涉密电脑进行涉密检查140台次。同时，做好了今年全年7个法定节假日的信息技术值班工作，确保假日期间网络和系统运行正常；进一步完善机房日常巡检和管理制度，全年巡检机房</w:t>
      </w:r>
      <w:r>
        <w:rPr>
          <w:rFonts w:ascii="仿宋" w:hAnsi="仿宋" w:eastAsia="仿宋" w:cs="宋体"/>
          <w:sz w:val="32"/>
          <w:szCs w:val="32"/>
        </w:rPr>
        <w:t>500</w:t>
      </w:r>
      <w:r>
        <w:rPr>
          <w:rFonts w:hint="eastAsia" w:ascii="仿宋" w:hAnsi="仿宋" w:eastAsia="仿宋" w:cs="宋体"/>
          <w:sz w:val="32"/>
          <w:szCs w:val="32"/>
        </w:rPr>
        <w:t>余次；做好了监管指挥中心管理，设备日常巡检106次；协助调试并确保文旅部视频会议系统正常使用等。</w:t>
      </w: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84"/>
          <w:szCs w:val="84"/>
        </w:rPr>
      </w:pPr>
      <w:r>
        <w:rPr>
          <w:rFonts w:hint="eastAsia" w:ascii="方正小标宋简体" w:eastAsia="方正小标宋简体"/>
          <w:color w:val="auto"/>
          <w:sz w:val="84"/>
          <w:szCs w:val="84"/>
        </w:rPr>
        <w:t xml:space="preserve">第四部分 </w:t>
      </w:r>
    </w:p>
    <w:p>
      <w:pPr>
        <w:pStyle w:val="12"/>
        <w:jc w:val="center"/>
        <w:rPr>
          <w:rFonts w:hint="eastAsia" w:ascii="方正小标宋简体" w:eastAsia="方正小标宋简体"/>
          <w:sz w:val="84"/>
          <w:szCs w:val="84"/>
        </w:rPr>
      </w:pPr>
    </w:p>
    <w:p>
      <w:pPr>
        <w:pStyle w:val="12"/>
        <w:jc w:val="center"/>
        <w:rPr>
          <w:sz w:val="84"/>
          <w:szCs w:val="84"/>
        </w:rPr>
      </w:pPr>
      <w:r>
        <w:rPr>
          <w:rFonts w:hint="eastAsia" w:ascii="方正小标宋简体" w:eastAsia="方正小标宋简体"/>
          <w:sz w:val="84"/>
          <w:szCs w:val="84"/>
        </w:rPr>
        <w:t>名词解释</w:t>
      </w:r>
    </w:p>
    <w:p>
      <w:pPr>
        <w:widowControl/>
        <w:ind w:firstLine="640" w:firstLineChars="200"/>
        <w:jc w:val="left"/>
        <w:rPr>
          <w:rFonts w:ascii="仿宋" w:hAnsi="仿宋" w:eastAsia="仿宋" w:cs="宋体"/>
          <w:sz w:val="32"/>
          <w:szCs w:val="32"/>
        </w:rPr>
      </w:pPr>
    </w:p>
    <w:p>
      <w:pPr>
        <w:widowControl/>
        <w:jc w:val="left"/>
        <w:rPr>
          <w:rFonts w:ascii="宋体" w:hAnsi="宋体" w:eastAsia="宋体" w:cs="宋体"/>
          <w:sz w:val="24"/>
          <w:szCs w:val="24"/>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hint="eastAsia" w:ascii="仿宋_GB2312" w:hAnsi="宋体" w:eastAsia="仿宋_GB2312" w:cs="宋体"/>
          <w:sz w:val="32"/>
          <w:szCs w:val="32"/>
        </w:rPr>
      </w:pPr>
    </w:p>
    <w:p>
      <w:pPr>
        <w:widowControl/>
        <w:ind w:firstLine="640" w:firstLineChars="200"/>
        <w:jc w:val="left"/>
        <w:rPr>
          <w:rFonts w:hint="eastAsia" w:ascii="仿宋_GB2312" w:hAnsi="宋体" w:eastAsia="仿宋_GB2312" w:cs="宋体"/>
          <w:sz w:val="32"/>
          <w:szCs w:val="32"/>
        </w:rPr>
      </w:pPr>
    </w:p>
    <w:p>
      <w:pPr>
        <w:widowControl/>
        <w:ind w:firstLine="640" w:firstLineChars="200"/>
        <w:jc w:val="left"/>
        <w:rPr>
          <w:rFonts w:hint="eastAsia"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p>
    <w:p>
      <w:pPr>
        <w:widowControl/>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1、财政拨款收入：指省级财政当年拨付的资金。 </w:t>
      </w:r>
    </w:p>
    <w:p>
      <w:pPr>
        <w:widowControl/>
        <w:ind w:firstLine="640" w:firstLineChars="200"/>
        <w:jc w:val="left"/>
        <w:rPr>
          <w:rFonts w:ascii="仿宋_GB2312" w:hAnsi="仿宋" w:eastAsia="仿宋_GB2312" w:cs="宋体"/>
          <w:sz w:val="32"/>
          <w:szCs w:val="32"/>
        </w:rPr>
      </w:pPr>
      <w:r>
        <w:rPr>
          <w:rFonts w:hint="eastAsia" w:ascii="仿宋_GB2312" w:hAnsi="宋体" w:eastAsia="仿宋_GB2312" w:cs="宋体"/>
          <w:sz w:val="32"/>
          <w:szCs w:val="32"/>
        </w:rPr>
        <w:t xml:space="preserve">2、其他收入：指除“财政拨款收入”以外的收入。主要是 上级单位拨款、存款利息收入等。 </w:t>
      </w:r>
    </w:p>
    <w:p>
      <w:pPr>
        <w:widowControl/>
        <w:ind w:firstLine="640" w:firstLineChars="200"/>
        <w:jc w:val="left"/>
        <w:rPr>
          <w:rFonts w:ascii="仿宋_GB2312" w:hAnsi="仿宋" w:eastAsia="仿宋_GB2312" w:cs="宋体"/>
          <w:sz w:val="32"/>
          <w:szCs w:val="32"/>
        </w:rPr>
      </w:pPr>
      <w:r>
        <w:rPr>
          <w:rFonts w:hint="eastAsia" w:ascii="仿宋_GB2312" w:hAnsi="宋体" w:eastAsia="仿宋_GB2312" w:cs="宋体"/>
          <w:sz w:val="32"/>
          <w:szCs w:val="32"/>
        </w:rPr>
        <w:t>3、基本支出：指为保障机构正常运转、完成日常工作任务 而发生的行政单位(含参照公务员法管理的事业单位)履行一般 行政管理职能，维持机关日常运转所必须开支的费用，包括用 于工资、津贴及奖金等的人员经费和用于办公、水电费等的公 用经费。</w:t>
      </w:r>
    </w:p>
    <w:p>
      <w:pPr>
        <w:widowControl/>
        <w:jc w:val="left"/>
        <w:rPr>
          <w:rFonts w:ascii="仿宋_GB2312" w:hAnsi="仿宋" w:eastAsia="仿宋_GB2312" w:cs="宋体"/>
          <w:sz w:val="32"/>
          <w:szCs w:val="32"/>
        </w:rPr>
      </w:pPr>
      <w:r>
        <w:rPr>
          <w:rFonts w:hint="eastAsia" w:ascii="仿宋_GB2312" w:hAnsi="宋体" w:eastAsia="仿宋_GB2312" w:cs="宋体"/>
          <w:sz w:val="32"/>
          <w:szCs w:val="32"/>
        </w:rPr>
        <w:t xml:space="preserve">     4、项目支出：指在基本支出之外为完成特定行政任务和事 业发展目标所发生的支出。</w:t>
      </w:r>
    </w:p>
    <w:p>
      <w:pPr>
        <w:widowControl/>
        <w:jc w:val="left"/>
        <w:rPr>
          <w:rFonts w:ascii="仿宋_GB2312" w:hAnsi="仿宋" w:eastAsia="仿宋_GB2312" w:cs="宋体"/>
          <w:sz w:val="32"/>
          <w:szCs w:val="32"/>
        </w:rPr>
      </w:pPr>
      <w:r>
        <w:rPr>
          <w:rFonts w:hint="eastAsia" w:ascii="仿宋_GB2312" w:hAnsi="宋体" w:eastAsia="仿宋_GB2312" w:cs="宋体"/>
          <w:sz w:val="32"/>
          <w:szCs w:val="32"/>
        </w:rPr>
        <w:t xml:space="preserve">     5、年初结转和结余：指以前年度尚未完成、结转到本年仍 按原规定用途继续使用的资金，或项目已完成等产生的结余资 金。</w:t>
      </w:r>
    </w:p>
    <w:p>
      <w:pPr>
        <w:widowControl/>
        <w:jc w:val="left"/>
        <w:rPr>
          <w:rFonts w:ascii="仿宋_GB2312" w:hAnsi="仿宋" w:eastAsia="仿宋_GB2312" w:cs="宋体"/>
          <w:sz w:val="32"/>
          <w:szCs w:val="32"/>
        </w:rPr>
      </w:pPr>
      <w:r>
        <w:rPr>
          <w:rFonts w:hint="eastAsia" w:ascii="仿宋_GB2312" w:hAnsi="宋体" w:eastAsia="仿宋_GB2312" w:cs="宋体"/>
          <w:sz w:val="32"/>
          <w:szCs w:val="32"/>
        </w:rPr>
        <w:t xml:space="preserve">     6、年末结转和结余：指单位按有关规定结转到下年或以后 年度继续使用的资金。</w:t>
      </w:r>
    </w:p>
    <w:p>
      <w:pPr>
        <w:widowControl/>
        <w:ind w:firstLine="640" w:firstLineChars="200"/>
        <w:jc w:val="left"/>
        <w:rPr>
          <w:rFonts w:ascii="仿宋_GB2312" w:hAnsi="仿宋" w:eastAsia="仿宋_GB2312" w:cs="宋体"/>
          <w:sz w:val="32"/>
          <w:szCs w:val="32"/>
        </w:rPr>
      </w:pPr>
      <w:r>
        <w:rPr>
          <w:rFonts w:hint="eastAsia" w:ascii="仿宋_GB2312" w:hAnsi="宋体" w:eastAsia="仿宋_GB2312" w:cs="宋体"/>
          <w:sz w:val="32"/>
          <w:szCs w:val="32"/>
        </w:rPr>
        <w:t>7、“三公”经费：纳入财政预决算管理的“三公”经费， 是指用财政拨款安排的因公出国(境)费、公务用车购置及运行 费和公务接待费。其中，因公出国(境)费反映单位因公务出国 (境)的国际旅费、国外城市间交通费、住宿费、伙食费、培训 费、公杂费等支出；公务用车购置及运行费反映单位因公务用 车车辆购置支出(含车辆购置税)及租用费、燃料费、维修费、 过路过桥费、保险费、安全奖励费用等支出；公务接待费反映 单位按中央和省委省政府相关规定开支的各类公务接待(含外 宾接待)支出。</w:t>
      </w:r>
    </w:p>
    <w:p>
      <w:pPr>
        <w:widowControl/>
        <w:ind w:firstLine="640" w:firstLineChars="200"/>
        <w:jc w:val="left"/>
        <w:rPr>
          <w:rFonts w:ascii="仿宋_GB2312" w:hAnsi="仿宋" w:eastAsia="仿宋_GB2312" w:cs="宋体"/>
          <w:sz w:val="32"/>
          <w:szCs w:val="32"/>
        </w:rPr>
      </w:pPr>
      <w:r>
        <w:rPr>
          <w:rFonts w:hint="eastAsia" w:ascii="仿宋_GB2312" w:hAnsi="宋体" w:eastAsia="仿宋_GB2312" w:cs="宋体"/>
          <w:sz w:val="32"/>
          <w:szCs w:val="32"/>
        </w:rPr>
        <w:t>8、机关运行经费：为保障行政单位(含参照公务员法管理 的事业单位)运行用于购买货物和服务的各项资金，包括办公及 印刷费、邮电费、差旅费、会议费、福利费、日常维修费、专 用材料及一般设备购置费、办公用房水电费、办公用房取暖费、 办公用房物业管理费。</w:t>
      </w:r>
    </w:p>
    <w:p>
      <w:pPr>
        <w:pStyle w:val="12"/>
        <w:jc w:val="center"/>
        <w:rPr>
          <w:rFonts w:ascii="仿宋_GB2312" w:eastAsia="仿宋_GB2312"/>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44"/>
          <w:szCs w:val="44"/>
        </w:rPr>
      </w:pPr>
    </w:p>
    <w:p>
      <w:pPr>
        <w:pStyle w:val="12"/>
        <w:jc w:val="center"/>
        <w:rPr>
          <w:rFonts w:ascii="方正小标宋简体" w:eastAsia="方正小标宋简体"/>
          <w:color w:val="auto"/>
          <w:sz w:val="84"/>
          <w:szCs w:val="84"/>
        </w:rPr>
      </w:pPr>
      <w:r>
        <w:rPr>
          <w:rFonts w:hint="eastAsia" w:ascii="方正小标宋简体" w:eastAsia="方正小标宋简体"/>
          <w:color w:val="auto"/>
          <w:sz w:val="84"/>
          <w:szCs w:val="84"/>
        </w:rPr>
        <w:t>第五部分</w:t>
      </w:r>
    </w:p>
    <w:p>
      <w:pPr>
        <w:pStyle w:val="12"/>
        <w:jc w:val="center"/>
        <w:rPr>
          <w:rFonts w:hint="eastAsia" w:ascii="方正小标宋简体" w:eastAsia="方正小标宋简体"/>
          <w:sz w:val="84"/>
          <w:szCs w:val="84"/>
        </w:rPr>
      </w:pPr>
    </w:p>
    <w:p>
      <w:pPr>
        <w:pStyle w:val="12"/>
        <w:jc w:val="center"/>
        <w:rPr>
          <w:rFonts w:ascii="方正小标宋简体" w:eastAsia="方正小标宋简体" w:hAnsiTheme="minorEastAsia"/>
          <w:b/>
          <w:sz w:val="84"/>
          <w:szCs w:val="84"/>
        </w:rPr>
      </w:pPr>
      <w:r>
        <w:rPr>
          <w:rFonts w:hint="eastAsia" w:ascii="方正小标宋简体" w:eastAsia="方正小标宋简体"/>
          <w:sz w:val="84"/>
          <w:szCs w:val="84"/>
        </w:rPr>
        <w:t>附 件</w:t>
      </w:r>
    </w:p>
    <w:p>
      <w:pPr>
        <w:rPr>
          <w:rFonts w:cs="黑体" w:asciiTheme="minorEastAsia" w:hAnsiTheme="minorEastAsia"/>
          <w:b/>
          <w:color w:val="000000"/>
          <w:kern w:val="0"/>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p>
    <w:p>
      <w:pPr>
        <w:pStyle w:val="5"/>
        <w:shd w:val="clear" w:color="auto" w:fill="FFFFFF"/>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本单位无附件，单位2020年绩效评价情况纳入省文化和旅游厅部门整体支出绩效评价，已在厅门户网统一公开。</w:t>
      </w:r>
    </w:p>
    <w:p>
      <w:pPr>
        <w:pStyle w:val="5"/>
        <w:shd w:val="clear" w:color="auto" w:fill="FFFFFF"/>
        <w:spacing w:before="0" w:beforeAutospacing="0" w:after="0" w:afterAutospacing="0"/>
        <w:ind w:firstLine="640" w:firstLineChars="200"/>
        <w:rPr>
          <w:rFonts w:cs="黑体" w:asciiTheme="minorEastAsia" w:hAnsiTheme="minorEastAsia"/>
          <w:color w:val="000000"/>
          <w:sz w:val="32"/>
          <w:szCs w:val="32"/>
        </w:rPr>
      </w:pPr>
    </w:p>
    <w:sectPr>
      <w:pgSz w:w="11906" w:h="16838"/>
      <w:pgMar w:top="1361" w:right="1361"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32517"/>
    <w:rsid w:val="000415B7"/>
    <w:rsid w:val="00041E3F"/>
    <w:rsid w:val="00055DAA"/>
    <w:rsid w:val="00061F7B"/>
    <w:rsid w:val="000658A3"/>
    <w:rsid w:val="00074155"/>
    <w:rsid w:val="000A3F69"/>
    <w:rsid w:val="000D0E11"/>
    <w:rsid w:val="00103957"/>
    <w:rsid w:val="0011648C"/>
    <w:rsid w:val="00152C6D"/>
    <w:rsid w:val="001561F5"/>
    <w:rsid w:val="00162D39"/>
    <w:rsid w:val="001678BD"/>
    <w:rsid w:val="001A67DB"/>
    <w:rsid w:val="001B0401"/>
    <w:rsid w:val="001C3C29"/>
    <w:rsid w:val="001D51E5"/>
    <w:rsid w:val="001E080D"/>
    <w:rsid w:val="001E53D0"/>
    <w:rsid w:val="001F0C3B"/>
    <w:rsid w:val="00202C82"/>
    <w:rsid w:val="00214427"/>
    <w:rsid w:val="00226CB7"/>
    <w:rsid w:val="00264552"/>
    <w:rsid w:val="00264EF9"/>
    <w:rsid w:val="00265724"/>
    <w:rsid w:val="0027426B"/>
    <w:rsid w:val="002D447D"/>
    <w:rsid w:val="002E0A30"/>
    <w:rsid w:val="002F4617"/>
    <w:rsid w:val="003021C2"/>
    <w:rsid w:val="003130C4"/>
    <w:rsid w:val="00316C4B"/>
    <w:rsid w:val="0032192B"/>
    <w:rsid w:val="003479BD"/>
    <w:rsid w:val="0037197D"/>
    <w:rsid w:val="003768D5"/>
    <w:rsid w:val="00383CC5"/>
    <w:rsid w:val="003A4F63"/>
    <w:rsid w:val="003B49B6"/>
    <w:rsid w:val="003C47E6"/>
    <w:rsid w:val="003C4FC2"/>
    <w:rsid w:val="003F42B1"/>
    <w:rsid w:val="00416E61"/>
    <w:rsid w:val="0042790C"/>
    <w:rsid w:val="00445143"/>
    <w:rsid w:val="004506F9"/>
    <w:rsid w:val="004717A2"/>
    <w:rsid w:val="00473DF3"/>
    <w:rsid w:val="00487290"/>
    <w:rsid w:val="00487911"/>
    <w:rsid w:val="00491741"/>
    <w:rsid w:val="004D627C"/>
    <w:rsid w:val="004E4835"/>
    <w:rsid w:val="004E4BA9"/>
    <w:rsid w:val="00500E5F"/>
    <w:rsid w:val="005122EF"/>
    <w:rsid w:val="0051441A"/>
    <w:rsid w:val="00517C33"/>
    <w:rsid w:val="00523644"/>
    <w:rsid w:val="0054069E"/>
    <w:rsid w:val="0054352D"/>
    <w:rsid w:val="00544866"/>
    <w:rsid w:val="0057187F"/>
    <w:rsid w:val="005767CC"/>
    <w:rsid w:val="00590D9F"/>
    <w:rsid w:val="00595D26"/>
    <w:rsid w:val="005973A7"/>
    <w:rsid w:val="005A74E6"/>
    <w:rsid w:val="005B404E"/>
    <w:rsid w:val="005D2E8A"/>
    <w:rsid w:val="005D4D55"/>
    <w:rsid w:val="005E2CFB"/>
    <w:rsid w:val="005E521D"/>
    <w:rsid w:val="005F3D1C"/>
    <w:rsid w:val="0062378F"/>
    <w:rsid w:val="00641842"/>
    <w:rsid w:val="00651EEC"/>
    <w:rsid w:val="006573BA"/>
    <w:rsid w:val="00663E5E"/>
    <w:rsid w:val="00672EAB"/>
    <w:rsid w:val="00686673"/>
    <w:rsid w:val="00691E8C"/>
    <w:rsid w:val="006A22C4"/>
    <w:rsid w:val="006A351B"/>
    <w:rsid w:val="006B0422"/>
    <w:rsid w:val="006B5FE9"/>
    <w:rsid w:val="006C14E8"/>
    <w:rsid w:val="006C1B53"/>
    <w:rsid w:val="006D7730"/>
    <w:rsid w:val="006E5284"/>
    <w:rsid w:val="006F023A"/>
    <w:rsid w:val="006F3EB5"/>
    <w:rsid w:val="00702E34"/>
    <w:rsid w:val="00704395"/>
    <w:rsid w:val="00717621"/>
    <w:rsid w:val="00720FF1"/>
    <w:rsid w:val="00727A53"/>
    <w:rsid w:val="007416BB"/>
    <w:rsid w:val="007801CC"/>
    <w:rsid w:val="00787B42"/>
    <w:rsid w:val="007A0D04"/>
    <w:rsid w:val="007B4DDE"/>
    <w:rsid w:val="007C4539"/>
    <w:rsid w:val="007C7F96"/>
    <w:rsid w:val="007F3657"/>
    <w:rsid w:val="00812ED5"/>
    <w:rsid w:val="00823E6C"/>
    <w:rsid w:val="008277D9"/>
    <w:rsid w:val="008375DE"/>
    <w:rsid w:val="0084478C"/>
    <w:rsid w:val="0086638C"/>
    <w:rsid w:val="008A3E8D"/>
    <w:rsid w:val="008B19C9"/>
    <w:rsid w:val="009237C4"/>
    <w:rsid w:val="00944C48"/>
    <w:rsid w:val="00950252"/>
    <w:rsid w:val="00967F5D"/>
    <w:rsid w:val="009A0F95"/>
    <w:rsid w:val="009B3ADF"/>
    <w:rsid w:val="009C3B52"/>
    <w:rsid w:val="009D504C"/>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429F8"/>
    <w:rsid w:val="00C52EA9"/>
    <w:rsid w:val="00C60D82"/>
    <w:rsid w:val="00C77645"/>
    <w:rsid w:val="00CB44D2"/>
    <w:rsid w:val="00CE04C3"/>
    <w:rsid w:val="00CE09B4"/>
    <w:rsid w:val="00CE76A0"/>
    <w:rsid w:val="00CF2DA3"/>
    <w:rsid w:val="00D148C6"/>
    <w:rsid w:val="00D17A8A"/>
    <w:rsid w:val="00D21189"/>
    <w:rsid w:val="00D415BA"/>
    <w:rsid w:val="00D46EB0"/>
    <w:rsid w:val="00D644EE"/>
    <w:rsid w:val="00D9675A"/>
    <w:rsid w:val="00DD06FF"/>
    <w:rsid w:val="00DD5FE9"/>
    <w:rsid w:val="00DF46A6"/>
    <w:rsid w:val="00E00C7A"/>
    <w:rsid w:val="00E37D6C"/>
    <w:rsid w:val="00E55B68"/>
    <w:rsid w:val="00E67BE6"/>
    <w:rsid w:val="00E8683C"/>
    <w:rsid w:val="00EA2B72"/>
    <w:rsid w:val="00EC7486"/>
    <w:rsid w:val="00EE74C2"/>
    <w:rsid w:val="00F31FE2"/>
    <w:rsid w:val="00F74360"/>
    <w:rsid w:val="00FA5D78"/>
    <w:rsid w:val="00FB462F"/>
    <w:rsid w:val="00FB562C"/>
    <w:rsid w:val="00FE16FA"/>
    <w:rsid w:val="00FE328A"/>
    <w:rsid w:val="00FE6269"/>
    <w:rsid w:val="00FF5CD6"/>
    <w:rsid w:val="020059FE"/>
    <w:rsid w:val="068C7B0B"/>
    <w:rsid w:val="0ACF0E0A"/>
    <w:rsid w:val="174E6DED"/>
    <w:rsid w:val="19C445E3"/>
    <w:rsid w:val="1C7C1A3B"/>
    <w:rsid w:val="1ECB3E3E"/>
    <w:rsid w:val="27126BE0"/>
    <w:rsid w:val="2A321BEB"/>
    <w:rsid w:val="2BA60F1B"/>
    <w:rsid w:val="32BF7BB5"/>
    <w:rsid w:val="35CF132E"/>
    <w:rsid w:val="3C395B8C"/>
    <w:rsid w:val="3DA37227"/>
    <w:rsid w:val="403F7467"/>
    <w:rsid w:val="41DA4A04"/>
    <w:rsid w:val="511D3965"/>
    <w:rsid w:val="54E47A67"/>
    <w:rsid w:val="58F84210"/>
    <w:rsid w:val="58FC093B"/>
    <w:rsid w:val="59771477"/>
    <w:rsid w:val="5A7C6A9F"/>
    <w:rsid w:val="5B031B42"/>
    <w:rsid w:val="5D66583A"/>
    <w:rsid w:val="62E96E49"/>
    <w:rsid w:val="6666764E"/>
    <w:rsid w:val="74C43C4B"/>
    <w:rsid w:val="7662532D"/>
    <w:rsid w:val="76AD600D"/>
    <w:rsid w:val="78FB6C76"/>
    <w:rsid w:val="79D95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sz w:val="18"/>
      <w:szCs w:val="18"/>
    </w:rPr>
  </w:style>
  <w:style w:type="character" w:customStyle="1" w:styleId="15">
    <w:name w:val="font61"/>
    <w:basedOn w:val="7"/>
    <w:qFormat/>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6496</Words>
  <Characters>7874</Characters>
  <Lines>73</Lines>
  <Paragraphs>20</Paragraphs>
  <TotalTime>1</TotalTime>
  <ScaleCrop>false</ScaleCrop>
  <LinksUpToDate>false</LinksUpToDate>
  <CharactersWithSpaces>8570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2021-08-30T08:53:00Z</dcterms:created>
  <dc:creator>李航 null</dc:creator>
  <cp:lastModifiedBy>Administrator</cp:lastModifiedBy>
  <cp:lastPrinted>2021-08-30T07:54:00Z</cp:lastPrinted>
  <dcterms:modified xsi:type="dcterms:W3CDTF">2022-09-08T03:06:04Z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235E7CDC98D04B678950D30AE041F88E</vt:lpwstr>
  </property>
</Properties>
</file>