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4"/>
        <w:tblW w:w="51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74"/>
        <w:gridCol w:w="1369"/>
        <w:gridCol w:w="1356"/>
        <w:gridCol w:w="1358"/>
        <w:gridCol w:w="1360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中央对地方转移支付区域绩效目标自评表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44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国家非物质文化遗产保护资金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44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中华人民共和国文化和旅游部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1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湖南省财政厅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资金投入情况（万元）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 （B/A×1OO%）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年度资金总额；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4,424.00 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4,150.49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4,424.00 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4,150.49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地方资金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2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2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目标1：支持入选联合国教科文组织非物质文化遗产名录名册项目不少于2个，支持一般代表性项目不少于35个，不断改善存续状况，融入人民群众生产生活的成程度不断提高；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目标2：开办非遗传承人群研修培训班6次，培养不少于120名传承人，提高相关群体的技能艺能和创新能力，夯实中坚力量；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目标3：对不少于8名国家级代表性传承人进行数字化记录；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目标4：加强文化生态保护区建设，积极开展各类非物质文化遗产展示展演活动，非遗的社会知名度、美誉度进一步提高。</w:t>
            </w:r>
          </w:p>
        </w:tc>
        <w:tc>
          <w:tcPr>
            <w:tcW w:w="2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1、支持入选联合国教科文组织非物质文化遗产名录名册项目2个，支持一般代表性项目58个，不断改善存续状况，融入人民群众生产生活的成程度不断提高；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2、开办非遗传承人群研修培训班7次，培养125名</w:t>
            </w:r>
            <w:r>
              <w:rPr>
                <w:rStyle w:val="6"/>
                <w:lang w:val="en-US" w:eastAsia="zh-CN" w:bidi="ar"/>
              </w:rPr>
              <w:t>传承人，提高相关群体的技能艺能和创新能力，夯实中坚力量；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3、对10名国家级代表性传承人进行数字化记录；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4、加强文化生态保护区建设，积极开展各类非物质文化遗产展示展演活动，非遗的社会知名度、美誉度进一步提高。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指标1：开展国家级非遗代表性传承人记录工作人数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≥8人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指标2：非遗传承人群研修研习培训班次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≥6个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指标3：非遗传承人群研修研习培训人次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≥120人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125人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指标1：国家级代表性传承人传承活动补助发放到位率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指标2：国家级代表性传承人记录验收合格率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未进行验收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因资金备案等手续流程进度缓慢，导致项目延后开展，目前项目还在进行中。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指标3：非遗传承人群研修研习培训合格率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指标1：非遗传承人群研修研习培训班结业时间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部分按未结业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因疫情原因停班，2023年将完成培训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指标2：国家级代表性传承人记录招投标完成时间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2023年1月9日完成招投标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资金备案等手续流程进度缓慢导致招投标时间推迟到2023年。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指标1：非遗相关产品销售额增长率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指标2：非遗相关产品种类增长率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指标1：非遗宣传传播覆盖人群增长率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指标2：文化生态保护（实验）区建设宣传传播覆盖人群增长率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指标1：对提升非遗传承人技能艺能的影响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指标2：对增强非遗保护传承氛围的影响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指标1：参加研修研习培训的非遗传承人群满意度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指标2：关于文化生态保护（实验）区建设相关地方性法律法规建设的社会满意度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≧60%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44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EnclosedCircleChinese"/>
      </w:footnotePr>
      <w:pgSz w:w="11906" w:h="16838"/>
      <w:pgMar w:top="2041" w:right="1417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008"/>
      <w:jc w:val="right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2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2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9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OTg1MmQ3NzZhZWJiNWNmZGYxYzk0YmQyZDAyM2EifQ=="/>
  </w:docVars>
  <w:rsids>
    <w:rsidRoot w:val="765239CB"/>
    <w:rsid w:val="765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2023-06-29T03:15:00Z</dcterms:created>
  <dc:creator>刘婧驮</dc:creator>
  <cp:lastModifiedBy>刘婧驮</cp:lastModifiedBy>
  <dcterms:modified xsi:type="dcterms:W3CDTF">2023-06-29T03:15:59Z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8237A02A9E834296A3CAB3FBA17F375A_11</vt:lpwstr>
  </property>
</Properties>
</file>