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pStyle w:val="21"/>
        <w:shd w:val="clear"/>
        <w:ind w:firstLine="0" w:firstLineChars="0"/>
        <w:jc w:val="center"/>
        <w:rPr>
          <w:rFonts w:hint="default" w:ascii="Times New Roman" w:hAnsi="Times New Roman" w:eastAsia="方正小标宋_GBK" w:cs="Times New Roman"/>
          <w:b w:val="0"/>
          <w:bCs w:val="0"/>
          <w:color w:val="auto"/>
          <w:sz w:val="36"/>
          <w:szCs w:val="36"/>
          <w:highlight w:val="none"/>
          <w:lang w:eastAsia="zh-CN"/>
        </w:rPr>
      </w:pPr>
    </w:p>
    <w:p>
      <w:pPr>
        <w:pStyle w:val="28"/>
        <w:shd w:val="clear"/>
        <w:ind w:firstLine="0" w:firstLineChars="0"/>
        <w:jc w:val="center"/>
        <w:rPr>
          <w:rFonts w:hint="default"/>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pStyle w:val="21"/>
        <w:shd w:val="clear"/>
        <w:ind w:firstLine="0" w:firstLineChars="0"/>
        <w:jc w:val="center"/>
        <w:rPr>
          <w:rFonts w:hint="default"/>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480" w:lineRule="auto"/>
        <w:ind w:firstLine="0" w:firstLineChars="0"/>
        <w:jc w:val="center"/>
        <w:textAlignment w:val="auto"/>
        <w:rPr>
          <w:rFonts w:hint="default" w:ascii="Times New Roman" w:hAnsi="Times New Roman" w:eastAsia="方正小标宋_GBK" w:cs="Times New Roman"/>
          <w:b w:val="0"/>
          <w:bCs w:val="0"/>
          <w:color w:val="auto"/>
          <w:sz w:val="52"/>
          <w:szCs w:val="52"/>
          <w:highlight w:val="none"/>
          <w:lang w:eastAsia="zh-CN"/>
        </w:rPr>
      </w:pPr>
      <w:r>
        <w:rPr>
          <w:rFonts w:hint="default" w:ascii="Times New Roman" w:hAnsi="Times New Roman" w:eastAsia="方正小标宋_GBK" w:cs="Times New Roman"/>
          <w:b w:val="0"/>
          <w:bCs w:val="0"/>
          <w:color w:val="auto"/>
          <w:sz w:val="52"/>
          <w:szCs w:val="52"/>
          <w:highlight w:val="none"/>
          <w:lang w:eastAsia="zh-CN"/>
        </w:rPr>
        <w:t>202</w:t>
      </w:r>
      <w:r>
        <w:rPr>
          <w:rFonts w:hint="eastAsia" w:ascii="Times New Roman" w:hAnsi="Times New Roman" w:eastAsia="方正小标宋_GBK" w:cs="Times New Roman"/>
          <w:b w:val="0"/>
          <w:bCs w:val="0"/>
          <w:color w:val="auto"/>
          <w:sz w:val="52"/>
          <w:szCs w:val="52"/>
          <w:highlight w:val="none"/>
          <w:lang w:val="en-US" w:eastAsia="zh-CN"/>
        </w:rPr>
        <w:t>3</w:t>
      </w:r>
      <w:r>
        <w:rPr>
          <w:rFonts w:hint="default" w:ascii="Times New Roman" w:hAnsi="Times New Roman" w:eastAsia="方正小标宋_GBK" w:cs="Times New Roman"/>
          <w:b w:val="0"/>
          <w:bCs w:val="0"/>
          <w:color w:val="auto"/>
          <w:sz w:val="52"/>
          <w:szCs w:val="52"/>
          <w:highlight w:val="none"/>
          <w:lang w:eastAsia="zh-CN"/>
        </w:rPr>
        <w:t>年度湖南省文化和旅游厅</w:t>
      </w:r>
    </w:p>
    <w:p>
      <w:pPr>
        <w:keepNext w:val="0"/>
        <w:keepLines w:val="0"/>
        <w:pageBreakBefore w:val="0"/>
        <w:widowControl w:val="0"/>
        <w:shd w:val="clear"/>
        <w:kinsoku/>
        <w:wordWrap/>
        <w:overflowPunct/>
        <w:topLinePunct w:val="0"/>
        <w:autoSpaceDE/>
        <w:autoSpaceDN/>
        <w:bidi w:val="0"/>
        <w:adjustRightInd/>
        <w:snapToGrid/>
        <w:spacing w:line="480" w:lineRule="auto"/>
        <w:ind w:firstLine="0" w:firstLineChars="0"/>
        <w:jc w:val="center"/>
        <w:textAlignment w:val="auto"/>
        <w:outlineLvl w:val="0"/>
        <w:rPr>
          <w:rFonts w:hint="default" w:ascii="Times New Roman" w:hAnsi="Times New Roman" w:eastAsia="方正小标宋_GBK" w:cs="Times New Roman"/>
          <w:b w:val="0"/>
          <w:bCs w:val="0"/>
          <w:color w:val="auto"/>
          <w:sz w:val="52"/>
          <w:szCs w:val="52"/>
          <w:highlight w:val="none"/>
          <w:lang w:eastAsia="zh-CN"/>
        </w:rPr>
      </w:pPr>
      <w:bookmarkStart w:id="0" w:name="_Toc17810"/>
      <w:bookmarkStart w:id="1" w:name="_Toc18717"/>
      <w:bookmarkStart w:id="2" w:name="_Toc3612"/>
      <w:bookmarkStart w:id="3" w:name="_Toc12468"/>
      <w:bookmarkStart w:id="4" w:name="_Toc31809"/>
      <w:r>
        <w:rPr>
          <w:rFonts w:hint="default" w:ascii="Times New Roman" w:hAnsi="Times New Roman" w:eastAsia="方正小标宋_GBK" w:cs="Times New Roman"/>
          <w:b w:val="0"/>
          <w:bCs w:val="0"/>
          <w:color w:val="auto"/>
          <w:sz w:val="52"/>
          <w:szCs w:val="52"/>
          <w:highlight w:val="none"/>
          <w:lang w:eastAsia="zh-CN"/>
        </w:rPr>
        <w:t>整体支出绩效自评报告</w:t>
      </w:r>
      <w:bookmarkEnd w:id="0"/>
      <w:bookmarkEnd w:id="1"/>
      <w:bookmarkEnd w:id="2"/>
      <w:bookmarkEnd w:id="3"/>
      <w:bookmarkEnd w:id="4"/>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pStyle w:val="21"/>
        <w:shd w:val="clear"/>
        <w:ind w:firstLine="0" w:firstLineChars="0"/>
        <w:rPr>
          <w:rFonts w:hint="default" w:ascii="Times New Roman" w:hAnsi="Times New Roman" w:eastAsia="方正小标宋_GBK" w:cs="Times New Roman"/>
          <w:b w:val="0"/>
          <w:bCs w:val="0"/>
          <w:color w:val="auto"/>
          <w:sz w:val="36"/>
          <w:szCs w:val="36"/>
          <w:highlight w:val="none"/>
          <w:lang w:eastAsia="zh-CN"/>
        </w:rPr>
      </w:pPr>
    </w:p>
    <w:p>
      <w:pPr>
        <w:pStyle w:val="28"/>
        <w:shd w:val="clear"/>
        <w:ind w:firstLine="0" w:firstLineChars="0"/>
        <w:rPr>
          <w:rFonts w:hint="default" w:ascii="Times New Roman" w:hAnsi="Times New Roman" w:eastAsia="方正小标宋_GBK" w:cs="Times New Roman"/>
          <w:b w:val="0"/>
          <w:bCs w:val="0"/>
          <w:color w:val="auto"/>
          <w:sz w:val="36"/>
          <w:szCs w:val="36"/>
          <w:highlight w:val="none"/>
          <w:lang w:eastAsia="zh-CN"/>
        </w:rPr>
      </w:pPr>
    </w:p>
    <w:p>
      <w:pPr>
        <w:pStyle w:val="28"/>
        <w:shd w:val="clear"/>
        <w:ind w:firstLine="0" w:firstLineChars="0"/>
        <w:rPr>
          <w:rFonts w:hint="default" w:ascii="Times New Roman" w:hAnsi="Times New Roman" w:eastAsia="方正小标宋_GBK" w:cs="Times New Roman"/>
          <w:b w:val="0"/>
          <w:bCs w:val="0"/>
          <w:color w:val="auto"/>
          <w:sz w:val="36"/>
          <w:szCs w:val="36"/>
          <w:highlight w:val="none"/>
          <w:lang w:eastAsia="zh-CN"/>
        </w:rPr>
      </w:pPr>
    </w:p>
    <w:p>
      <w:pPr>
        <w:pStyle w:val="28"/>
        <w:shd w:val="clear"/>
        <w:ind w:firstLine="0" w:firstLineChars="0"/>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2"/>
          <w:szCs w:val="32"/>
          <w:highlight w:val="none"/>
          <w:lang w:eastAsia="zh-CN"/>
        </w:rPr>
      </w:pPr>
      <w:r>
        <w:rPr>
          <w:rFonts w:hint="default" w:ascii="Times New Roman" w:hAnsi="Times New Roman" w:eastAsia="方正小标宋_GBK" w:cs="Times New Roman"/>
          <w:b w:val="0"/>
          <w:bCs w:val="0"/>
          <w:color w:val="auto"/>
          <w:sz w:val="32"/>
          <w:szCs w:val="32"/>
          <w:highlight w:val="none"/>
          <w:lang w:eastAsia="zh-CN"/>
        </w:rPr>
        <w:t>单位名称</w:t>
      </w:r>
      <w:r>
        <w:rPr>
          <w:rFonts w:hint="eastAsia" w:ascii="Times New Roman" w:hAnsi="Times New Roman" w:eastAsia="方正小标宋_GBK" w:cs="Times New Roman"/>
          <w:b w:val="0"/>
          <w:bCs w:val="0"/>
          <w:color w:val="auto"/>
          <w:sz w:val="32"/>
          <w:szCs w:val="32"/>
          <w:highlight w:val="none"/>
          <w:lang w:eastAsia="zh-CN"/>
        </w:rPr>
        <w:t>：</w:t>
      </w:r>
      <w:r>
        <w:rPr>
          <w:rFonts w:hint="default" w:ascii="Times New Roman" w:hAnsi="Times New Roman" w:eastAsia="方正小标宋_GBK" w:cs="Times New Roman"/>
          <w:b w:val="0"/>
          <w:bCs w:val="0"/>
          <w:color w:val="auto"/>
          <w:sz w:val="32"/>
          <w:szCs w:val="32"/>
          <w:highlight w:val="none"/>
          <w:u w:val="single"/>
          <w:lang w:eastAsia="zh-CN"/>
        </w:rPr>
        <w:t>湖南省文化和旅游厅</w:t>
      </w: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2"/>
          <w:szCs w:val="32"/>
          <w:highlight w:val="none"/>
          <w:lang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方正小标宋_GBK" w:cs="Times New Roman"/>
          <w:b w:val="0"/>
          <w:bCs w:val="0"/>
          <w:color w:val="auto"/>
          <w:sz w:val="32"/>
          <w:szCs w:val="32"/>
          <w:highlight w:val="none"/>
          <w:lang w:eastAsia="zh-CN"/>
        </w:rPr>
        <w:t>202</w:t>
      </w:r>
      <w:r>
        <w:rPr>
          <w:rFonts w:hint="eastAsia" w:ascii="Times New Roman" w:hAnsi="Times New Roman" w:eastAsia="方正小标宋_GBK" w:cs="Times New Roman"/>
          <w:b w:val="0"/>
          <w:bCs w:val="0"/>
          <w:color w:val="auto"/>
          <w:sz w:val="32"/>
          <w:szCs w:val="32"/>
          <w:highlight w:val="none"/>
          <w:lang w:val="en-US" w:eastAsia="zh-CN"/>
        </w:rPr>
        <w:t>4</w:t>
      </w:r>
      <w:r>
        <w:rPr>
          <w:rFonts w:hint="default" w:ascii="Times New Roman" w:hAnsi="Times New Roman" w:eastAsia="方正小标宋_GBK" w:cs="Times New Roman"/>
          <w:b w:val="0"/>
          <w:bCs w:val="0"/>
          <w:color w:val="auto"/>
          <w:sz w:val="32"/>
          <w:szCs w:val="32"/>
          <w:highlight w:val="none"/>
          <w:lang w:eastAsia="zh-CN"/>
        </w:rPr>
        <w:t>年5月</w:t>
      </w:r>
    </w:p>
    <w:p>
      <w:pPr>
        <w:shd w:val="clear"/>
        <w:spacing w:before="0" w:beforeLines="0" w:after="0" w:afterLines="0" w:line="240" w:lineRule="auto"/>
        <w:ind w:left="0" w:leftChars="0" w:right="0" w:rightChars="0" w:firstLine="0" w:firstLineChars="0"/>
        <w:jc w:val="center"/>
      </w:pPr>
      <w:bookmarkStart w:id="50" w:name="_GoBack"/>
      <w:bookmarkEnd w:id="50"/>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b w:val="0"/>
          <w:bCs w:val="0"/>
          <w:color w:val="auto"/>
          <w:sz w:val="36"/>
          <w:szCs w:val="36"/>
          <w:highlight w:val="none"/>
        </w:rPr>
      </w:pPr>
      <w:r>
        <w:rPr>
          <w:rFonts w:hint="eastAsia" w:ascii="Times New Roman" w:hAnsi="Times New Roman" w:eastAsia="方正小标宋_GBK" w:cs="Times New Roman"/>
          <w:b w:val="0"/>
          <w:bCs w:val="0"/>
          <w:color w:val="auto"/>
          <w:sz w:val="36"/>
          <w:szCs w:val="36"/>
          <w:highlight w:val="none"/>
          <w:lang w:val="en-US" w:eastAsia="zh-CN"/>
        </w:rPr>
        <w:t>2023</w:t>
      </w:r>
      <w:r>
        <w:rPr>
          <w:rFonts w:hint="default" w:ascii="Times New Roman" w:hAnsi="Times New Roman" w:eastAsia="方正小标宋_GBK" w:cs="Times New Roman"/>
          <w:b w:val="0"/>
          <w:bCs w:val="0"/>
          <w:color w:val="auto"/>
          <w:sz w:val="36"/>
          <w:szCs w:val="36"/>
          <w:highlight w:val="none"/>
        </w:rPr>
        <w:t>年度湖南省文化</w:t>
      </w:r>
      <w:r>
        <w:rPr>
          <w:rFonts w:hint="default" w:ascii="Times New Roman" w:hAnsi="Times New Roman" w:eastAsia="方正小标宋_GBK" w:cs="Times New Roman"/>
          <w:b w:val="0"/>
          <w:bCs w:val="0"/>
          <w:color w:val="auto"/>
          <w:sz w:val="36"/>
          <w:szCs w:val="36"/>
          <w:highlight w:val="none"/>
          <w:lang w:eastAsia="zh-CN"/>
        </w:rPr>
        <w:t>和</w:t>
      </w:r>
      <w:r>
        <w:rPr>
          <w:rFonts w:hint="default" w:ascii="Times New Roman" w:hAnsi="Times New Roman" w:eastAsia="方正小标宋_GBK" w:cs="Times New Roman"/>
          <w:b w:val="0"/>
          <w:bCs w:val="0"/>
          <w:color w:val="auto"/>
          <w:sz w:val="36"/>
          <w:szCs w:val="36"/>
          <w:highlight w:val="none"/>
        </w:rPr>
        <w:t>旅游厅</w:t>
      </w: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_GBK" w:cs="Times New Roman"/>
          <w:b w:val="0"/>
          <w:bCs w:val="0"/>
          <w:color w:val="auto"/>
          <w:sz w:val="36"/>
          <w:szCs w:val="36"/>
          <w:highlight w:val="none"/>
          <w:lang w:eastAsia="zh-CN"/>
        </w:rPr>
      </w:pPr>
      <w:bookmarkStart w:id="5" w:name="_Toc959"/>
      <w:bookmarkStart w:id="6" w:name="_Toc6155"/>
      <w:bookmarkStart w:id="7" w:name="_Toc5240"/>
      <w:bookmarkStart w:id="8" w:name="_Toc27855"/>
      <w:bookmarkStart w:id="9" w:name="_Toc20323"/>
      <w:r>
        <w:rPr>
          <w:rFonts w:hint="default" w:ascii="Times New Roman" w:hAnsi="Times New Roman" w:eastAsia="方正小标宋_GBK" w:cs="Times New Roman"/>
          <w:b w:val="0"/>
          <w:bCs w:val="0"/>
          <w:color w:val="auto"/>
          <w:sz w:val="36"/>
          <w:szCs w:val="36"/>
          <w:highlight w:val="none"/>
        </w:rPr>
        <w:t>部门整体支出绩效评价</w:t>
      </w:r>
      <w:r>
        <w:rPr>
          <w:rFonts w:hint="default" w:ascii="Times New Roman" w:hAnsi="Times New Roman" w:eastAsia="方正小标宋_GBK" w:cs="Times New Roman"/>
          <w:b w:val="0"/>
          <w:bCs w:val="0"/>
          <w:color w:val="auto"/>
          <w:sz w:val="36"/>
          <w:szCs w:val="36"/>
          <w:highlight w:val="none"/>
          <w:lang w:eastAsia="zh-CN"/>
        </w:rPr>
        <w:t>报告</w:t>
      </w:r>
      <w:bookmarkEnd w:id="5"/>
      <w:bookmarkEnd w:id="6"/>
      <w:bookmarkEnd w:id="7"/>
      <w:bookmarkEnd w:id="8"/>
      <w:bookmarkEnd w:id="9"/>
    </w:p>
    <w:p>
      <w:pPr>
        <w:shd w:val="clear"/>
        <w:bidi w:val="0"/>
        <w:spacing w:line="560" w:lineRule="exact"/>
        <w:ind w:left="0" w:leftChars="0" w:firstLine="0" w:firstLineChars="0"/>
        <w:rPr>
          <w:rFonts w:hint="default" w:ascii="Times New Roman" w:hAnsi="Times New Roman" w:cs="Times New Roman"/>
          <w:color w:val="auto"/>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cs="Times New Roman"/>
          <w:color w:val="auto"/>
          <w:szCs w:val="32"/>
          <w:highlight w:val="none"/>
          <w:lang w:eastAsia="zh-CN"/>
        </w:rPr>
        <w:t>《湖南省财政厅关于开展2023年度省级预算部门绩效自评和部门评价的通知》（湘财绩〔2024〕1号）</w:t>
      </w:r>
      <w:r>
        <w:rPr>
          <w:rFonts w:hint="default" w:ascii="Times New Roman" w:hAnsi="Times New Roman" w:eastAsia="仿宋_GB2312" w:cs="Times New Roman"/>
          <w:color w:val="auto"/>
          <w:sz w:val="32"/>
          <w:szCs w:val="32"/>
          <w:highlight w:val="none"/>
        </w:rPr>
        <w:t>文件精神，我</w:t>
      </w:r>
      <w:r>
        <w:rPr>
          <w:rFonts w:hint="default" w:ascii="Times New Roman" w:hAnsi="Times New Roman" w:cs="Times New Roman"/>
          <w:color w:val="auto"/>
          <w:sz w:val="32"/>
          <w:szCs w:val="32"/>
          <w:highlight w:val="none"/>
          <w:lang w:val="en-US" w:eastAsia="zh-CN"/>
        </w:rPr>
        <w:t>厅</w:t>
      </w:r>
      <w:r>
        <w:rPr>
          <w:rFonts w:hint="default" w:ascii="Times New Roman" w:hAnsi="Times New Roman" w:eastAsia="仿宋_GB2312" w:cs="Times New Roman"/>
          <w:color w:val="auto"/>
          <w:sz w:val="32"/>
          <w:szCs w:val="32"/>
          <w:highlight w:val="none"/>
        </w:rPr>
        <w:t>对部门整体支出</w:t>
      </w:r>
      <w:r>
        <w:rPr>
          <w:rFonts w:hint="default" w:ascii="Times New Roman" w:hAnsi="Times New Roman" w:cs="Times New Roman"/>
          <w:color w:val="auto"/>
          <w:sz w:val="32"/>
          <w:szCs w:val="32"/>
          <w:highlight w:val="none"/>
          <w:lang w:val="en-US" w:eastAsia="zh-CN"/>
        </w:rPr>
        <w:t>情况组织开展</w:t>
      </w:r>
      <w:r>
        <w:rPr>
          <w:rFonts w:hint="default" w:ascii="Times New Roman" w:hAnsi="Times New Roman" w:eastAsia="仿宋_GB2312" w:cs="Times New Roman"/>
          <w:color w:val="auto"/>
          <w:sz w:val="32"/>
          <w:szCs w:val="32"/>
          <w:highlight w:val="none"/>
        </w:rPr>
        <w:t>绩效评价，现</w:t>
      </w:r>
      <w:r>
        <w:rPr>
          <w:rFonts w:hint="default" w:ascii="Times New Roman" w:hAnsi="Times New Roman" w:cs="Times New Roman"/>
          <w:color w:val="auto"/>
          <w:sz w:val="32"/>
          <w:szCs w:val="32"/>
          <w:highlight w:val="none"/>
          <w:lang w:val="en-US" w:eastAsia="zh-CN"/>
        </w:rPr>
        <w:t>将绩效评价有关结果</w:t>
      </w:r>
      <w:r>
        <w:rPr>
          <w:rFonts w:hint="default" w:ascii="Times New Roman" w:hAnsi="Times New Roman" w:eastAsia="仿宋_GB2312" w:cs="Times New Roman"/>
          <w:color w:val="auto"/>
          <w:sz w:val="32"/>
          <w:szCs w:val="32"/>
          <w:highlight w:val="none"/>
        </w:rPr>
        <w:t>报告如下：</w:t>
      </w:r>
    </w:p>
    <w:p>
      <w:pPr>
        <w:pStyle w:val="2"/>
        <w:numPr>
          <w:ilvl w:val="0"/>
          <w:numId w:val="1"/>
        </w:numPr>
        <w:shd w:val="clear"/>
        <w:bidi w:val="0"/>
        <w:outlineLvl w:val="0"/>
        <w:rPr>
          <w:rFonts w:hint="default" w:ascii="Times New Roman" w:hAnsi="Times New Roman" w:eastAsia="黑体" w:cs="Times New Roman"/>
          <w:color w:val="auto"/>
          <w:szCs w:val="32"/>
          <w:highlight w:val="none"/>
        </w:rPr>
      </w:pPr>
      <w:bookmarkStart w:id="10" w:name="_Toc31762"/>
      <w:bookmarkStart w:id="11" w:name="_Toc31548"/>
      <w:bookmarkStart w:id="12" w:name="_Toc31047"/>
      <w:r>
        <w:rPr>
          <w:rFonts w:hint="default" w:ascii="Times New Roman" w:hAnsi="Times New Roman" w:eastAsia="黑体" w:cs="Times New Roman"/>
          <w:color w:val="auto"/>
          <w:szCs w:val="32"/>
          <w:highlight w:val="none"/>
        </w:rPr>
        <w:t>基本情况</w:t>
      </w:r>
      <w:bookmarkEnd w:id="10"/>
      <w:bookmarkEnd w:id="11"/>
      <w:bookmarkEnd w:id="12"/>
    </w:p>
    <w:p>
      <w:pPr>
        <w:pStyle w:val="3"/>
        <w:shd w:val="clear"/>
        <w:bidi w:val="0"/>
        <w:rPr>
          <w:rFonts w:hint="default" w:ascii="Times New Roman" w:hAnsi="Times New Roman" w:eastAsia="楷体_GB2312" w:cs="Times New Roman"/>
          <w:color w:val="auto"/>
          <w:highlight w:val="none"/>
          <w:lang w:eastAsia="zh-CN"/>
        </w:rPr>
      </w:pPr>
      <w:bookmarkStart w:id="13" w:name="_Toc19177"/>
      <w:bookmarkStart w:id="14" w:name="_Toc21456"/>
      <w:bookmarkStart w:id="15" w:name="_Toc28183"/>
      <w:r>
        <w:rPr>
          <w:rFonts w:hint="default" w:ascii="Times New Roman" w:hAnsi="Times New Roman" w:eastAsia="楷体_GB2312" w:cs="Times New Roman"/>
          <w:color w:val="auto"/>
          <w:highlight w:val="none"/>
        </w:rPr>
        <w:t>（一）</w:t>
      </w:r>
      <w:bookmarkEnd w:id="13"/>
      <w:r>
        <w:rPr>
          <w:rFonts w:hint="default" w:ascii="Times New Roman" w:hAnsi="Times New Roman" w:eastAsia="楷体_GB2312" w:cs="Times New Roman"/>
          <w:color w:val="auto"/>
          <w:highlight w:val="none"/>
        </w:rPr>
        <w:t>职能</w:t>
      </w:r>
      <w:r>
        <w:rPr>
          <w:rFonts w:hint="default" w:ascii="Times New Roman" w:hAnsi="Times New Roman" w:eastAsia="楷体_GB2312" w:cs="Times New Roman"/>
          <w:color w:val="auto"/>
          <w:highlight w:val="none"/>
          <w:lang w:eastAsia="zh-CN"/>
        </w:rPr>
        <w:t>职责</w:t>
      </w:r>
      <w:bookmarkEnd w:id="14"/>
      <w:bookmarkEnd w:id="15"/>
    </w:p>
    <w:p>
      <w:pPr>
        <w:shd w:val="clear"/>
        <w:bidi w:val="0"/>
        <w:spacing w:line="560" w:lineRule="exact"/>
        <w:ind w:firstLine="640"/>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val="en-US" w:eastAsia="zh-CN"/>
        </w:rPr>
        <w:t>湖南省文化和旅游厅（以下简称</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我厅</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eastAsia="zh-CN"/>
        </w:rPr>
        <w:t>主要职能职责包括：</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研究拟订全省文化和旅游政策措施，起草文化和旅游地方性法规、规章草案。</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统筹规划全省文化事业、文化产业和旅游业发展，拟订发展规划并组织实施，推进文化和旅游融合发展，推进文化和旅游体制机制改革。</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管理全省性重大文化和旅游活动，指导全省重点文化和旅游设施建设，组织全省文化和旅游整体形象宣传推广，促进文化和旅游产业对外合作和国际市场推广，制定旅游市场开发战略并组织实施，指导、推进全域旅游。</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指导、管理全省文艺事业，指导艺术创作生产，扶持体现社会主义核心价值观、具有导向性代表性示范性的文艺作品，推动各门类艺术、各艺术品种发展。</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负责全省公共文化事业发展，推进全省文化和旅游公共服务体系建设，深入实施文化和旅游惠民工程，统筹推进基本公共文化服务标准化、均等化。</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指导、推进全省文化和旅游科技创新发展，推进文化和旅游行业信息化、标准化建设。</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负责全省非物质文化遗产保护，推动非物质文化遗产的保护、传承、普及、弘扬和振兴。</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rPr>
        <w:t>统筹规划全省文化和旅游产业，组织实施文化和旅游资源普查、挖掘、保护和利用工作，促进文化和旅游产业发展。</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指导全省文化和旅游市场发展，对文化和旅游市场经营进行行业监管，推进全省文化和旅游行业信用体系建设，依法规范文化和旅游市场。</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指导全省文化市场综合执法，组织查处全省性、跨区域文化、文物、出版、广播电视、电影、旅游等市场的违法行为，督查督办大案要案，维护市场秩序。</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11.</w:t>
      </w:r>
      <w:r>
        <w:rPr>
          <w:rFonts w:hint="default" w:ascii="Times New Roman" w:hAnsi="Times New Roman" w:cs="Times New Roman"/>
          <w:color w:val="auto"/>
          <w:szCs w:val="32"/>
          <w:highlight w:val="none"/>
        </w:rPr>
        <w:t>指导全省文化和旅游对外及对港澳台交流、合作和宣传、推广工作，组织大型文化和旅游对外及对港澳台交流活动，推动湖湘文化走出去。</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rPr>
        <w:t>管理省文物局。</w:t>
      </w:r>
    </w:p>
    <w:p>
      <w:pPr>
        <w:numPr>
          <w:ilvl w:val="-1"/>
          <w:numId w:val="0"/>
        </w:numPr>
        <w:shd w:val="clear"/>
        <w:bidi w:val="0"/>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13.</w:t>
      </w:r>
      <w:r>
        <w:rPr>
          <w:rFonts w:hint="default" w:ascii="Times New Roman" w:hAnsi="Times New Roman" w:cs="Times New Roman"/>
          <w:color w:val="auto"/>
          <w:szCs w:val="32"/>
          <w:highlight w:val="none"/>
        </w:rPr>
        <w:t>完成省委、省政府交办的其他任务。</w:t>
      </w:r>
    </w:p>
    <w:p>
      <w:pPr>
        <w:pStyle w:val="3"/>
        <w:shd w:val="clear"/>
        <w:bidi w:val="0"/>
        <w:rPr>
          <w:rFonts w:hint="default" w:ascii="Times New Roman" w:hAnsi="Times New Roman" w:eastAsia="楷体_GB2312" w:cs="Times New Roman"/>
          <w:color w:val="auto"/>
          <w:highlight w:val="none"/>
        </w:rPr>
      </w:pPr>
      <w:bookmarkStart w:id="16" w:name="_Toc31444"/>
      <w:bookmarkStart w:id="17" w:name="_Toc30379"/>
      <w:bookmarkStart w:id="18" w:name="_Toc16034"/>
      <w:r>
        <w:rPr>
          <w:rFonts w:hint="default" w:ascii="Times New Roman" w:hAnsi="Times New Roman" w:eastAsia="楷体_GB2312" w:cs="Times New Roman"/>
          <w:color w:val="auto"/>
          <w:highlight w:val="none"/>
        </w:rPr>
        <w:t>（二）机构设置及人员情况</w:t>
      </w:r>
      <w:bookmarkEnd w:id="16"/>
      <w:bookmarkEnd w:id="17"/>
      <w:bookmarkEnd w:id="18"/>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1.内设机构。</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年末我</w:t>
      </w:r>
      <w:r>
        <w:rPr>
          <w:rFonts w:hint="default" w:ascii="Times New Roman" w:hAnsi="Times New Roman" w:eastAsia="仿宋_GB2312" w:cs="Times New Roman"/>
          <w:color w:val="auto"/>
          <w:sz w:val="32"/>
          <w:szCs w:val="32"/>
          <w:highlight w:val="none"/>
        </w:rPr>
        <w:t>厅内设</w:t>
      </w:r>
      <w:r>
        <w:rPr>
          <w:rFonts w:hint="eastAsia" w:ascii="Times New Roman" w:hAnsi="Times New Roman"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15个</w:t>
      </w:r>
      <w:r>
        <w:rPr>
          <w:rFonts w:hint="default" w:ascii="Times New Roman" w:hAnsi="Times New Roman" w:eastAsia="仿宋_GB2312" w:cs="Times New Roman"/>
          <w:color w:val="auto"/>
          <w:sz w:val="32"/>
          <w:szCs w:val="32"/>
          <w:highlight w:val="none"/>
          <w:lang w:eastAsia="zh-CN"/>
        </w:rPr>
        <w:t>，主要包括：办公室、政策法规处、人事处、财务处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艺术处、公共服务处、科技教育处、非物质文化遗产处、产业发展处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资源开发与全域旅游推进处（红色旅游指导处）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市场管理处、文化市场综合执法监督处、推广传播和交流合作处</w:t>
      </w:r>
      <w:r>
        <w:rPr>
          <w:rFonts w:hint="eastAsia" w:ascii="仿宋_GB2312" w:hAnsi="仿宋" w:eastAsia="仿宋_GB2312"/>
          <w:color w:val="auto"/>
          <w:sz w:val="32"/>
          <w:szCs w:val="32"/>
          <w:highlight w:val="none"/>
        </w:rPr>
        <w:t>13个处室，机关党委、离退休人员管理服务处2个内设机构</w:t>
      </w:r>
      <w:r>
        <w:rPr>
          <w:rFonts w:hint="eastAsia" w:ascii="仿宋_GB2312" w:hAnsi="仿宋"/>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2.直属事业单位。</w:t>
      </w:r>
      <w:r>
        <w:rPr>
          <w:rFonts w:hint="default" w:ascii="Times New Roman" w:hAnsi="Times New Roman" w:eastAsia="仿宋_GB2312" w:cs="Times New Roman"/>
          <w:color w:val="auto"/>
          <w:sz w:val="32"/>
          <w:szCs w:val="32"/>
          <w:highlight w:val="none"/>
          <w:lang w:val="en-US" w:eastAsia="zh-CN"/>
        </w:rPr>
        <w:t>我厅</w:t>
      </w:r>
      <w:r>
        <w:rPr>
          <w:rFonts w:hint="default" w:ascii="Times New Roman" w:hAnsi="Times New Roman" w:eastAsia="仿宋_GB2312" w:cs="Times New Roman"/>
          <w:color w:val="auto"/>
          <w:sz w:val="32"/>
          <w:szCs w:val="32"/>
          <w:highlight w:val="none"/>
        </w:rPr>
        <w:t>下设1</w:t>
      </w:r>
      <w:r>
        <w:rPr>
          <w:rFonts w:hint="eastAsia"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highlight w:val="none"/>
          <w:lang w:val="en-US" w:eastAsia="zh-CN"/>
        </w:rPr>
        <w:t>二级</w:t>
      </w:r>
      <w:r>
        <w:rPr>
          <w:rFonts w:hint="default" w:ascii="Times New Roman" w:hAnsi="Times New Roman" w:eastAsia="仿宋_GB2312" w:cs="Times New Roman"/>
          <w:color w:val="auto"/>
          <w:sz w:val="32"/>
          <w:szCs w:val="32"/>
          <w:highlight w:val="none"/>
        </w:rPr>
        <w:t>预算编制单位，包括省文物局、湖南图书馆、湖南文化馆（省非遗保护中心）、省少儿图书馆、省艺术研究院、省博物馆、省</w:t>
      </w:r>
      <w:r>
        <w:rPr>
          <w:rFonts w:hint="eastAsia" w:ascii="Times New Roman" w:hAnsi="Times New Roman" w:cs="Times New Roman"/>
          <w:color w:val="auto"/>
          <w:sz w:val="32"/>
          <w:szCs w:val="32"/>
          <w:highlight w:val="none"/>
          <w:lang w:val="en-US" w:eastAsia="zh-CN"/>
        </w:rPr>
        <w:t>文物</w:t>
      </w:r>
      <w:r>
        <w:rPr>
          <w:rFonts w:hint="default" w:ascii="Times New Roman" w:hAnsi="Times New Roman" w:eastAsia="仿宋_GB2312" w:cs="Times New Roman"/>
          <w:color w:val="auto"/>
          <w:sz w:val="32"/>
          <w:szCs w:val="32"/>
          <w:highlight w:val="none"/>
        </w:rPr>
        <w:t>考古研究</w:t>
      </w:r>
      <w:r>
        <w:rPr>
          <w:rFonts w:hint="eastAsia" w:ascii="Times New Roman" w:hAnsi="Times New Roman" w:cs="Times New Roman"/>
          <w:color w:val="auto"/>
          <w:sz w:val="32"/>
          <w:szCs w:val="32"/>
          <w:highlight w:val="none"/>
          <w:lang w:val="en-US" w:eastAsia="zh-CN"/>
        </w:rPr>
        <w:t>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省文物保护利用中心</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w:t>
      </w:r>
      <w:r>
        <w:rPr>
          <w:rFonts w:hint="eastAsia" w:ascii="Times New Roman" w:hAnsi="Times New Roman" w:cs="Times New Roman"/>
          <w:color w:val="auto"/>
          <w:sz w:val="32"/>
          <w:szCs w:val="32"/>
          <w:highlight w:val="none"/>
          <w:lang w:val="en-US" w:eastAsia="zh-CN"/>
        </w:rPr>
        <w:t>导游服务</w:t>
      </w:r>
      <w:r>
        <w:rPr>
          <w:rFonts w:hint="default" w:ascii="Times New Roman" w:hAnsi="Times New Roman" w:eastAsia="仿宋_GB2312" w:cs="Times New Roman"/>
          <w:color w:val="auto"/>
          <w:sz w:val="32"/>
          <w:szCs w:val="32"/>
          <w:highlight w:val="none"/>
        </w:rPr>
        <w:t>中心、省文化艺术中心、省旅游局信息中心、省湘剧院、省花鼓戏保护传承中心、省木偶皮影艺术保护传承中心、省京剧保护传承中心、省文</w:t>
      </w:r>
      <w:r>
        <w:rPr>
          <w:rFonts w:hint="eastAsia" w:ascii="Times New Roman" w:hAnsi="Times New Roman" w:cs="Times New Roman"/>
          <w:color w:val="auto"/>
          <w:sz w:val="32"/>
          <w:szCs w:val="32"/>
          <w:highlight w:val="none"/>
          <w:lang w:val="en-US" w:eastAsia="zh-CN"/>
        </w:rPr>
        <w:t>旅</w:t>
      </w:r>
      <w:r>
        <w:rPr>
          <w:rFonts w:hint="default" w:ascii="Times New Roman" w:hAnsi="Times New Roman" w:eastAsia="仿宋_GB2312" w:cs="Times New Roman"/>
          <w:color w:val="auto"/>
          <w:sz w:val="32"/>
          <w:szCs w:val="32"/>
          <w:highlight w:val="none"/>
        </w:rPr>
        <w:t>厅艺术幼儿园、省文化资源开发服务中心、省文化娱乐中心（其中省文化娱乐中心和省文化资源开发服务中心2个转企改制划转省演艺集团的单位因改制配套政策尚未完善，其部门预算编制工作暂归口省文化和旅游厅管理）。</w:t>
      </w:r>
    </w:p>
    <w:p>
      <w:pPr>
        <w:pStyle w:val="21"/>
        <w:shd w:val="clear"/>
        <w:ind w:left="0" w:leftChars="0" w:firstLine="642" w:firstLineChars="200"/>
        <w:rPr>
          <w:rFonts w:hint="default" w:eastAsia="仿宋_GB2312"/>
          <w:color w:val="auto"/>
          <w:highlight w:val="none"/>
          <w:lang w:val="en-US" w:eastAsia="zh-CN"/>
        </w:rPr>
      </w:pPr>
      <w:r>
        <w:rPr>
          <w:rFonts w:hint="default" w:ascii="Times New Roman" w:hAnsi="Times New Roman" w:eastAsia="仿宋_GB2312" w:cs="Times New Roman"/>
          <w:b/>
          <w:bCs/>
          <w:color w:val="auto"/>
          <w:sz w:val="32"/>
          <w:szCs w:val="32"/>
          <w:highlight w:val="none"/>
          <w:lang w:eastAsia="zh-CN"/>
        </w:rPr>
        <w:t>3.人员情况。</w:t>
      </w:r>
      <w:r>
        <w:rPr>
          <w:rFonts w:hint="eastAsia" w:ascii="Times New Roman" w:hAnsi="Times New Roman" w:cs="Times New Roman"/>
          <w:color w:val="auto"/>
          <w:sz w:val="32"/>
          <w:szCs w:val="32"/>
          <w:highlight w:val="none"/>
          <w:lang w:val="en-US" w:eastAsia="zh-CN"/>
        </w:rPr>
        <w:t>截至2023年12月31日，厅本级及各所属17个二级单位</w:t>
      </w:r>
      <w:r>
        <w:rPr>
          <w:rFonts w:hint="default" w:ascii="Times New Roman" w:hAnsi="Times New Roman" w:eastAsia="仿宋_GB2312" w:cs="Times New Roman"/>
          <w:color w:val="auto"/>
          <w:sz w:val="32"/>
          <w:szCs w:val="32"/>
          <w:highlight w:val="none"/>
        </w:rPr>
        <w:t>实有在职人员1</w:t>
      </w:r>
      <w:r>
        <w:rPr>
          <w:rFonts w:hint="eastAsia" w:ascii="Times New Roman" w:hAnsi="Times New Roman" w:cs="Times New Roman"/>
          <w:color w:val="auto"/>
          <w:sz w:val="32"/>
          <w:szCs w:val="32"/>
          <w:highlight w:val="none"/>
          <w:lang w:val="en-US" w:eastAsia="zh-CN"/>
        </w:rPr>
        <w:t>372</w:t>
      </w:r>
      <w:r>
        <w:rPr>
          <w:rFonts w:hint="default" w:ascii="Times New Roman" w:hAnsi="Times New Roman" w:eastAsia="仿宋_GB2312" w:cs="Times New Roman"/>
          <w:color w:val="auto"/>
          <w:sz w:val="32"/>
          <w:szCs w:val="32"/>
          <w:highlight w:val="none"/>
        </w:rPr>
        <w:t>人，其中：行政人员</w:t>
      </w:r>
      <w:r>
        <w:rPr>
          <w:rFonts w:hint="eastAsia" w:ascii="Times New Roman" w:hAnsi="Times New Roman" w:cs="Times New Roman"/>
          <w:color w:val="auto"/>
          <w:sz w:val="32"/>
          <w:szCs w:val="32"/>
          <w:highlight w:val="none"/>
          <w:lang w:val="en-US" w:eastAsia="zh-CN"/>
        </w:rPr>
        <w:t>144</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参照公务员法管理事业人员</w:t>
      </w:r>
      <w:r>
        <w:rPr>
          <w:rFonts w:hint="eastAsia" w:ascii="Times New Roman" w:hAnsi="Times New Roman"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非参公事业人员1</w:t>
      </w:r>
      <w:r>
        <w:rPr>
          <w:rFonts w:hint="eastAsia" w:ascii="Times New Roman" w:hAnsi="Times New Roman" w:cs="Times New Roman"/>
          <w:color w:val="auto"/>
          <w:sz w:val="32"/>
          <w:szCs w:val="32"/>
          <w:highlight w:val="none"/>
          <w:lang w:val="en-US" w:eastAsia="zh-CN"/>
        </w:rPr>
        <w:t>086</w:t>
      </w:r>
      <w:r>
        <w:rPr>
          <w:rFonts w:hint="default" w:ascii="Times New Roman" w:hAnsi="Times New Roman" w:eastAsia="仿宋_GB2312" w:cs="Times New Roman"/>
          <w:color w:val="auto"/>
          <w:sz w:val="32"/>
          <w:szCs w:val="32"/>
          <w:highlight w:val="none"/>
          <w:lang w:eastAsia="zh-CN"/>
        </w:rPr>
        <w:t>人</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经费自理人员132人</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离</w:t>
      </w:r>
      <w:r>
        <w:rPr>
          <w:rFonts w:hint="eastAsia" w:ascii="Times New Roman" w:hAnsi="Times New Roman" w:cs="Times New Roman"/>
          <w:color w:val="auto"/>
          <w:sz w:val="32"/>
          <w:szCs w:val="32"/>
          <w:highlight w:val="none"/>
          <w:lang w:val="en-US" w:eastAsia="zh-CN"/>
        </w:rPr>
        <w:t>退</w:t>
      </w:r>
      <w:r>
        <w:rPr>
          <w:rFonts w:hint="default" w:ascii="Times New Roman" w:hAnsi="Times New Roman" w:eastAsia="仿宋_GB2312" w:cs="Times New Roman"/>
          <w:color w:val="auto"/>
          <w:sz w:val="32"/>
          <w:szCs w:val="32"/>
          <w:highlight w:val="none"/>
        </w:rPr>
        <w:t>休</w:t>
      </w:r>
      <w:r>
        <w:rPr>
          <w:rFonts w:hint="eastAsia" w:ascii="Times New Roman" w:hAnsi="Times New Roman" w:cs="Times New Roman"/>
          <w:color w:val="auto"/>
          <w:sz w:val="32"/>
          <w:szCs w:val="32"/>
          <w:highlight w:val="none"/>
          <w:lang w:val="en-US" w:eastAsia="zh-CN"/>
        </w:rPr>
        <w:t>人员1067</w:t>
      </w:r>
      <w:r>
        <w:rPr>
          <w:rFonts w:hint="default" w:ascii="Times New Roman" w:hAnsi="Times New Roman" w:eastAsia="仿宋_GB2312" w:cs="Times New Roman"/>
          <w:color w:val="auto"/>
          <w:sz w:val="32"/>
          <w:szCs w:val="32"/>
          <w:highlight w:val="none"/>
        </w:rPr>
        <w:t>人。</w:t>
      </w:r>
      <w:r>
        <w:rPr>
          <w:rFonts w:hint="eastAsia" w:ascii="Times New Roman" w:hAnsi="Times New Roman" w:cs="Times New Roman"/>
          <w:color w:val="auto"/>
          <w:sz w:val="32"/>
          <w:szCs w:val="32"/>
          <w:highlight w:val="none"/>
          <w:lang w:val="en-US" w:eastAsia="zh-CN"/>
        </w:rPr>
        <w:t>厅本级实有</w:t>
      </w:r>
      <w:r>
        <w:rPr>
          <w:rFonts w:hint="default" w:ascii="Times New Roman" w:hAnsi="Times New Roman" w:eastAsia="仿宋_GB2312" w:cs="Times New Roman"/>
          <w:color w:val="auto"/>
          <w:sz w:val="32"/>
          <w:szCs w:val="32"/>
          <w:highlight w:val="none"/>
        </w:rPr>
        <w:t>在职人员</w:t>
      </w:r>
      <w:r>
        <w:rPr>
          <w:rFonts w:hint="eastAsia" w:ascii="Times New Roman" w:hAnsi="Times New Roman" w:cs="Times New Roman"/>
          <w:color w:val="auto"/>
          <w:sz w:val="32"/>
          <w:szCs w:val="32"/>
          <w:highlight w:val="none"/>
          <w:lang w:val="en-US" w:eastAsia="zh-CN"/>
        </w:rPr>
        <w:t>128人，离休人员3人。</w:t>
      </w:r>
    </w:p>
    <w:p>
      <w:pPr>
        <w:pStyle w:val="3"/>
        <w:shd w:val="clear"/>
        <w:bidi w:val="0"/>
        <w:rPr>
          <w:rFonts w:hint="default" w:ascii="Times New Roman" w:hAnsi="Times New Roman" w:cs="Times New Roman"/>
          <w:color w:val="auto"/>
          <w:szCs w:val="24"/>
          <w:highlight w:val="none"/>
          <w:lang w:val="en-US" w:eastAsia="zh-CN"/>
        </w:rPr>
      </w:pPr>
      <w:bookmarkStart w:id="19" w:name="_Toc17849"/>
      <w:r>
        <w:rPr>
          <w:rFonts w:hint="default" w:ascii="Times New Roman" w:hAnsi="Times New Roman" w:cs="Times New Roman"/>
          <w:color w:val="auto"/>
          <w:highlight w:val="none"/>
        </w:rPr>
        <w:t>（三）</w:t>
      </w:r>
      <w:r>
        <w:rPr>
          <w:rFonts w:eastAsia="楷体_GB2312"/>
          <w:b/>
          <w:color w:val="auto"/>
          <w:sz w:val="32"/>
          <w:szCs w:val="32"/>
          <w:highlight w:val="none"/>
        </w:rPr>
        <w:t>部门整体收支情况</w:t>
      </w:r>
      <w:bookmarkEnd w:id="19"/>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年度部门预算包括</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本级预算和所属二级单位预算汇总。收入包括一般公共预算收入</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事业收入、</w:t>
      </w:r>
      <w:r>
        <w:rPr>
          <w:rFonts w:hint="default" w:ascii="Times New Roman" w:hAnsi="Times New Roman" w:cs="Times New Roman"/>
          <w:color w:val="auto"/>
          <w:highlight w:val="none"/>
        </w:rPr>
        <w:t>经营收入及其他收入等；支出包括保障</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机关及</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属单位基本运行的经费，也包括由我</w:t>
      </w:r>
      <w:r>
        <w:rPr>
          <w:rFonts w:hint="eastAsia" w:ascii="Times New Roman" w:hAnsi="Times New Roman" w:cs="Times New Roman"/>
          <w:color w:val="auto"/>
          <w:highlight w:val="none"/>
          <w:lang w:val="en-US" w:eastAsia="zh-CN"/>
        </w:rPr>
        <w:t>厅</w:t>
      </w:r>
      <w:r>
        <w:rPr>
          <w:rFonts w:hint="default" w:ascii="Times New Roman" w:hAnsi="Times New Roman" w:cs="Times New Roman"/>
          <w:color w:val="auto"/>
          <w:highlight w:val="none"/>
        </w:rPr>
        <w:t>归口管理使用的</w:t>
      </w:r>
      <w:r>
        <w:rPr>
          <w:rFonts w:hint="eastAsia" w:ascii="Times New Roman" w:hAnsi="Times New Roman" w:cs="Times New Roman"/>
          <w:color w:val="auto"/>
          <w:highlight w:val="none"/>
          <w:lang w:val="en-US" w:eastAsia="zh-CN"/>
        </w:rPr>
        <w:t>各类</w:t>
      </w:r>
      <w:r>
        <w:rPr>
          <w:rFonts w:hint="default" w:ascii="Times New Roman" w:hAnsi="Times New Roman" w:cs="Times New Roman"/>
          <w:color w:val="auto"/>
          <w:highlight w:val="none"/>
        </w:rPr>
        <w:t>专项经费。</w:t>
      </w:r>
      <w:r>
        <w:rPr>
          <w:rFonts w:hint="eastAsia" w:ascii="Times New Roman" w:hAnsi="Times New Roman" w:cs="Times New Roman"/>
          <w:color w:val="auto"/>
          <w:highlight w:val="none"/>
          <w:lang w:val="en-US" w:eastAsia="zh-CN"/>
        </w:rPr>
        <w:t>湖南省艺术职院年初预算归口本部门，年中划转省教育厅管理，2023年度财政决算纳入省教育厅部门决算。</w:t>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1.收入情况</w:t>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初省财政厅批复我厅部门年度预算收入为</w:t>
      </w:r>
      <w:r>
        <w:rPr>
          <w:rFonts w:hint="default" w:ascii="Times New Roman" w:hAnsi="Times New Roman" w:cs="Times New Roman"/>
          <w:color w:val="auto"/>
          <w:highlight w:val="none"/>
        </w:rPr>
        <w:t>年初</w:t>
      </w:r>
      <w:r>
        <w:rPr>
          <w:rFonts w:hint="default" w:ascii="Times New Roman" w:hAnsi="Times New Roman" w:cs="Times New Roman"/>
          <w:color w:val="auto"/>
          <w:szCs w:val="24"/>
          <w:highlight w:val="none"/>
        </w:rPr>
        <w:t>预算</w:t>
      </w:r>
      <w:r>
        <w:rPr>
          <w:rFonts w:hint="eastAsia" w:ascii="Times New Roman" w:hAnsi="Times New Roman" w:cs="Times New Roman"/>
          <w:color w:val="auto"/>
          <w:szCs w:val="24"/>
          <w:highlight w:val="none"/>
          <w:lang w:val="en-US" w:eastAsia="zh-CN"/>
        </w:rPr>
        <w:t>46</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074</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84</w:t>
      </w:r>
      <w:r>
        <w:rPr>
          <w:rFonts w:hint="default" w:ascii="Times New Roman" w:hAnsi="Times New Roman" w:cs="Times New Roman"/>
          <w:color w:val="auto"/>
          <w:szCs w:val="24"/>
          <w:highlight w:val="none"/>
        </w:rPr>
        <w:t>万元，上年结转及结余</w:t>
      </w:r>
      <w:r>
        <w:rPr>
          <w:rFonts w:hint="eastAsia" w:ascii="Times New Roman" w:hAnsi="Times New Roman" w:cs="Times New Roman"/>
          <w:color w:val="auto"/>
          <w:szCs w:val="24"/>
          <w:highlight w:val="none"/>
          <w:lang w:val="en-US" w:eastAsia="zh-CN"/>
        </w:rPr>
        <w:t>18</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543</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70</w:t>
      </w:r>
      <w:r>
        <w:rPr>
          <w:rFonts w:hint="default" w:ascii="Times New Roman" w:hAnsi="Times New Roman" w:cs="Times New Roman"/>
          <w:color w:val="auto"/>
          <w:szCs w:val="24"/>
          <w:highlight w:val="none"/>
        </w:rPr>
        <w:t>万元</w:t>
      </w:r>
      <w:r>
        <w:rPr>
          <w:rFonts w:hint="eastAsia"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预算调整</w:t>
      </w:r>
      <w:r>
        <w:rPr>
          <w:rFonts w:hint="eastAsia" w:ascii="Times New Roman" w:hAnsi="Times New Roman" w:cs="Times New Roman"/>
          <w:color w:val="auto"/>
          <w:szCs w:val="24"/>
          <w:highlight w:val="none"/>
          <w:lang w:val="en-US" w:eastAsia="zh-CN"/>
        </w:rPr>
        <w:t>54,710.45</w:t>
      </w:r>
      <w:r>
        <w:rPr>
          <w:rFonts w:hint="default" w:ascii="Times New Roman" w:hAnsi="Times New Roman" w:cs="Times New Roman"/>
          <w:color w:val="auto"/>
          <w:szCs w:val="24"/>
          <w:highlight w:val="none"/>
        </w:rPr>
        <w:t>万元，全年经费收入合计为</w:t>
      </w:r>
      <w:r>
        <w:rPr>
          <w:rFonts w:hint="eastAsia" w:ascii="Times New Roman" w:hAnsi="Times New Roman" w:cs="Times New Roman"/>
          <w:color w:val="auto"/>
          <w:highlight w:val="none"/>
          <w:lang w:val="en-US" w:eastAsia="zh-CN"/>
        </w:rPr>
        <w:t>119</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328</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99</w:t>
      </w:r>
      <w:r>
        <w:rPr>
          <w:rFonts w:hint="default" w:ascii="Times New Roman" w:hAnsi="Times New Roman" w:cs="Times New Roman"/>
          <w:color w:val="auto"/>
          <w:highlight w:val="none"/>
        </w:rPr>
        <w:t>万元</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全年预算</w:t>
      </w:r>
      <w:r>
        <w:rPr>
          <w:rFonts w:hint="default" w:ascii="Times New Roman" w:hAnsi="Times New Roman" w:cs="Times New Roman"/>
          <w:i w:val="0"/>
          <w:iCs w:val="0"/>
          <w:color w:val="auto"/>
          <w:sz w:val="32"/>
          <w:szCs w:val="24"/>
          <w:highlight w:val="none"/>
          <w:u w:val="none"/>
        </w:rPr>
        <w:t>包括</w:t>
      </w:r>
      <w:r>
        <w:rPr>
          <w:rFonts w:hint="default" w:ascii="Times New Roman" w:hAnsi="Times New Roman" w:eastAsia="仿宋_GB2312" w:cs="Times New Roman"/>
          <w:i w:val="0"/>
          <w:iCs w:val="0"/>
          <w:color w:val="auto"/>
          <w:sz w:val="32"/>
          <w:szCs w:val="24"/>
          <w:highlight w:val="none"/>
          <w:u w:val="none"/>
        </w:rPr>
        <w:t>一般公共预算财政拨款收入</w:t>
      </w:r>
      <w:r>
        <w:rPr>
          <w:rFonts w:hint="eastAsia" w:ascii="Times New Roman" w:hAnsi="Times New Roman" w:cs="Times New Roman"/>
          <w:i w:val="0"/>
          <w:iCs w:val="0"/>
          <w:color w:val="auto"/>
          <w:sz w:val="32"/>
          <w:szCs w:val="24"/>
          <w:highlight w:val="none"/>
          <w:u w:val="none"/>
          <w:lang w:val="en-US" w:eastAsia="zh-CN"/>
        </w:rPr>
        <w:t>83</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028</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46</w:t>
      </w:r>
      <w:r>
        <w:rPr>
          <w:rFonts w:hint="default" w:ascii="Times New Roman" w:hAnsi="Times New Roman" w:eastAsia="仿宋_GB2312" w:cs="Times New Roman"/>
          <w:i w:val="0"/>
          <w:iCs w:val="0"/>
          <w:color w:val="auto"/>
          <w:sz w:val="32"/>
          <w:szCs w:val="24"/>
          <w:highlight w:val="none"/>
          <w:u w:val="none"/>
        </w:rPr>
        <w:t>万元，</w:t>
      </w:r>
      <w:r>
        <w:rPr>
          <w:rFonts w:hint="default" w:ascii="Times New Roman" w:hAnsi="Times New Roman" w:cs="Times New Roman"/>
          <w:color w:val="auto"/>
          <w:highlight w:val="none"/>
        </w:rPr>
        <w:t>事业收入</w:t>
      </w:r>
      <w:r>
        <w:rPr>
          <w:rFonts w:hint="default" w:ascii="Times New Roman" w:hAnsi="Times New Roman" w:eastAsia="仿宋_GB2312" w:cs="Times New Roman"/>
          <w:i w:val="0"/>
          <w:iCs w:val="0"/>
          <w:color w:val="auto"/>
          <w:sz w:val="32"/>
          <w:szCs w:val="24"/>
          <w:highlight w:val="none"/>
          <w:u w:val="none"/>
        </w:rPr>
        <w:t>1</w:t>
      </w:r>
      <w:r>
        <w:rPr>
          <w:rFonts w:hint="eastAsia" w:ascii="Times New Roman" w:hAnsi="Times New Roman" w:cs="Times New Roman"/>
          <w:i w:val="0"/>
          <w:iCs w:val="0"/>
          <w:color w:val="auto"/>
          <w:sz w:val="32"/>
          <w:szCs w:val="24"/>
          <w:highlight w:val="none"/>
          <w:u w:val="none"/>
          <w:lang w:val="en-US" w:eastAsia="zh-CN"/>
        </w:rPr>
        <w:t>1</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635</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52</w:t>
      </w:r>
      <w:r>
        <w:rPr>
          <w:rFonts w:hint="default" w:ascii="Times New Roman" w:hAnsi="Times New Roman" w:eastAsia="仿宋_GB2312" w:cs="Times New Roman"/>
          <w:i w:val="0"/>
          <w:iCs w:val="0"/>
          <w:color w:val="auto"/>
          <w:sz w:val="32"/>
          <w:szCs w:val="24"/>
          <w:highlight w:val="none"/>
          <w:u w:val="none"/>
        </w:rPr>
        <w:t>万元，经营收入5</w:t>
      </w:r>
      <w:r>
        <w:rPr>
          <w:rFonts w:hint="eastAsia" w:ascii="Times New Roman" w:hAnsi="Times New Roman" w:cs="Times New Roman"/>
          <w:i w:val="0"/>
          <w:iCs w:val="0"/>
          <w:color w:val="auto"/>
          <w:sz w:val="32"/>
          <w:szCs w:val="24"/>
          <w:highlight w:val="none"/>
          <w:u w:val="none"/>
          <w:lang w:val="en-US" w:eastAsia="zh-CN"/>
        </w:rPr>
        <w:t>08</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75</w:t>
      </w:r>
      <w:r>
        <w:rPr>
          <w:rFonts w:hint="default" w:ascii="Times New Roman" w:hAnsi="Times New Roman" w:eastAsia="仿宋_GB2312" w:cs="Times New Roman"/>
          <w:i w:val="0"/>
          <w:iCs w:val="0"/>
          <w:color w:val="auto"/>
          <w:sz w:val="32"/>
          <w:szCs w:val="24"/>
          <w:highlight w:val="none"/>
          <w:u w:val="none"/>
        </w:rPr>
        <w:t>万元，其他收入</w:t>
      </w:r>
      <w:r>
        <w:rPr>
          <w:rFonts w:hint="eastAsia" w:ascii="Times New Roman" w:hAnsi="Times New Roman" w:cs="Times New Roman"/>
          <w:i w:val="0"/>
          <w:iCs w:val="0"/>
          <w:color w:val="auto"/>
          <w:sz w:val="32"/>
          <w:szCs w:val="24"/>
          <w:highlight w:val="none"/>
          <w:u w:val="none"/>
          <w:lang w:val="en-US" w:eastAsia="zh-CN"/>
        </w:rPr>
        <w:t>1</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113</w:t>
      </w:r>
      <w:r>
        <w:rPr>
          <w:rFonts w:hint="default" w:ascii="Times New Roman" w:hAnsi="Times New Roman" w:eastAsia="仿宋_GB2312" w:cs="Times New Roman"/>
          <w:i w:val="0"/>
          <w:iCs w:val="0"/>
          <w:color w:val="auto"/>
          <w:sz w:val="32"/>
          <w:szCs w:val="24"/>
          <w:highlight w:val="none"/>
          <w:u w:val="none"/>
        </w:rPr>
        <w:t>.</w:t>
      </w:r>
      <w:r>
        <w:rPr>
          <w:rFonts w:hint="eastAsia" w:ascii="Times New Roman" w:hAnsi="Times New Roman" w:cs="Times New Roman"/>
          <w:i w:val="0"/>
          <w:iCs w:val="0"/>
          <w:color w:val="auto"/>
          <w:sz w:val="32"/>
          <w:szCs w:val="24"/>
          <w:highlight w:val="none"/>
          <w:u w:val="none"/>
          <w:lang w:val="en-US" w:eastAsia="zh-CN"/>
        </w:rPr>
        <w:t>81</w:t>
      </w:r>
      <w:r>
        <w:rPr>
          <w:rFonts w:hint="default" w:ascii="Times New Roman" w:hAnsi="Times New Roman" w:eastAsia="仿宋_GB2312" w:cs="Times New Roman"/>
          <w:i w:val="0"/>
          <w:iCs w:val="0"/>
          <w:color w:val="auto"/>
          <w:sz w:val="32"/>
          <w:szCs w:val="24"/>
          <w:highlight w:val="none"/>
          <w:u w:val="none"/>
        </w:rPr>
        <w:t>万元</w:t>
      </w:r>
      <w:r>
        <w:rPr>
          <w:rFonts w:hint="default" w:ascii="Times New Roman" w:hAnsi="Times New Roman" w:cs="Times New Roman"/>
          <w:color w:val="auto"/>
          <w:szCs w:val="24"/>
          <w:highlight w:val="none"/>
        </w:rPr>
        <w:t>，使用非财政拨款结余</w:t>
      </w:r>
      <w:r>
        <w:rPr>
          <w:rFonts w:hint="eastAsia" w:ascii="Times New Roman" w:hAnsi="Times New Roman" w:cs="Times New Roman"/>
          <w:color w:val="auto"/>
          <w:szCs w:val="24"/>
          <w:highlight w:val="none"/>
          <w:lang w:val="en-US" w:eastAsia="zh-CN"/>
        </w:rPr>
        <w:t>225.09万元，</w:t>
      </w:r>
      <w:r>
        <w:rPr>
          <w:rFonts w:hint="default" w:ascii="Times New Roman" w:hAnsi="Times New Roman" w:cs="Times New Roman"/>
          <w:color w:val="auto"/>
          <w:szCs w:val="24"/>
          <w:highlight w:val="none"/>
        </w:rPr>
        <w:t>上年结转及结余</w:t>
      </w:r>
      <w:r>
        <w:rPr>
          <w:rFonts w:hint="eastAsia" w:ascii="Times New Roman" w:hAnsi="Times New Roman" w:cs="Times New Roman"/>
          <w:color w:val="auto"/>
          <w:szCs w:val="24"/>
          <w:highlight w:val="none"/>
          <w:lang w:val="en-US" w:eastAsia="zh-CN"/>
        </w:rPr>
        <w:t>22</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817</w:t>
      </w:r>
      <w:r>
        <w:rPr>
          <w:rFonts w:hint="default" w:ascii="Times New Roman" w:hAnsi="Times New Roman" w:cs="Times New Roman"/>
          <w:color w:val="auto"/>
          <w:szCs w:val="24"/>
          <w:highlight w:val="none"/>
        </w:rPr>
        <w:t>.</w:t>
      </w:r>
      <w:r>
        <w:rPr>
          <w:rFonts w:hint="eastAsia" w:ascii="Times New Roman" w:hAnsi="Times New Roman" w:cs="Times New Roman"/>
          <w:color w:val="auto"/>
          <w:szCs w:val="24"/>
          <w:highlight w:val="none"/>
          <w:lang w:val="en-US" w:eastAsia="zh-CN"/>
        </w:rPr>
        <w:t>36</w:t>
      </w:r>
      <w:r>
        <w:rPr>
          <w:rFonts w:hint="default" w:ascii="Times New Roman" w:hAnsi="Times New Roman" w:cs="Times New Roman"/>
          <w:color w:val="auto"/>
          <w:szCs w:val="24"/>
          <w:highlight w:val="none"/>
        </w:rPr>
        <w:t>万元</w:t>
      </w:r>
      <w:r>
        <w:rPr>
          <w:rFonts w:hint="default" w:ascii="Times New Roman" w:hAnsi="Times New Roman" w:cs="Times New Roman"/>
          <w:i w:val="0"/>
          <w:iCs w:val="0"/>
          <w:color w:val="auto"/>
          <w:sz w:val="32"/>
          <w:szCs w:val="24"/>
          <w:highlight w:val="none"/>
          <w:u w:val="none"/>
        </w:rPr>
        <w:t>。</w:t>
      </w:r>
    </w:p>
    <w:p>
      <w:pPr>
        <w:widowControl/>
        <w:shd w:val="clear"/>
        <w:spacing w:line="560" w:lineRule="exact"/>
        <w:ind w:firstLine="64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2.支出情况</w:t>
      </w:r>
    </w:p>
    <w:p>
      <w:pPr>
        <w:widowControl/>
        <w:shd w:val="clear"/>
        <w:spacing w:line="560" w:lineRule="exact"/>
        <w:ind w:firstLine="640"/>
        <w:rPr>
          <w:rFonts w:eastAsia="仿宋_GB2312"/>
          <w:color w:val="auto"/>
          <w:sz w:val="32"/>
          <w:szCs w:val="32"/>
          <w:highlight w:val="none"/>
        </w:rPr>
      </w:pPr>
      <w:r>
        <w:rPr>
          <w:rFonts w:hint="eastAsia" w:ascii="Times New Roman" w:hAnsi="Times New Roman" w:cs="Times New Roman"/>
          <w:color w:val="auto"/>
          <w:highlight w:val="none"/>
          <w:lang w:val="en-US" w:eastAsia="zh-CN"/>
        </w:rPr>
        <w:t>2023</w:t>
      </w:r>
      <w:r>
        <w:rPr>
          <w:rFonts w:eastAsia="仿宋_GB2312"/>
          <w:color w:val="auto"/>
          <w:sz w:val="32"/>
          <w:szCs w:val="32"/>
          <w:highlight w:val="none"/>
        </w:rPr>
        <w:t>年</w:t>
      </w:r>
      <w:r>
        <w:rPr>
          <w:rFonts w:hint="eastAsia"/>
          <w:color w:val="auto"/>
          <w:sz w:val="32"/>
          <w:szCs w:val="32"/>
          <w:highlight w:val="none"/>
          <w:lang w:val="en-US" w:eastAsia="zh-CN"/>
        </w:rPr>
        <w:t>度我厅部门整体</w:t>
      </w:r>
      <w:r>
        <w:rPr>
          <w:rFonts w:eastAsia="仿宋_GB2312"/>
          <w:color w:val="auto"/>
          <w:sz w:val="32"/>
          <w:szCs w:val="32"/>
          <w:highlight w:val="none"/>
        </w:rPr>
        <w:t>决算支出</w:t>
      </w:r>
      <w:r>
        <w:rPr>
          <w:rFonts w:hint="eastAsia" w:ascii="Times New Roman" w:hAnsi="Times New Roman" w:cs="Times New Roman"/>
          <w:i w:val="0"/>
          <w:iCs w:val="0"/>
          <w:color w:val="auto"/>
          <w:sz w:val="32"/>
          <w:szCs w:val="24"/>
          <w:highlight w:val="none"/>
          <w:u w:val="none"/>
          <w:lang w:val="en-US" w:eastAsia="zh-CN"/>
        </w:rPr>
        <w:t>102,624.87</w:t>
      </w:r>
      <w:r>
        <w:rPr>
          <w:rFonts w:eastAsia="仿宋_GB2312"/>
          <w:color w:val="auto"/>
          <w:sz w:val="32"/>
          <w:szCs w:val="32"/>
          <w:highlight w:val="none"/>
        </w:rPr>
        <w:t>万元</w:t>
      </w:r>
      <w:r>
        <w:rPr>
          <w:rFonts w:hint="eastAsia"/>
          <w:color w:val="auto"/>
          <w:sz w:val="32"/>
          <w:szCs w:val="32"/>
          <w:highlight w:val="none"/>
          <w:lang w:eastAsia="zh-CN"/>
        </w:rPr>
        <w:t>，</w:t>
      </w:r>
      <w:r>
        <w:rPr>
          <w:rFonts w:eastAsia="仿宋_GB2312"/>
          <w:color w:val="auto"/>
          <w:sz w:val="32"/>
          <w:szCs w:val="32"/>
          <w:highlight w:val="none"/>
        </w:rPr>
        <w:t>年末结转和结余</w:t>
      </w:r>
      <w:r>
        <w:rPr>
          <w:rFonts w:hint="eastAsia" w:ascii="Times New Roman" w:hAnsi="Times New Roman" w:cs="Times New Roman"/>
          <w:i w:val="0"/>
          <w:iCs w:val="0"/>
          <w:color w:val="auto"/>
          <w:sz w:val="32"/>
          <w:szCs w:val="24"/>
          <w:highlight w:val="none"/>
          <w:u w:val="none"/>
          <w:lang w:val="en-US" w:eastAsia="zh-CN"/>
        </w:rPr>
        <w:t>15,641.85</w:t>
      </w:r>
      <w:r>
        <w:rPr>
          <w:rFonts w:eastAsia="仿宋_GB2312"/>
          <w:color w:val="auto"/>
          <w:sz w:val="32"/>
          <w:szCs w:val="32"/>
          <w:highlight w:val="none"/>
        </w:rPr>
        <w:t>万元</w:t>
      </w:r>
      <w:r>
        <w:rPr>
          <w:rFonts w:hint="eastAsia"/>
          <w:color w:val="auto"/>
          <w:sz w:val="32"/>
          <w:szCs w:val="32"/>
          <w:highlight w:val="none"/>
          <w:lang w:eastAsia="zh-CN"/>
        </w:rPr>
        <w:t>，</w:t>
      </w:r>
      <w:r>
        <w:rPr>
          <w:rFonts w:hint="default" w:ascii="Times New Roman" w:hAnsi="Times New Roman" w:cs="Times New Roman"/>
          <w:color w:val="auto"/>
          <w:szCs w:val="24"/>
          <w:highlight w:val="none"/>
        </w:rPr>
        <w:t>非财政拨款结余</w:t>
      </w:r>
      <w:r>
        <w:rPr>
          <w:rFonts w:hint="eastAsia" w:ascii="Times New Roman" w:hAnsi="Times New Roman" w:cs="Times New Roman"/>
          <w:color w:val="auto"/>
          <w:szCs w:val="24"/>
          <w:highlight w:val="none"/>
          <w:lang w:val="en-US" w:eastAsia="zh-CN"/>
        </w:rPr>
        <w:t>918.26万元</w:t>
      </w:r>
      <w:r>
        <w:rPr>
          <w:rFonts w:eastAsia="仿宋_GB2312"/>
          <w:color w:val="auto"/>
          <w:sz w:val="32"/>
          <w:szCs w:val="32"/>
          <w:highlight w:val="none"/>
        </w:rPr>
        <w:t>。</w:t>
      </w:r>
    </w:p>
    <w:p>
      <w:pPr>
        <w:widowControl/>
        <w:shd w:val="clear"/>
        <w:spacing w:line="560" w:lineRule="exact"/>
        <w:ind w:firstLine="64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2023年度决算支出包括</w:t>
      </w:r>
      <w:r>
        <w:rPr>
          <w:rFonts w:hint="default" w:ascii="Times New Roman" w:hAnsi="Times New Roman" w:cs="Times New Roman"/>
          <w:color w:val="auto"/>
          <w:highlight w:val="none"/>
        </w:rPr>
        <w:t>：用于工资福利支出3</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,7</w:t>
      </w:r>
      <w:r>
        <w:rPr>
          <w:rFonts w:hint="eastAsia" w:ascii="Times New Roman" w:hAnsi="Times New Roman" w:cs="Times New Roman"/>
          <w:color w:val="auto"/>
          <w:highlight w:val="none"/>
          <w:lang w:val="en-US" w:eastAsia="zh-CN"/>
        </w:rPr>
        <w:t>32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60</w:t>
      </w:r>
      <w:r>
        <w:rPr>
          <w:rFonts w:hint="default" w:ascii="Times New Roman" w:hAnsi="Times New Roman" w:cs="Times New Roman"/>
          <w:color w:val="auto"/>
          <w:highlight w:val="none"/>
        </w:rPr>
        <w:t>万元、商品和服务支出</w:t>
      </w:r>
      <w:r>
        <w:rPr>
          <w:rFonts w:hint="eastAsia" w:ascii="Times New Roman" w:hAnsi="Times New Roman" w:cs="Times New Roman"/>
          <w:color w:val="auto"/>
          <w:highlight w:val="none"/>
          <w:lang w:val="en-US" w:eastAsia="zh-CN"/>
        </w:rPr>
        <w:t>60</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950</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56</w:t>
      </w:r>
      <w:r>
        <w:rPr>
          <w:rFonts w:hint="default" w:ascii="Times New Roman" w:hAnsi="Times New Roman" w:cs="Times New Roman"/>
          <w:color w:val="auto"/>
          <w:highlight w:val="none"/>
        </w:rPr>
        <w:t>万元、对个人和家庭的补助4,</w:t>
      </w:r>
      <w:r>
        <w:rPr>
          <w:rFonts w:hint="eastAsia" w:ascii="Times New Roman" w:hAnsi="Times New Roman" w:cs="Times New Roman"/>
          <w:color w:val="auto"/>
          <w:highlight w:val="none"/>
          <w:lang w:val="en-US" w:eastAsia="zh-CN"/>
        </w:rPr>
        <w:t>334</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84</w:t>
      </w:r>
      <w:r>
        <w:rPr>
          <w:rFonts w:hint="default" w:ascii="Times New Roman" w:hAnsi="Times New Roman" w:cs="Times New Roman"/>
          <w:color w:val="auto"/>
          <w:highlight w:val="none"/>
        </w:rPr>
        <w:t>万元、资本性支出</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606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87</w:t>
      </w:r>
      <w:r>
        <w:rPr>
          <w:rFonts w:hint="default" w:ascii="Times New Roman" w:hAnsi="Times New Roman" w:cs="Times New Roman"/>
          <w:color w:val="auto"/>
          <w:highlight w:val="none"/>
          <w:lang w:val="en-US" w:eastAsia="zh-CN"/>
        </w:rPr>
        <w:t>万元</w:t>
      </w:r>
      <w:r>
        <w:rPr>
          <w:rFonts w:hint="default" w:ascii="Times New Roman" w:hAnsi="Times New Roman" w:cs="Times New Roman"/>
          <w:color w:val="auto"/>
          <w:highlight w:val="none"/>
        </w:rPr>
        <w:t>。</w:t>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上述决算支出，</w:t>
      </w:r>
      <w:r>
        <w:rPr>
          <w:rFonts w:hint="default" w:ascii="Times New Roman" w:hAnsi="Times New Roman" w:cs="Times New Roman"/>
          <w:color w:val="auto"/>
          <w:highlight w:val="none"/>
        </w:rPr>
        <w:t>按照支出性质分类，基本支出</w:t>
      </w:r>
      <w:r>
        <w:rPr>
          <w:rFonts w:hint="eastAsia" w:ascii="Times New Roman" w:hAnsi="Times New Roman" w:cs="Times New Roman"/>
          <w:color w:val="auto"/>
          <w:highlight w:val="none"/>
          <w:lang w:val="en-US" w:eastAsia="zh-CN"/>
        </w:rPr>
        <w:t>37</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359</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57</w:t>
      </w:r>
      <w:r>
        <w:rPr>
          <w:rFonts w:hint="default" w:ascii="Times New Roman" w:hAnsi="Times New Roman" w:cs="Times New Roman"/>
          <w:color w:val="auto"/>
          <w:highlight w:val="none"/>
        </w:rPr>
        <w:t>万元，占比</w:t>
      </w:r>
      <w:r>
        <w:rPr>
          <w:rFonts w:hint="eastAsia" w:ascii="Times New Roman" w:hAnsi="Times New Roman" w:cs="Times New Roman"/>
          <w:color w:val="auto"/>
          <w:highlight w:val="none"/>
          <w:lang w:val="en-US" w:eastAsia="zh-CN"/>
        </w:rPr>
        <w:t>36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40</w:t>
      </w:r>
      <w:r>
        <w:rPr>
          <w:rFonts w:hint="default" w:ascii="Times New Roman" w:hAnsi="Times New Roman" w:cs="Times New Roman"/>
          <w:color w:val="auto"/>
          <w:highlight w:val="none"/>
        </w:rPr>
        <w:t>%；项目支出</w:t>
      </w:r>
      <w:r>
        <w:rPr>
          <w:rFonts w:hint="eastAsia" w:ascii="Times New Roman" w:hAnsi="Times New Roman" w:cs="Times New Roman"/>
          <w:color w:val="auto"/>
          <w:highlight w:val="none"/>
          <w:lang w:val="en-US" w:eastAsia="zh-CN"/>
        </w:rPr>
        <w:t>64</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756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55</w:t>
      </w:r>
      <w:r>
        <w:rPr>
          <w:rFonts w:hint="default" w:ascii="Times New Roman" w:hAnsi="Times New Roman" w:cs="Times New Roman"/>
          <w:color w:val="auto"/>
          <w:highlight w:val="none"/>
        </w:rPr>
        <w:t>万元，占比</w:t>
      </w:r>
      <w:r>
        <w:rPr>
          <w:rFonts w:hint="eastAsia" w:ascii="Times New Roman" w:hAnsi="Times New Roman" w:cs="Times New Roman"/>
          <w:color w:val="auto"/>
          <w:highlight w:val="none"/>
          <w:lang w:val="en-US" w:eastAsia="zh-CN"/>
        </w:rPr>
        <w:t>63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%；经营支出5</w:t>
      </w:r>
      <w:r>
        <w:rPr>
          <w:rFonts w:hint="eastAsia" w:ascii="Times New Roman" w:hAnsi="Times New Roman" w:cs="Times New Roman"/>
          <w:color w:val="auto"/>
          <w:highlight w:val="none"/>
          <w:lang w:val="en-US" w:eastAsia="zh-CN"/>
        </w:rPr>
        <w:t>08</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75</w:t>
      </w:r>
      <w:r>
        <w:rPr>
          <w:rFonts w:hint="default" w:ascii="Times New Roman" w:hAnsi="Times New Roman" w:cs="Times New Roman"/>
          <w:color w:val="auto"/>
          <w:highlight w:val="none"/>
        </w:rPr>
        <w:t>万元，占比0.</w:t>
      </w:r>
      <w:r>
        <w:rPr>
          <w:rFonts w:hint="eastAsia" w:ascii="Times New Roman" w:hAnsi="Times New Roman" w:cs="Times New Roman"/>
          <w:color w:val="auto"/>
          <w:highlight w:val="none"/>
          <w:lang w:val="en-US" w:eastAsia="zh-CN"/>
        </w:rPr>
        <w:t>50</w:t>
      </w:r>
      <w:r>
        <w:rPr>
          <w:rFonts w:hint="default" w:ascii="Times New Roman" w:hAnsi="Times New Roman" w:cs="Times New Roman"/>
          <w:color w:val="auto"/>
          <w:highlight w:val="none"/>
        </w:rPr>
        <w:t>%。</w:t>
      </w:r>
    </w:p>
    <w:p>
      <w:pPr>
        <w:widowControl/>
        <w:shd w:val="clear"/>
        <w:spacing w:line="560" w:lineRule="exact"/>
        <w:ind w:firstLine="64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3.预算执行情况</w:t>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年度全年预算数</w:t>
      </w:r>
      <w:r>
        <w:rPr>
          <w:rFonts w:hint="eastAsia" w:ascii="Times New Roman" w:hAnsi="Times New Roman" w:cs="Times New Roman"/>
          <w:color w:val="auto"/>
          <w:highlight w:val="none"/>
          <w:lang w:val="en-US" w:eastAsia="zh-CN"/>
        </w:rPr>
        <w:t>119</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328</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99</w:t>
      </w:r>
      <w:r>
        <w:rPr>
          <w:rFonts w:hint="default" w:ascii="Times New Roman" w:hAnsi="Times New Roman" w:cs="Times New Roman"/>
          <w:color w:val="auto"/>
          <w:highlight w:val="none"/>
        </w:rPr>
        <w:t>万元</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决算数</w:t>
      </w:r>
      <w:r>
        <w:rPr>
          <w:rFonts w:hint="eastAsia" w:ascii="Times New Roman" w:hAnsi="Times New Roman" w:cs="Times New Roman"/>
          <w:i w:val="0"/>
          <w:iCs w:val="0"/>
          <w:color w:val="auto"/>
          <w:sz w:val="32"/>
          <w:szCs w:val="24"/>
          <w:highlight w:val="none"/>
          <w:u w:val="none"/>
          <w:lang w:val="en-US" w:eastAsia="zh-CN"/>
        </w:rPr>
        <w:t>102,624.87</w:t>
      </w:r>
      <w:r>
        <w:rPr>
          <w:rFonts w:hint="default" w:ascii="Times New Roman" w:hAnsi="Times New Roman" w:cs="Times New Roman"/>
          <w:color w:val="auto"/>
          <w:highlight w:val="none"/>
        </w:rPr>
        <w:t>万元</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预算执行率为</w:t>
      </w:r>
      <w:r>
        <w:rPr>
          <w:rFonts w:hint="eastAsia" w:ascii="Times New Roman" w:hAnsi="Times New Roman" w:cs="Times New Roman"/>
          <w:color w:val="auto"/>
          <w:highlight w:val="none"/>
          <w:lang w:val="en-US" w:eastAsia="zh-CN"/>
        </w:rPr>
        <w:t>86.00</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，较上年提高5.39%</w:t>
      </w:r>
      <w:r>
        <w:rPr>
          <w:rFonts w:hint="default" w:ascii="Times New Roman" w:hAnsi="Times New Roman" w:cs="Times New Roman"/>
          <w:color w:val="auto"/>
          <w:highlight w:val="none"/>
        </w:rPr>
        <w:t>。</w:t>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rPr>
      </w:pPr>
    </w:p>
    <w:p>
      <w:pPr>
        <w:pStyle w:val="2"/>
        <w:numPr>
          <w:ilvl w:val="0"/>
          <w:numId w:val="1"/>
        </w:numPr>
        <w:shd w:val="clear"/>
        <w:bidi w:val="0"/>
        <w:rPr>
          <w:rFonts w:hint="default" w:ascii="Times New Roman" w:hAnsi="Times New Roman" w:cs="Times New Roman"/>
          <w:color w:val="auto"/>
          <w:szCs w:val="32"/>
          <w:highlight w:val="none"/>
          <w:lang w:val="en-US" w:eastAsia="zh-CN"/>
        </w:rPr>
      </w:pPr>
      <w:bookmarkStart w:id="20" w:name="_Toc16574"/>
      <w:r>
        <w:rPr>
          <w:rFonts w:hint="default" w:ascii="Times New Roman" w:hAnsi="Times New Roman" w:cs="Times New Roman"/>
          <w:color w:val="auto"/>
          <w:szCs w:val="32"/>
          <w:highlight w:val="none"/>
          <w:lang w:val="en-US" w:eastAsia="zh-CN"/>
        </w:rPr>
        <w:t>一般公共预算支出情况</w:t>
      </w:r>
      <w:bookmarkEnd w:id="20"/>
    </w:p>
    <w:p>
      <w:pPr>
        <w:pStyle w:val="3"/>
        <w:shd w:val="clear"/>
        <w:bidi w:val="0"/>
        <w:rPr>
          <w:rFonts w:hint="default" w:ascii="Times New Roman" w:hAnsi="Times New Roman" w:cs="Times New Roman"/>
          <w:color w:val="auto"/>
          <w:highlight w:val="none"/>
          <w:lang w:val="en-US" w:eastAsia="zh-CN"/>
        </w:rPr>
      </w:pPr>
      <w:bookmarkStart w:id="21" w:name="_Toc10755"/>
      <w:r>
        <w:rPr>
          <w:rFonts w:hint="default" w:ascii="Times New Roman" w:hAnsi="Times New Roman" w:cs="Times New Roman"/>
          <w:color w:val="auto"/>
          <w:highlight w:val="none"/>
          <w:lang w:val="en-US" w:eastAsia="zh-CN"/>
        </w:rPr>
        <w:t>（一）基本支出情况</w:t>
      </w:r>
      <w:bookmarkEnd w:id="21"/>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1.总体情况</w:t>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w:t>
      </w:r>
      <w:r>
        <w:rPr>
          <w:rFonts w:hint="eastAsia" w:ascii="Times New Roman" w:hAnsi="Times New Roman" w:cs="Times New Roman"/>
          <w:color w:val="auto"/>
          <w:highlight w:val="none"/>
          <w:lang w:val="en-US" w:eastAsia="zh-CN"/>
        </w:rPr>
        <w:t>一般公共预算财政拨款</w:t>
      </w:r>
      <w:r>
        <w:rPr>
          <w:rFonts w:hint="default" w:ascii="Times New Roman" w:hAnsi="Times New Roman" w:cs="Times New Roman"/>
          <w:color w:val="auto"/>
          <w:highlight w:val="none"/>
          <w:lang w:val="en-US" w:eastAsia="zh-CN"/>
        </w:rPr>
        <w:t>基本支出总额</w:t>
      </w:r>
      <w:r>
        <w:rPr>
          <w:rFonts w:hint="eastAsia" w:ascii="Times New Roman" w:hAnsi="Times New Roman" w:cs="Times New Roman"/>
          <w:color w:val="auto"/>
          <w:highlight w:val="none"/>
          <w:lang w:val="en-US" w:eastAsia="zh-CN"/>
        </w:rPr>
        <w:t>32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592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55</w:t>
      </w:r>
      <w:r>
        <w:rPr>
          <w:rFonts w:hint="default" w:ascii="Times New Roman" w:hAnsi="Times New Roman" w:cs="Times New Roman"/>
          <w:color w:val="auto"/>
          <w:highlight w:val="none"/>
          <w:lang w:val="en-US" w:eastAsia="zh-CN"/>
        </w:rPr>
        <w:t>万元，其中：</w:t>
      </w:r>
      <w:r>
        <w:rPr>
          <w:rFonts w:hint="default" w:ascii="Times New Roman" w:hAnsi="Times New Roman" w:cs="Times New Roman"/>
          <w:color w:val="auto"/>
          <w:highlight w:val="none"/>
          <w:lang w:val="en-US" w:eastAsia="zh-CN"/>
        </w:rPr>
        <w:t>工资福利支出2</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362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87</w:t>
      </w:r>
      <w:r>
        <w:rPr>
          <w:rFonts w:hint="default" w:ascii="Times New Roman" w:hAnsi="Times New Roman" w:cs="Times New Roman"/>
          <w:color w:val="auto"/>
          <w:highlight w:val="none"/>
          <w:lang w:val="en-US" w:eastAsia="zh-CN"/>
        </w:rPr>
        <w:t>万元</w:t>
      </w:r>
      <w:r>
        <w:rPr>
          <w:highlight w:val="none"/>
        </w:rPr>
        <w:commentReference w:id="0"/>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商品和服务支出</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505</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93</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对个人和家庭的补助</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687</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66</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资本性支出</w:t>
      </w:r>
      <w:r>
        <w:rPr>
          <w:rFonts w:hint="eastAsia" w:ascii="Times New Roman" w:hAnsi="Times New Roman" w:cs="Times New Roman"/>
          <w:color w:val="auto"/>
          <w:highlight w:val="none"/>
          <w:lang w:val="en-US" w:eastAsia="zh-CN"/>
        </w:rPr>
        <w:t>36.09</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各项占比</w:t>
      </w:r>
      <w:r>
        <w:rPr>
          <w:rFonts w:hint="eastAsia" w:ascii="Times New Roman" w:hAnsi="Times New Roman" w:cs="Times New Roman"/>
          <w:color w:val="auto"/>
          <w:highlight w:val="none"/>
          <w:lang w:val="en-US" w:eastAsia="zh-CN"/>
        </w:rPr>
        <w:t>详见下图</w:t>
      </w:r>
      <w:r>
        <w:rPr>
          <w:rFonts w:hint="eastAsia" w:ascii="Times New Roman" w:hAnsi="Times New Roman" w:cs="Times New Roman"/>
          <w:color w:val="auto"/>
          <w:highlight w:val="none"/>
          <w:lang w:val="en-US" w:eastAsia="zh-CN"/>
        </w:rPr>
        <w:t>：</w:t>
      </w:r>
    </w:p>
    <w:p>
      <w:pPr>
        <w:pStyle w:val="9"/>
        <w:shd w:val="clear"/>
        <w:spacing w:line="240" w:lineRule="auto"/>
        <w:rPr>
          <w:rFonts w:hint="default"/>
          <w:color w:val="auto"/>
          <w:highlight w:val="none"/>
          <w:lang w:val="en-US" w:eastAsia="zh-CN"/>
        </w:rPr>
      </w:pPr>
      <w:r>
        <w:rPr>
          <w:color w:val="auto"/>
          <w:highlight w:val="none"/>
        </w:rPr>
        <w:drawing>
          <wp:inline distT="0" distB="0" distL="114300" distR="114300">
            <wp:extent cx="4826000" cy="2743200"/>
            <wp:effectExtent l="6350" t="6350" r="6350" b="6350"/>
            <wp:docPr id="6" name="图表 5" descr="7b0a202020202263686172745265734964223a202232303437313431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b/>
          <w:bCs/>
          <w:color w:val="auto"/>
          <w:szCs w:val="32"/>
          <w:highlight w:val="none"/>
          <w:lang w:val="en-US" w:eastAsia="zh-CN"/>
        </w:rPr>
      </w:pPr>
      <w:r>
        <w:rPr>
          <w:rFonts w:hint="default" w:ascii="Times New Roman" w:hAnsi="Times New Roman" w:cs="Times New Roman"/>
          <w:b/>
          <w:bCs/>
          <w:color w:val="auto"/>
          <w:szCs w:val="32"/>
          <w:highlight w:val="none"/>
          <w:lang w:val="en-US" w:eastAsia="zh-CN"/>
        </w:rPr>
        <w:t>2.“三公经费”</w:t>
      </w:r>
      <w:r>
        <w:rPr>
          <w:rFonts w:hint="default" w:ascii="Times New Roman" w:hAnsi="Times New Roman" w:eastAsia="仿宋_GB2312" w:cs="Times New Roman"/>
          <w:b/>
          <w:bCs/>
          <w:color w:val="auto"/>
          <w:sz w:val="32"/>
          <w:szCs w:val="32"/>
          <w:highlight w:val="none"/>
        </w:rPr>
        <w:t>支出使用和管理情况</w:t>
      </w:r>
    </w:p>
    <w:p>
      <w:pPr>
        <w:keepNext w:val="0"/>
        <w:keepLines w:val="0"/>
        <w:pageBreakBefore w:val="0"/>
        <w:widowControl/>
        <w:shd w:val="clear"/>
        <w:kinsoku/>
        <w:wordWrap/>
        <w:overflowPunct/>
        <w:topLinePunct w:val="0"/>
        <w:autoSpaceDE/>
        <w:autoSpaceDN/>
        <w:bidi w:val="0"/>
        <w:adjustRightInd/>
        <w:snapToGrid/>
        <w:spacing w:line="560" w:lineRule="exact"/>
        <w:ind w:left="0" w:leftChars="0" w:firstLine="640" w:firstLineChars="200"/>
        <w:textAlignment w:val="auto"/>
        <w:rPr>
          <w:rFonts w:eastAsia="仿宋_GB2312"/>
          <w:color w:val="auto"/>
          <w:sz w:val="32"/>
          <w:szCs w:val="32"/>
          <w:highlight w:val="none"/>
        </w:rPr>
      </w:pPr>
      <w:r>
        <w:rPr>
          <w:rFonts w:hint="eastAsia"/>
          <w:color w:val="auto"/>
          <w:sz w:val="32"/>
          <w:szCs w:val="32"/>
          <w:highlight w:val="none"/>
          <w:lang w:val="en-US" w:eastAsia="zh-CN"/>
        </w:rPr>
        <w:t>我厅</w:t>
      </w:r>
      <w:r>
        <w:rPr>
          <w:rFonts w:eastAsia="仿宋_GB2312"/>
          <w:color w:val="auto"/>
          <w:sz w:val="32"/>
          <w:szCs w:val="32"/>
          <w:highlight w:val="none"/>
        </w:rPr>
        <w:t>认真贯彻落实中央厉行节约的有关规定，严格执行《党政机关厉行节约反对浪费条例》和《湖南省党政机关公务接待管理办法》，严控</w:t>
      </w:r>
      <w:r>
        <w:rPr>
          <w:rFonts w:hint="eastAsia" w:eastAsia="仿宋_GB2312"/>
          <w:color w:val="auto"/>
          <w:sz w:val="32"/>
          <w:szCs w:val="32"/>
          <w:highlight w:val="none"/>
        </w:rPr>
        <w:t>“</w:t>
      </w:r>
      <w:r>
        <w:rPr>
          <w:rFonts w:eastAsia="仿宋_GB2312"/>
          <w:color w:val="auto"/>
          <w:sz w:val="32"/>
          <w:szCs w:val="32"/>
          <w:highlight w:val="none"/>
        </w:rPr>
        <w:t>三公</w:t>
      </w:r>
      <w:r>
        <w:rPr>
          <w:rFonts w:hint="eastAsia" w:eastAsia="仿宋_GB2312"/>
          <w:color w:val="auto"/>
          <w:sz w:val="32"/>
          <w:szCs w:val="32"/>
          <w:highlight w:val="none"/>
        </w:rPr>
        <w:t>”</w:t>
      </w:r>
      <w:r>
        <w:rPr>
          <w:rFonts w:eastAsia="仿宋_GB2312"/>
          <w:color w:val="auto"/>
          <w:sz w:val="32"/>
          <w:szCs w:val="32"/>
          <w:highlight w:val="none"/>
        </w:rPr>
        <w:t>经费支出，压减因公出国（境）费、公务用车购置及运行维护费及公务接待费。</w:t>
      </w:r>
    </w:p>
    <w:p>
      <w:pPr>
        <w:keepNext w:val="0"/>
        <w:keepLines w:val="0"/>
        <w:pageBreakBefore w:val="0"/>
        <w:widowControl/>
        <w:shd w:val="clear"/>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年度“三公经费”</w:t>
      </w:r>
      <w:r>
        <w:rPr>
          <w:rFonts w:hint="eastAsia" w:ascii="Times New Roman" w:hAnsi="Times New Roman" w:cs="Times New Roman"/>
          <w:color w:val="auto"/>
          <w:highlight w:val="none"/>
          <w:lang w:val="en-US" w:eastAsia="zh-CN"/>
        </w:rPr>
        <w:t>全年</w:t>
      </w:r>
      <w:r>
        <w:rPr>
          <w:rFonts w:hint="default" w:ascii="Times New Roman" w:hAnsi="Times New Roman" w:cs="Times New Roman"/>
          <w:color w:val="auto"/>
          <w:highlight w:val="none"/>
          <w:lang w:val="en-US" w:eastAsia="zh-CN"/>
        </w:rPr>
        <w:t>预算数</w:t>
      </w:r>
      <w:r>
        <w:rPr>
          <w:rFonts w:hint="eastAsia" w:ascii="Times New Roman" w:hAnsi="Times New Roman" w:cs="Times New Roman"/>
          <w:color w:val="auto"/>
          <w:highlight w:val="none"/>
          <w:lang w:val="en-US" w:eastAsia="zh-CN"/>
        </w:rPr>
        <w:t>356.55</w:t>
      </w:r>
      <w:r>
        <w:rPr>
          <w:rFonts w:hint="default" w:ascii="Times New Roman" w:hAnsi="Times New Roman" w:cs="Times New Roman"/>
          <w:color w:val="auto"/>
          <w:highlight w:val="none"/>
          <w:lang w:val="en-US" w:eastAsia="zh-CN"/>
        </w:rPr>
        <w:t>万元，其中：因公出国（境）费用</w:t>
      </w:r>
      <w:r>
        <w:rPr>
          <w:rFonts w:hint="eastAsia" w:ascii="Times New Roman" w:hAnsi="Times New Roman" w:cs="Times New Roman"/>
          <w:color w:val="auto"/>
          <w:highlight w:val="none"/>
          <w:lang w:val="en-US" w:eastAsia="zh-CN"/>
        </w:rPr>
        <w:t>178.80</w:t>
      </w:r>
      <w:r>
        <w:rPr>
          <w:rFonts w:hint="default" w:ascii="Times New Roman" w:hAnsi="Times New Roman" w:cs="Times New Roman"/>
          <w:color w:val="auto"/>
          <w:highlight w:val="none"/>
          <w:lang w:val="en-US" w:eastAsia="zh-CN"/>
        </w:rPr>
        <w:t>万元；公务接待费</w:t>
      </w:r>
      <w:r>
        <w:rPr>
          <w:rFonts w:hint="eastAsia" w:ascii="Times New Roman" w:hAnsi="Times New Roman" w:cs="Times New Roman"/>
          <w:color w:val="auto"/>
          <w:highlight w:val="none"/>
          <w:lang w:val="en-US" w:eastAsia="zh-CN"/>
        </w:rPr>
        <w:t>48.72</w:t>
      </w:r>
      <w:r>
        <w:rPr>
          <w:rFonts w:hint="default" w:ascii="Times New Roman" w:hAnsi="Times New Roman" w:cs="Times New Roman"/>
          <w:color w:val="auto"/>
          <w:highlight w:val="none"/>
          <w:lang w:val="en-US" w:eastAsia="zh-CN"/>
        </w:rPr>
        <w:t>万元；</w:t>
      </w:r>
      <w:r>
        <w:rPr>
          <w:rFonts w:hint="default" w:ascii="Times New Roman" w:hAnsi="Times New Roman" w:cs="Times New Roman"/>
          <w:color w:val="auto"/>
          <w:highlight w:val="none"/>
          <w:lang w:val="en-US" w:eastAsia="zh-CN"/>
        </w:rPr>
        <w:t>公务用车</w:t>
      </w:r>
      <w:r>
        <w:rPr>
          <w:rFonts w:hint="eastAsia" w:ascii="Times New Roman" w:hAnsi="Times New Roman" w:cs="Times New Roman"/>
          <w:color w:val="auto"/>
          <w:highlight w:val="none"/>
          <w:lang w:val="en-US" w:eastAsia="zh-CN"/>
        </w:rPr>
        <w:t>购置及</w:t>
      </w:r>
      <w:r>
        <w:rPr>
          <w:rFonts w:hint="default" w:ascii="Times New Roman" w:hAnsi="Times New Roman" w:cs="Times New Roman"/>
          <w:color w:val="auto"/>
          <w:highlight w:val="none"/>
          <w:lang w:val="en-US" w:eastAsia="zh-CN"/>
        </w:rPr>
        <w:t>运行维护费</w:t>
      </w:r>
      <w:r>
        <w:rPr>
          <w:rFonts w:hint="eastAsia" w:ascii="Times New Roman" w:hAnsi="Times New Roman" w:cs="Times New Roman"/>
          <w:color w:val="auto"/>
          <w:highlight w:val="none"/>
          <w:lang w:val="en-US" w:eastAsia="zh-CN"/>
        </w:rPr>
        <w:t>129.03</w:t>
      </w:r>
      <w:r>
        <w:rPr>
          <w:rFonts w:hint="default" w:ascii="Times New Roman" w:hAnsi="Times New Roman" w:cs="Times New Roman"/>
          <w:color w:val="auto"/>
          <w:highlight w:val="none"/>
          <w:lang w:val="en-US" w:eastAsia="zh-CN"/>
        </w:rPr>
        <w:t>万元。“三公经费”决算支出数为</w:t>
      </w:r>
      <w:r>
        <w:rPr>
          <w:rFonts w:hint="eastAsia" w:ascii="Times New Roman" w:hAnsi="Times New Roman" w:cs="Times New Roman"/>
          <w:color w:val="auto"/>
          <w:highlight w:val="none"/>
          <w:lang w:val="en-US" w:eastAsia="zh-CN"/>
        </w:rPr>
        <w:t>292.69</w:t>
      </w:r>
      <w:r>
        <w:rPr>
          <w:rFonts w:hint="default" w:ascii="Times New Roman" w:hAnsi="Times New Roman" w:cs="Times New Roman"/>
          <w:color w:val="auto"/>
          <w:highlight w:val="none"/>
          <w:lang w:val="en-US" w:eastAsia="zh-CN"/>
        </w:rPr>
        <w:t>万元，其中：因公出国（境）费用</w:t>
      </w:r>
      <w:r>
        <w:rPr>
          <w:rFonts w:hint="eastAsia" w:ascii="Times New Roman" w:hAnsi="Times New Roman" w:cs="Times New Roman"/>
          <w:color w:val="auto"/>
          <w:highlight w:val="none"/>
          <w:lang w:val="en-US" w:eastAsia="zh-CN"/>
        </w:rPr>
        <w:t>130.38</w:t>
      </w:r>
      <w:r>
        <w:rPr>
          <w:rFonts w:hint="default" w:ascii="Times New Roman" w:hAnsi="Times New Roman" w:cs="Times New Roman"/>
          <w:color w:val="auto"/>
          <w:highlight w:val="none"/>
          <w:lang w:val="en-US" w:eastAsia="zh-CN"/>
        </w:rPr>
        <w:t>万元；公务接待费</w:t>
      </w:r>
      <w:r>
        <w:rPr>
          <w:rFonts w:hint="eastAsia" w:ascii="Times New Roman" w:hAnsi="Times New Roman" w:cs="Times New Roman"/>
          <w:color w:val="auto"/>
          <w:highlight w:val="none"/>
          <w:lang w:val="en-US" w:eastAsia="zh-CN"/>
        </w:rPr>
        <w:t>36.54</w:t>
      </w:r>
      <w:r>
        <w:rPr>
          <w:rFonts w:hint="default" w:ascii="Times New Roman" w:hAnsi="Times New Roman" w:cs="Times New Roman"/>
          <w:color w:val="auto"/>
          <w:highlight w:val="none"/>
          <w:lang w:val="en-US" w:eastAsia="zh-CN"/>
        </w:rPr>
        <w:t>万元；公务用车运行维护费</w:t>
      </w:r>
      <w:r>
        <w:rPr>
          <w:rFonts w:hint="eastAsia" w:ascii="Times New Roman" w:hAnsi="Times New Roman" w:cs="Times New Roman"/>
          <w:color w:val="auto"/>
          <w:highlight w:val="none"/>
          <w:lang w:val="en-US" w:eastAsia="zh-CN"/>
        </w:rPr>
        <w:t>125.77</w:t>
      </w:r>
      <w:r>
        <w:rPr>
          <w:rFonts w:hint="default" w:ascii="Times New Roman" w:hAnsi="Times New Roman" w:cs="Times New Roman"/>
          <w:color w:val="auto"/>
          <w:highlight w:val="none"/>
          <w:lang w:val="en-US" w:eastAsia="zh-CN"/>
        </w:rPr>
        <w:t>万元。“三公经费”决算支出数较预算支出数节约</w:t>
      </w:r>
      <w:r>
        <w:rPr>
          <w:rFonts w:hint="eastAsia" w:ascii="Times New Roman" w:hAnsi="Times New Roman" w:cs="Times New Roman"/>
          <w:color w:val="auto"/>
          <w:highlight w:val="none"/>
          <w:lang w:val="en-US" w:eastAsia="zh-CN"/>
        </w:rPr>
        <w:t>63.86</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结余</w:t>
      </w:r>
      <w:r>
        <w:rPr>
          <w:rFonts w:hint="default" w:ascii="Times New Roman" w:hAnsi="Times New Roman" w:cs="Times New Roman"/>
          <w:color w:val="auto"/>
          <w:highlight w:val="none"/>
          <w:lang w:val="en-US" w:eastAsia="zh-CN"/>
        </w:rPr>
        <w:t>率为</w:t>
      </w:r>
      <w:r>
        <w:rPr>
          <w:rFonts w:hint="eastAsia" w:ascii="Times New Roman" w:hAnsi="Times New Roman" w:cs="Times New Roman"/>
          <w:color w:val="auto"/>
          <w:highlight w:val="none"/>
          <w:lang w:val="en-US" w:eastAsia="zh-CN"/>
        </w:rPr>
        <w:t>17.91</w:t>
      </w:r>
      <w:r>
        <w:rPr>
          <w:rFonts w:hint="default" w:ascii="Times New Roman" w:hAnsi="Times New Roman" w:cs="Times New Roman"/>
          <w:color w:val="auto"/>
          <w:highlight w:val="none"/>
          <w:lang w:val="en-US" w:eastAsia="zh-CN"/>
        </w:rPr>
        <w:t>%。</w:t>
      </w:r>
    </w:p>
    <w:p>
      <w:pPr>
        <w:pStyle w:val="7"/>
        <w:shd w:val="clear"/>
        <w:jc w:val="right"/>
        <w:rPr>
          <w:rFonts w:hint="default"/>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单位：万元</w:t>
      </w:r>
    </w:p>
    <w:tbl>
      <w:tblPr>
        <w:tblStyle w:val="22"/>
        <w:tblW w:w="88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4"/>
        <w:gridCol w:w="1267"/>
        <w:gridCol w:w="1242"/>
        <w:gridCol w:w="1242"/>
        <w:gridCol w:w="1242"/>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项目</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2023全年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2023年</w:t>
            </w:r>
          </w:p>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决算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Calibri" w:hAnsi="Calibri" w:eastAsia="仿宋_GB2312" w:cs="Times New Roman"/>
                <w:color w:val="auto"/>
                <w:kern w:val="2"/>
                <w:sz w:val="32"/>
                <w:szCs w:val="24"/>
                <w:highlight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2022年</w:t>
            </w:r>
            <w:r>
              <w:rPr>
                <w:rFonts w:hint="default" w:ascii="Times New Roman" w:hAnsi="Times New Roman" w:eastAsia="仿宋" w:cs="Times New Roman"/>
                <w:b/>
                <w:bCs/>
                <w:i w:val="0"/>
                <w:iCs w:val="0"/>
                <w:color w:val="auto"/>
                <w:kern w:val="0"/>
                <w:sz w:val="20"/>
                <w:szCs w:val="20"/>
                <w:highlight w:val="none"/>
                <w:u w:val="none"/>
                <w:lang w:val="en-US" w:eastAsia="zh-CN" w:bidi="ar"/>
              </w:rPr>
              <w:t>决算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2023年结余数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2023年较2022年增减额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因公出国（境）费用</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178.80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sz w:val="20"/>
                <w:szCs w:val="20"/>
                <w:highlight w:val="none"/>
                <w:u w:val="none"/>
                <w:lang w:val="en-US"/>
              </w:rPr>
            </w:pPr>
            <w:r>
              <w:rPr>
                <w:rFonts w:hint="eastAsia" w:ascii="Times New Roman" w:hAnsi="Times New Roman" w:eastAsia="仿宋" w:cs="Times New Roman"/>
                <w:i w:val="0"/>
                <w:iCs w:val="0"/>
                <w:color w:val="auto"/>
                <w:kern w:val="0"/>
                <w:sz w:val="20"/>
                <w:szCs w:val="20"/>
                <w:highlight w:val="none"/>
                <w:u w:val="none"/>
                <w:lang w:val="en-US" w:eastAsia="zh-CN" w:bidi="ar"/>
              </w:rPr>
              <w:t>130.38</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val="0"/>
                <w:bCs w:val="0"/>
                <w:i w:val="0"/>
                <w:iCs w:val="0"/>
                <w:color w:val="auto"/>
                <w:kern w:val="2"/>
                <w:sz w:val="20"/>
                <w:szCs w:val="20"/>
                <w:highlight w:val="none"/>
                <w:u w:val="none"/>
                <w:lang w:val="en-US" w:eastAsia="zh-CN" w:bidi="ar-SA"/>
              </w:rPr>
            </w:pPr>
            <w:r>
              <w:rPr>
                <w:rFonts w:hint="eastAsia" w:ascii="Times New Roman" w:hAnsi="Times New Roman" w:eastAsia="仿宋" w:cs="Times New Roman"/>
                <w:i w:val="0"/>
                <w:iCs w:val="0"/>
                <w:color w:val="auto"/>
                <w:kern w:val="0"/>
                <w:sz w:val="20"/>
                <w:szCs w:val="20"/>
                <w:highlight w:val="none"/>
                <w:u w:val="none"/>
                <w:lang w:val="en-US" w:eastAsia="zh-CN" w:bidi="ar"/>
              </w:rPr>
              <w:t>3.12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48.42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127.26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公务接待费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 xml:space="preserve"> 48</w:t>
            </w:r>
            <w:r>
              <w:rPr>
                <w:rFonts w:hint="default" w:ascii="Times New Roman" w:hAnsi="Times New Roman" w:eastAsia="仿宋" w:cs="Times New Roman"/>
                <w:i w:val="0"/>
                <w:iCs w:val="0"/>
                <w:color w:val="auto"/>
                <w:kern w:val="0"/>
                <w:sz w:val="20"/>
                <w:szCs w:val="20"/>
                <w:highlight w:val="none"/>
                <w:u w:val="none"/>
                <w:lang w:val="en-US" w:eastAsia="zh-CN" w:bidi="ar"/>
              </w:rPr>
              <w:t>.</w:t>
            </w:r>
            <w:r>
              <w:rPr>
                <w:rFonts w:hint="eastAsia" w:ascii="Times New Roman" w:hAnsi="Times New Roman" w:eastAsia="仿宋" w:cs="Times New Roman"/>
                <w:i w:val="0"/>
                <w:iCs w:val="0"/>
                <w:color w:val="auto"/>
                <w:kern w:val="0"/>
                <w:sz w:val="20"/>
                <w:szCs w:val="20"/>
                <w:highlight w:val="none"/>
                <w:u w:val="none"/>
                <w:lang w:val="en-US" w:eastAsia="zh-CN" w:bidi="ar"/>
              </w:rPr>
              <w:t>72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sz w:val="20"/>
                <w:szCs w:val="20"/>
                <w:highlight w:val="none"/>
                <w:u w:val="none"/>
                <w:lang w:val="en-US" w:eastAsia="zh-CN"/>
              </w:rPr>
            </w:pPr>
            <w:r>
              <w:rPr>
                <w:rFonts w:hint="eastAsia" w:ascii="Times New Roman" w:hAnsi="Times New Roman" w:eastAsia="仿宋" w:cs="Times New Roman"/>
                <w:i w:val="0"/>
                <w:iCs w:val="0"/>
                <w:color w:val="auto"/>
                <w:sz w:val="20"/>
                <w:szCs w:val="20"/>
                <w:highlight w:val="none"/>
                <w:u w:val="none"/>
                <w:lang w:val="en-US" w:eastAsia="zh-CN"/>
              </w:rPr>
              <w:t xml:space="preserve"> 36.54</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val="0"/>
                <w:bCs w:val="0"/>
                <w:i w:val="0"/>
                <w:iCs w:val="0"/>
                <w:color w:val="auto"/>
                <w:kern w:val="2"/>
                <w:sz w:val="20"/>
                <w:szCs w:val="20"/>
                <w:highlight w:val="none"/>
                <w:u w:val="none"/>
                <w:lang w:val="en-US" w:eastAsia="zh-CN" w:bidi="ar-SA"/>
              </w:rPr>
            </w:pPr>
            <w:r>
              <w:rPr>
                <w:rFonts w:hint="eastAsia" w:ascii="Times New Roman" w:hAnsi="Times New Roman" w:eastAsia="仿宋" w:cs="Times New Roman"/>
                <w:i w:val="0"/>
                <w:iCs w:val="0"/>
                <w:color w:val="auto"/>
                <w:kern w:val="0"/>
                <w:sz w:val="20"/>
                <w:szCs w:val="20"/>
                <w:highlight w:val="none"/>
                <w:u w:val="none"/>
                <w:lang w:val="en-US" w:eastAsia="zh-CN" w:bidi="ar"/>
              </w:rPr>
              <w:t>17.62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12.18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公务用车</w:t>
            </w:r>
            <w:r>
              <w:rPr>
                <w:rFonts w:hint="eastAsia" w:ascii="Times New Roman" w:hAnsi="Times New Roman" w:eastAsia="仿宋" w:cs="Times New Roman"/>
                <w:i w:val="0"/>
                <w:iCs w:val="0"/>
                <w:color w:val="auto"/>
                <w:kern w:val="0"/>
                <w:sz w:val="20"/>
                <w:szCs w:val="20"/>
                <w:highlight w:val="none"/>
                <w:u w:val="none"/>
                <w:lang w:val="en-US" w:eastAsia="zh-CN" w:bidi="ar"/>
              </w:rPr>
              <w:t>购置及</w:t>
            </w:r>
            <w:r>
              <w:rPr>
                <w:rFonts w:hint="default" w:ascii="Times New Roman" w:hAnsi="Times New Roman" w:eastAsia="仿宋" w:cs="Times New Roman"/>
                <w:i w:val="0"/>
                <w:iCs w:val="0"/>
                <w:color w:val="auto"/>
                <w:kern w:val="0"/>
                <w:sz w:val="20"/>
                <w:szCs w:val="20"/>
                <w:highlight w:val="none"/>
                <w:u w:val="none"/>
                <w:lang w:val="en-US" w:eastAsia="zh-CN" w:bidi="ar"/>
              </w:rPr>
              <w:t>运行维护费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129.03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sz w:val="20"/>
                <w:szCs w:val="20"/>
                <w:highlight w:val="none"/>
                <w:u w:val="none"/>
                <w:lang w:val="en-US"/>
              </w:rPr>
            </w:pPr>
            <w:r>
              <w:rPr>
                <w:rFonts w:hint="eastAsia" w:ascii="Times New Roman" w:hAnsi="Times New Roman" w:eastAsia="仿宋" w:cs="Times New Roman"/>
                <w:i w:val="0"/>
                <w:iCs w:val="0"/>
                <w:color w:val="auto"/>
                <w:kern w:val="0"/>
                <w:sz w:val="20"/>
                <w:szCs w:val="20"/>
                <w:highlight w:val="none"/>
                <w:u w:val="none"/>
                <w:lang w:val="en-US" w:eastAsia="zh-CN" w:bidi="ar"/>
              </w:rPr>
              <w:t>125.77</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val="0"/>
                <w:bCs w:val="0"/>
                <w:i w:val="0"/>
                <w:iCs w:val="0"/>
                <w:color w:val="auto"/>
                <w:kern w:val="2"/>
                <w:sz w:val="20"/>
                <w:szCs w:val="20"/>
                <w:highlight w:val="none"/>
                <w:u w:val="none"/>
                <w:lang w:val="en-US" w:eastAsia="zh-CN" w:bidi="ar-SA"/>
              </w:rPr>
            </w:pPr>
            <w:r>
              <w:rPr>
                <w:rFonts w:hint="eastAsia" w:ascii="Times New Roman" w:hAnsi="Times New Roman" w:eastAsia="仿宋" w:cs="Times New Roman"/>
                <w:i w:val="0"/>
                <w:iCs w:val="0"/>
                <w:color w:val="auto"/>
                <w:kern w:val="0"/>
                <w:sz w:val="20"/>
                <w:szCs w:val="20"/>
                <w:highlight w:val="none"/>
                <w:u w:val="none"/>
                <w:lang w:val="en-US" w:eastAsia="zh-CN" w:bidi="ar"/>
              </w:rPr>
              <w:t>175.36</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3.26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-49.59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left"/>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其中：</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firstLine="200" w:firstLineChars="100"/>
              <w:jc w:val="left"/>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公务用车购置费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56.00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55.20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102.55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0.80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-47.35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left="0" w:leftChars="0" w:firstLine="200" w:firstLineChars="100"/>
              <w:jc w:val="left"/>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公务用车运行维护费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73.03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70.57</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72.81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2.46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eastAsia" w:ascii="Times New Roman" w:hAnsi="Times New Roman" w:eastAsia="仿宋" w:cs="Times New Roman"/>
                <w:i w:val="0"/>
                <w:iCs w:val="0"/>
                <w:color w:val="auto"/>
                <w:kern w:val="0"/>
                <w:sz w:val="20"/>
                <w:szCs w:val="20"/>
                <w:highlight w:val="none"/>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default" w:ascii="Times New Roman" w:hAnsi="Times New Roman" w:eastAsia="仿宋" w:cs="Times New Roman"/>
                <w:b/>
                <w:bCs/>
                <w:i w:val="0"/>
                <w:iCs w:val="0"/>
                <w:color w:val="auto"/>
                <w:kern w:val="0"/>
                <w:sz w:val="20"/>
                <w:szCs w:val="20"/>
                <w:highlight w:val="none"/>
                <w:u w:val="none"/>
                <w:lang w:val="en-US" w:eastAsia="zh-CN" w:bidi="ar"/>
              </w:rPr>
              <w:t>3</w:t>
            </w:r>
            <w:r>
              <w:rPr>
                <w:rFonts w:hint="eastAsia" w:ascii="Times New Roman" w:hAnsi="Times New Roman" w:eastAsia="仿宋" w:cs="Times New Roman"/>
                <w:b/>
                <w:bCs/>
                <w:i w:val="0"/>
                <w:iCs w:val="0"/>
                <w:color w:val="auto"/>
                <w:kern w:val="0"/>
                <w:sz w:val="20"/>
                <w:szCs w:val="20"/>
                <w:highlight w:val="none"/>
                <w:u w:val="none"/>
                <w:lang w:val="en-US" w:eastAsia="zh-CN" w:bidi="ar"/>
              </w:rPr>
              <w:t>56.55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lang w:val="en-US"/>
              </w:rPr>
            </w:pPr>
            <w:r>
              <w:rPr>
                <w:rFonts w:hint="eastAsia" w:ascii="Times New Roman" w:hAnsi="Times New Roman" w:eastAsia="仿宋" w:cs="Times New Roman"/>
                <w:b/>
                <w:bCs/>
                <w:i w:val="0"/>
                <w:iCs w:val="0"/>
                <w:color w:val="auto"/>
                <w:kern w:val="0"/>
                <w:sz w:val="20"/>
                <w:szCs w:val="20"/>
                <w:highlight w:val="none"/>
                <w:u w:val="none"/>
                <w:lang w:val="en-US" w:eastAsia="zh-CN" w:bidi="ar"/>
              </w:rPr>
              <w:t>292.69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196.10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63.86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96.59</w:t>
            </w:r>
          </w:p>
        </w:tc>
      </w:tr>
    </w:tbl>
    <w:p>
      <w:pPr>
        <w:widowControl/>
        <w:shd w:val="clear"/>
        <w:spacing w:line="560" w:lineRule="exact"/>
        <w:ind w:firstLine="640" w:firstLineChars="0"/>
        <w:rPr>
          <w:rFonts w:hint="default" w:ascii="Times New Roman" w:hAnsi="Times New Roman" w:eastAsia="仿宋_GB2312" w:cs="Times New Roman"/>
          <w:color w:val="auto"/>
          <w:sz w:val="32"/>
          <w:szCs w:val="24"/>
          <w:highlight w:val="none"/>
        </w:rPr>
      </w:pPr>
      <w:r>
        <w:rPr>
          <w:rFonts w:ascii="Times New Roman" w:hAnsi="Times New Roman" w:eastAsia="仿宋_GB2312" w:cs="Times New Roman"/>
          <w:color w:val="auto"/>
          <w:sz w:val="32"/>
          <w:szCs w:val="24"/>
          <w:highlight w:val="none"/>
        </w:rPr>
        <w:t>本年度</w:t>
      </w:r>
      <w:r>
        <w:rPr>
          <w:rFonts w:hint="default" w:ascii="Times New Roman" w:hAnsi="Times New Roman" w:eastAsia="仿宋_GB2312" w:cs="Times New Roman"/>
          <w:color w:val="auto"/>
          <w:sz w:val="32"/>
          <w:szCs w:val="24"/>
          <w:highlight w:val="none"/>
        </w:rPr>
        <w:t>“三公”经费决算支出较预算</w:t>
      </w:r>
      <w:r>
        <w:rPr>
          <w:rFonts w:hint="eastAsia" w:ascii="Times New Roman" w:hAnsi="Times New Roman" w:cs="Times New Roman"/>
          <w:color w:val="auto"/>
          <w:sz w:val="32"/>
          <w:szCs w:val="24"/>
          <w:highlight w:val="none"/>
          <w:lang w:val="en-US" w:eastAsia="zh-CN"/>
        </w:rPr>
        <w:t>均减少</w:t>
      </w:r>
      <w:r>
        <w:rPr>
          <w:rFonts w:hint="default" w:ascii="Times New Roman" w:hAnsi="Times New Roman" w:eastAsia="仿宋_GB2312" w:cs="Times New Roman"/>
          <w:color w:val="auto"/>
          <w:sz w:val="32"/>
          <w:szCs w:val="24"/>
          <w:highlight w:val="none"/>
        </w:rPr>
        <w:t>，</w:t>
      </w:r>
      <w:r>
        <w:rPr>
          <w:rFonts w:hint="eastAsia" w:ascii="Times New Roman" w:hAnsi="Times New Roman" w:cs="Times New Roman"/>
          <w:color w:val="auto"/>
          <w:sz w:val="32"/>
          <w:szCs w:val="24"/>
          <w:highlight w:val="none"/>
          <w:lang w:val="en-US" w:eastAsia="zh-CN"/>
        </w:rPr>
        <w:t>特别是因公出国（境）费用、公务接待费结余较多，主要</w:t>
      </w:r>
      <w:r>
        <w:rPr>
          <w:rFonts w:hint="default" w:ascii="Times New Roman" w:hAnsi="Times New Roman" w:eastAsia="仿宋_GB2312" w:cs="Times New Roman"/>
          <w:color w:val="auto"/>
          <w:sz w:val="32"/>
          <w:szCs w:val="24"/>
          <w:highlight w:val="none"/>
        </w:rPr>
        <w:t>原因</w:t>
      </w:r>
      <w:r>
        <w:rPr>
          <w:rFonts w:hint="eastAsia" w:ascii="Times New Roman" w:hAnsi="Times New Roman" w:cs="Times New Roman"/>
          <w:color w:val="auto"/>
          <w:sz w:val="32"/>
          <w:szCs w:val="24"/>
          <w:highlight w:val="none"/>
          <w:lang w:val="en-US" w:eastAsia="zh-CN"/>
        </w:rPr>
        <w:t>严格遵守相关制度，秉承厉行节约原则，细化预算，严控支出，切实压缩“三公经费”</w:t>
      </w:r>
      <w:r>
        <w:rPr>
          <w:rFonts w:hint="default" w:ascii="Times New Roman" w:hAnsi="Times New Roman" w:eastAsia="仿宋_GB2312" w:cs="Times New Roman"/>
          <w:color w:val="auto"/>
          <w:sz w:val="32"/>
          <w:szCs w:val="24"/>
          <w:highlight w:val="none"/>
        </w:rPr>
        <w:t>。</w:t>
      </w:r>
    </w:p>
    <w:p>
      <w:pPr>
        <w:widowControl/>
        <w:shd w:val="clear"/>
        <w:spacing w:line="560" w:lineRule="exact"/>
        <w:ind w:firstLine="640" w:firstLineChars="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24"/>
          <w:highlight w:val="none"/>
        </w:rPr>
        <w:t>本年</w:t>
      </w:r>
      <w:r>
        <w:rPr>
          <w:rFonts w:hint="eastAsia" w:ascii="Times New Roman" w:hAnsi="Times New Roman" w:cs="Times New Roman"/>
          <w:color w:val="auto"/>
          <w:sz w:val="32"/>
          <w:szCs w:val="24"/>
          <w:highlight w:val="none"/>
          <w:lang w:val="en-US" w:eastAsia="zh-CN"/>
        </w:rPr>
        <w:t>度</w:t>
      </w:r>
      <w:r>
        <w:rPr>
          <w:rFonts w:hint="default" w:ascii="Times New Roman" w:hAnsi="Times New Roman" w:eastAsia="仿宋_GB2312" w:cs="Times New Roman"/>
          <w:color w:val="auto"/>
          <w:sz w:val="32"/>
          <w:szCs w:val="24"/>
          <w:highlight w:val="none"/>
        </w:rPr>
        <w:t>实际支出总额较上年增加</w:t>
      </w:r>
      <w:r>
        <w:rPr>
          <w:rFonts w:hint="eastAsia" w:ascii="Times New Roman" w:hAnsi="Times New Roman" w:cs="Times New Roman"/>
          <w:color w:val="auto"/>
          <w:sz w:val="32"/>
          <w:szCs w:val="24"/>
          <w:highlight w:val="none"/>
          <w:lang w:val="en-US" w:eastAsia="zh-CN"/>
        </w:rPr>
        <w:t>96.59</w:t>
      </w:r>
      <w:r>
        <w:rPr>
          <w:rFonts w:hint="default" w:ascii="Times New Roman" w:hAnsi="Times New Roman" w:eastAsia="仿宋_GB2312" w:cs="Times New Roman"/>
          <w:color w:val="auto"/>
          <w:sz w:val="32"/>
          <w:szCs w:val="24"/>
          <w:highlight w:val="none"/>
        </w:rPr>
        <w:t>万元，增长</w:t>
      </w:r>
      <w:r>
        <w:rPr>
          <w:rFonts w:hint="eastAsia" w:ascii="Times New Roman" w:hAnsi="Times New Roman" w:cs="Times New Roman"/>
          <w:color w:val="auto"/>
          <w:sz w:val="32"/>
          <w:szCs w:val="24"/>
          <w:highlight w:val="none"/>
          <w:lang w:val="en-US" w:eastAsia="zh-CN"/>
        </w:rPr>
        <w:t>49.26</w:t>
      </w:r>
      <w:r>
        <w:rPr>
          <w:rFonts w:hint="default" w:ascii="Times New Roman" w:hAnsi="Times New Roman" w:eastAsia="仿宋_GB2312" w:cs="Times New Roman"/>
          <w:color w:val="auto"/>
          <w:sz w:val="32"/>
          <w:szCs w:val="24"/>
          <w:highlight w:val="none"/>
        </w:rPr>
        <w:t>%，</w:t>
      </w:r>
      <w:r>
        <w:rPr>
          <w:rFonts w:hint="eastAsia" w:ascii="Times New Roman" w:hAnsi="Times New Roman" w:cs="Times New Roman"/>
          <w:color w:val="auto"/>
          <w:sz w:val="32"/>
          <w:szCs w:val="24"/>
          <w:highlight w:val="none"/>
          <w:lang w:val="en-US" w:eastAsia="zh-CN"/>
        </w:rPr>
        <w:t>主要因为上年度受疫情影响，对外交流活动较少，本年度疫情放开后逐步恢复对外交流活动</w:t>
      </w:r>
      <w:r>
        <w:rPr>
          <w:rFonts w:hint="eastAsia" w:ascii="Times New Roman" w:hAnsi="Times New Roman" w:cs="Times New Roman"/>
          <w:color w:val="auto"/>
          <w:sz w:val="32"/>
          <w:szCs w:val="24"/>
          <w:highlight w:val="none"/>
          <w:lang w:val="en-US" w:eastAsia="zh-CN"/>
        </w:rPr>
        <w:t>，</w:t>
      </w:r>
      <w:r>
        <w:rPr>
          <w:rFonts w:hint="default" w:ascii="Times New Roman" w:hAnsi="Times New Roman" w:eastAsia="仿宋_GB2312" w:cs="Times New Roman"/>
          <w:color w:val="auto"/>
          <w:sz w:val="32"/>
          <w:szCs w:val="24"/>
          <w:highlight w:val="none"/>
        </w:rPr>
        <w:t>因公出国（境）</w:t>
      </w:r>
      <w:r>
        <w:rPr>
          <w:rFonts w:hint="eastAsia" w:ascii="Times New Roman" w:hAnsi="Times New Roman" w:cs="Times New Roman"/>
          <w:color w:val="auto"/>
          <w:sz w:val="32"/>
          <w:szCs w:val="24"/>
          <w:highlight w:val="none"/>
          <w:lang w:val="en-US" w:eastAsia="zh-CN"/>
        </w:rPr>
        <w:t>预算</w:t>
      </w:r>
      <w:r>
        <w:rPr>
          <w:rFonts w:hint="default" w:ascii="Times New Roman" w:hAnsi="Times New Roman" w:eastAsia="仿宋_GB2312" w:cs="Times New Roman"/>
          <w:color w:val="auto"/>
          <w:sz w:val="32"/>
          <w:szCs w:val="24"/>
          <w:highlight w:val="none"/>
        </w:rPr>
        <w:t>较上年增加</w:t>
      </w:r>
      <w:r>
        <w:rPr>
          <w:rFonts w:hint="eastAsia" w:ascii="Times New Roman" w:hAnsi="Times New Roman" w:cs="Times New Roman"/>
          <w:color w:val="auto"/>
          <w:sz w:val="32"/>
          <w:szCs w:val="24"/>
          <w:highlight w:val="none"/>
          <w:lang w:val="en-US" w:eastAsia="zh-CN"/>
        </w:rPr>
        <w:t>127.26</w:t>
      </w:r>
      <w:r>
        <w:rPr>
          <w:rFonts w:hint="default" w:ascii="Times New Roman" w:hAnsi="Times New Roman" w:eastAsia="仿宋_GB2312" w:cs="Times New Roman"/>
          <w:color w:val="auto"/>
          <w:sz w:val="32"/>
          <w:szCs w:val="24"/>
          <w:highlight w:val="none"/>
        </w:rPr>
        <w:t>万元。</w:t>
      </w:r>
    </w:p>
    <w:p>
      <w:pPr>
        <w:pStyle w:val="3"/>
        <w:shd w:val="clear"/>
        <w:bidi w:val="0"/>
        <w:rPr>
          <w:rFonts w:hint="default" w:ascii="Times New Roman" w:hAnsi="Times New Roman" w:cs="Times New Roman"/>
          <w:color w:val="auto"/>
          <w:highlight w:val="none"/>
          <w:lang w:val="en-US" w:eastAsia="zh-CN"/>
        </w:rPr>
      </w:pPr>
      <w:bookmarkStart w:id="22" w:name="_Toc32167"/>
      <w:r>
        <w:rPr>
          <w:rFonts w:hint="default" w:ascii="Times New Roman" w:hAnsi="Times New Roman" w:cs="Times New Roman"/>
          <w:color w:val="auto"/>
          <w:highlight w:val="none"/>
          <w:lang w:val="en-US" w:eastAsia="zh-CN"/>
        </w:rPr>
        <w:t>（二）项目支出情况</w:t>
      </w:r>
      <w:bookmarkEnd w:id="22"/>
    </w:p>
    <w:p>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w:t>
      </w:r>
      <w:r>
        <w:rPr>
          <w:rFonts w:hint="eastAsia" w:ascii="Times New Roman" w:hAnsi="Times New Roman" w:cs="Times New Roman"/>
          <w:color w:val="auto"/>
          <w:highlight w:val="none"/>
          <w:lang w:val="en-US" w:eastAsia="zh-CN"/>
        </w:rPr>
        <w:t>一般公共预算财政拨款</w:t>
      </w:r>
      <w:r>
        <w:rPr>
          <w:rFonts w:hint="default" w:ascii="Times New Roman" w:hAnsi="Times New Roman" w:cs="Times New Roman"/>
          <w:color w:val="auto"/>
          <w:highlight w:val="none"/>
          <w:lang w:val="en-US" w:eastAsia="zh-CN"/>
        </w:rPr>
        <w:t>项目支出金额</w:t>
      </w:r>
      <w:r>
        <w:rPr>
          <w:rFonts w:hint="eastAsia" w:ascii="Times New Roman" w:hAnsi="Times New Roman" w:cs="Times New Roman"/>
          <w:color w:val="auto"/>
          <w:highlight w:val="none"/>
          <w:lang w:val="en-US" w:eastAsia="zh-CN"/>
        </w:rPr>
        <w:t>54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625</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64</w:t>
      </w:r>
      <w:r>
        <w:rPr>
          <w:rFonts w:hint="default" w:ascii="Times New Roman" w:hAnsi="Times New Roman" w:cs="Times New Roman"/>
          <w:color w:val="auto"/>
          <w:highlight w:val="none"/>
          <w:lang w:val="en-US" w:eastAsia="zh-CN"/>
        </w:rPr>
        <w:t>万元，其中：工资福利支出</w:t>
      </w:r>
      <w:r>
        <w:rPr>
          <w:rFonts w:hint="eastAsia" w:ascii="Times New Roman" w:hAnsi="Times New Roman" w:cs="Times New Roman"/>
          <w:color w:val="auto"/>
          <w:highlight w:val="none"/>
          <w:lang w:val="en-US" w:eastAsia="zh-CN"/>
        </w:rPr>
        <w:t>892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70</w:t>
      </w:r>
      <w:r>
        <w:rPr>
          <w:rFonts w:hint="default" w:ascii="Times New Roman" w:hAnsi="Times New Roman" w:cs="Times New Roman"/>
          <w:color w:val="auto"/>
          <w:highlight w:val="none"/>
          <w:lang w:val="en-US" w:eastAsia="zh-CN"/>
        </w:rPr>
        <w:t>万元；商品和服务支出</w:t>
      </w:r>
      <w:r>
        <w:rPr>
          <w:rFonts w:hint="eastAsia" w:ascii="Times New Roman" w:hAnsi="Times New Roman" w:cs="Times New Roman"/>
          <w:color w:val="auto"/>
          <w:highlight w:val="none"/>
          <w:lang w:val="en-US" w:eastAsia="zh-CN"/>
        </w:rPr>
        <w:t>47</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333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78</w:t>
      </w:r>
      <w:r>
        <w:rPr>
          <w:rFonts w:hint="default" w:ascii="Times New Roman" w:hAnsi="Times New Roman" w:cs="Times New Roman"/>
          <w:color w:val="auto"/>
          <w:highlight w:val="none"/>
          <w:lang w:val="en-US" w:eastAsia="zh-CN"/>
        </w:rPr>
        <w:t>万元；对个人和家庭的补助</w:t>
      </w:r>
      <w:r>
        <w:rPr>
          <w:rFonts w:hint="eastAsia" w:ascii="Times New Roman" w:hAnsi="Times New Roman" w:cs="Times New Roman"/>
          <w:color w:val="auto"/>
          <w:highlight w:val="none"/>
          <w:lang w:val="en-US" w:eastAsia="zh-CN"/>
        </w:rPr>
        <w:t>177</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75</w:t>
      </w:r>
      <w:r>
        <w:rPr>
          <w:rFonts w:hint="default" w:ascii="Times New Roman" w:hAnsi="Times New Roman" w:cs="Times New Roman"/>
          <w:color w:val="auto"/>
          <w:highlight w:val="none"/>
          <w:lang w:val="en-US" w:eastAsia="zh-CN"/>
        </w:rPr>
        <w:t>万元；资本性支出</w:t>
      </w:r>
      <w:r>
        <w:rPr>
          <w:rFonts w:hint="eastAsia" w:ascii="Times New Roman" w:hAnsi="Times New Roman" w:cs="Times New Roman"/>
          <w:color w:val="auto"/>
          <w:highlight w:val="none"/>
          <w:lang w:val="en-US" w:eastAsia="zh-CN"/>
        </w:rPr>
        <w:t>6,221.41</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各项占比见下图：</w:t>
      </w:r>
    </w:p>
    <w:p>
      <w:pPr>
        <w:pStyle w:val="9"/>
        <w:shd w:val="clear"/>
        <w:spacing w:line="240" w:lineRule="auto"/>
        <w:rPr>
          <w:rFonts w:hint="default"/>
          <w:color w:val="auto"/>
          <w:highlight w:val="none"/>
          <w:lang w:val="en-US" w:eastAsia="zh-CN"/>
        </w:rPr>
      </w:pPr>
      <w:r>
        <w:rPr>
          <w:color w:val="auto"/>
          <w:highlight w:val="none"/>
        </w:rPr>
        <w:drawing>
          <wp:inline distT="0" distB="0" distL="114300" distR="114300">
            <wp:extent cx="4889500" cy="2787650"/>
            <wp:effectExtent l="0" t="0" r="0" b="6350"/>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13"/>
                    <a:stretch>
                      <a:fillRect/>
                    </a:stretch>
                  </pic:blipFill>
                  <pic:spPr>
                    <a:xfrm>
                      <a:off x="0" y="0"/>
                      <a:ext cx="4889500" cy="2787650"/>
                    </a:xfrm>
                    <a:prstGeom prst="rect">
                      <a:avLst/>
                    </a:prstGeom>
                    <a:noFill/>
                    <a:ln>
                      <a:noFill/>
                    </a:ln>
                  </pic:spPr>
                </pic:pic>
              </a:graphicData>
            </a:graphic>
          </wp:inline>
        </w:drawing>
      </w:r>
    </w:p>
    <w:p>
      <w:pPr>
        <w:pStyle w:val="3"/>
        <w:widowControl/>
        <w:shd w:val="clear"/>
        <w:ind w:firstLine="0"/>
        <w:rPr>
          <w:rFonts w:hint="default" w:ascii="Times New Roman" w:hAnsi="Times New Roman" w:cs="Times New Roman"/>
          <w:color w:val="auto"/>
          <w:highlight w:val="none"/>
          <w:lang w:val="en-US" w:eastAsia="zh-CN" w:bidi="ar"/>
        </w:rPr>
      </w:pPr>
      <w:bookmarkStart w:id="23" w:name="_Toc14614"/>
      <w:r>
        <w:rPr>
          <w:rFonts w:hint="default" w:ascii="Times New Roman" w:hAnsi="Times New Roman" w:cs="Times New Roman"/>
          <w:color w:val="auto"/>
          <w:highlight w:val="none"/>
          <w:lang w:val="en-US" w:eastAsia="zh-CN" w:bidi="ar"/>
        </w:rPr>
        <w:t>（三）省级专项资金分配安排和使用管理情况</w:t>
      </w:r>
      <w:bookmarkEnd w:id="23"/>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我厅主管</w:t>
      </w:r>
      <w:r>
        <w:rPr>
          <w:rFonts w:hint="eastAsia" w:ascii="Times New Roman" w:hAnsi="Times New Roman" w:cs="Times New Roman"/>
          <w:color w:val="auto"/>
          <w:highlight w:val="none"/>
          <w:lang w:val="en-US" w:eastAsia="zh-CN"/>
        </w:rPr>
        <w:t>文化</w:t>
      </w:r>
      <w:r>
        <w:rPr>
          <w:rFonts w:hint="default" w:ascii="Times New Roman" w:hAnsi="Times New Roman" w:cs="Times New Roman"/>
          <w:color w:val="auto"/>
          <w:highlight w:val="none"/>
          <w:lang w:val="en-US" w:eastAsia="zh-CN"/>
        </w:rPr>
        <w:t>旅游发展专项、文物保护专项</w:t>
      </w:r>
      <w:r>
        <w:rPr>
          <w:rFonts w:hint="eastAsia" w:ascii="Times New Roman" w:hAnsi="Times New Roman" w:cs="Times New Roman"/>
          <w:color w:val="auto"/>
          <w:highlight w:val="none"/>
          <w:lang w:val="en-US" w:eastAsia="zh-CN"/>
        </w:rPr>
        <w:t>两</w:t>
      </w:r>
      <w:r>
        <w:rPr>
          <w:rFonts w:hint="default" w:ascii="Times New Roman" w:hAnsi="Times New Roman" w:cs="Times New Roman"/>
          <w:color w:val="auto"/>
          <w:highlight w:val="none"/>
          <w:lang w:val="en-US" w:eastAsia="zh-CN"/>
        </w:rPr>
        <w:t>个省级专项资金，202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年度省级专项资金的分配情况具体如下。</w:t>
      </w:r>
    </w:p>
    <w:p>
      <w:pPr>
        <w:pageBreakBefore w:val="0"/>
        <w:widowControl w:val="0"/>
        <w:shd w:val="clear"/>
        <w:kinsoku/>
        <w:wordWrap/>
        <w:topLinePunct w:val="0"/>
        <w:autoSpaceDE/>
        <w:autoSpaceDN/>
        <w:bidi w:val="0"/>
        <w:spacing w:line="560" w:lineRule="exact"/>
        <w:ind w:firstLine="640"/>
        <w:jc w:val="both"/>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1.文化旅游发展专项</w:t>
      </w:r>
    </w:p>
    <w:p>
      <w:pPr>
        <w:pageBreakBefore w:val="0"/>
        <w:widowControl w:val="0"/>
        <w:shd w:val="clear"/>
        <w:kinsoku/>
        <w:wordWrap/>
        <w:topLinePunct w:val="0"/>
        <w:autoSpaceDE/>
        <w:autoSpaceDN/>
        <w:bidi w:val="0"/>
        <w:spacing w:line="560" w:lineRule="exact"/>
        <w:ind w:firstLine="640"/>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lang w:val="en-US" w:eastAsia="zh-CN"/>
        </w:rPr>
        <w:t>2023年度专项资金分四批次下达，分别为湘财文指〔2023〕29号6,625.00万元</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湘财文指〔2023〕39号32,266</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lang w:val="en-US" w:eastAsia="zh-CN"/>
        </w:rPr>
        <w:t>万元，湘财文指〔2023〕3号10,000.00万元，湘财文指〔2023〕57号14,039.00万元，共安排项目</w:t>
      </w:r>
      <w:r>
        <w:rPr>
          <w:rFonts w:hint="default" w:ascii="Times New Roman" w:hAnsi="Times New Roman" w:cs="Times New Roman"/>
          <w:color w:val="auto"/>
          <w:highlight w:val="none"/>
          <w:lang w:val="en-US" w:eastAsia="zh-CN"/>
        </w:rPr>
        <w:t>94</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个，金额合计62,930.00万元</w:t>
      </w:r>
      <w:r>
        <w:rPr>
          <w:rFonts w:hint="eastAsia" w:cs="Times New Roman"/>
          <w:color w:val="auto"/>
          <w:highlight w:val="none"/>
          <w:lang w:val="en-US" w:eastAsia="zh-CN"/>
        </w:rPr>
        <w:t>（其中，</w:t>
      </w:r>
      <w:r>
        <w:rPr>
          <w:rFonts w:hint="default" w:ascii="Times New Roman" w:hAnsi="Times New Roman" w:cs="Times New Roman"/>
          <w:color w:val="auto"/>
          <w:highlight w:val="none"/>
          <w:lang w:val="en-US" w:eastAsia="zh-CN"/>
        </w:rPr>
        <w:t>湘财文指〔2023〕3号10,000.00万元</w:t>
      </w:r>
      <w:r>
        <w:rPr>
          <w:rFonts w:hint="eastAsia" w:cs="Times New Roman"/>
          <w:color w:val="auto"/>
          <w:highlight w:val="none"/>
          <w:lang w:val="en-US" w:eastAsia="zh-CN"/>
        </w:rPr>
        <w:t>不纳入此次绩效评价范围）</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kern w:val="2"/>
          <w:sz w:val="32"/>
          <w:szCs w:val="32"/>
          <w:highlight w:val="none"/>
        </w:rPr>
        <w:t>具体</w:t>
      </w:r>
      <w:r>
        <w:rPr>
          <w:rFonts w:hint="default" w:ascii="Times New Roman" w:hAnsi="Times New Roman" w:cs="Times New Roman"/>
          <w:color w:val="auto"/>
          <w:kern w:val="2"/>
          <w:sz w:val="32"/>
          <w:szCs w:val="32"/>
          <w:highlight w:val="none"/>
          <w:lang w:val="en-US" w:eastAsia="zh-CN"/>
        </w:rPr>
        <w:t>分配</w:t>
      </w:r>
      <w:r>
        <w:rPr>
          <w:rFonts w:hint="default" w:ascii="Times New Roman" w:hAnsi="Times New Roman" w:cs="Times New Roman"/>
          <w:color w:val="auto"/>
          <w:kern w:val="2"/>
          <w:sz w:val="32"/>
          <w:szCs w:val="32"/>
          <w:highlight w:val="none"/>
        </w:rPr>
        <w:t>情况如下表：</w:t>
      </w:r>
    </w:p>
    <w:p>
      <w:pPr>
        <w:pStyle w:val="7"/>
        <w:shd w:val="clear"/>
        <w:jc w:val="right"/>
        <w:rPr>
          <w:rFonts w:hint="default"/>
          <w:color w:val="auto"/>
          <w:highlight w:val="none"/>
        </w:rPr>
      </w:pPr>
      <w:r>
        <w:rPr>
          <w:rFonts w:hint="eastAsia" w:ascii="Times New Roman" w:hAnsi="Times New Roman" w:cs="Times New Roman"/>
          <w:color w:val="auto"/>
          <w:sz w:val="24"/>
          <w:szCs w:val="24"/>
          <w:highlight w:val="none"/>
          <w:lang w:val="en-US" w:eastAsia="zh-CN"/>
        </w:rPr>
        <w:t>单位：万元</w:t>
      </w:r>
    </w:p>
    <w:tbl>
      <w:tblPr>
        <w:tblStyle w:val="22"/>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
        <w:gridCol w:w="3969"/>
        <w:gridCol w:w="1339"/>
        <w:gridCol w:w="163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bCs/>
                <w:color w:val="auto"/>
                <w:sz w:val="21"/>
                <w:szCs w:val="21"/>
                <w:highlight w:val="none"/>
                <w:lang w:bidi="ar"/>
              </w:rPr>
            </w:pPr>
            <w:r>
              <w:rPr>
                <w:rFonts w:hint="default" w:ascii="Times New Roman" w:hAnsi="Times New Roman" w:eastAsia="仿宋" w:cs="Times New Roman"/>
                <w:b/>
                <w:bCs/>
                <w:color w:val="auto"/>
                <w:sz w:val="21"/>
                <w:szCs w:val="21"/>
                <w:highlight w:val="none"/>
                <w:lang w:bidi="ar"/>
              </w:rPr>
              <w:t>序号</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bCs/>
                <w:i w:val="0"/>
                <w:iCs w:val="0"/>
                <w:color w:val="auto"/>
                <w:sz w:val="21"/>
                <w:szCs w:val="21"/>
                <w:highlight w:val="none"/>
                <w:u w:val="none"/>
                <w:lang w:val="en-US" w:eastAsia="zh-CN" w:bidi="ar"/>
              </w:rPr>
            </w:pPr>
            <w:r>
              <w:rPr>
                <w:rFonts w:hint="default" w:ascii="Times New Roman" w:hAnsi="Times New Roman" w:eastAsia="仿宋" w:cs="Times New Roman"/>
                <w:b/>
                <w:bCs/>
                <w:i w:val="0"/>
                <w:iCs w:val="0"/>
                <w:color w:val="auto"/>
                <w:kern w:val="0"/>
                <w:sz w:val="21"/>
                <w:szCs w:val="21"/>
                <w:highlight w:val="none"/>
                <w:u w:val="none"/>
                <w:lang w:val="en-US" w:eastAsia="zh-CN" w:bidi="ar"/>
              </w:rPr>
              <w:t>项目大类</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bCs/>
                <w:i w:val="0"/>
                <w:iCs w:val="0"/>
                <w:color w:val="auto"/>
                <w:sz w:val="21"/>
                <w:szCs w:val="21"/>
                <w:highlight w:val="none"/>
                <w:u w:val="none"/>
                <w:lang w:val="en-US" w:eastAsia="zh-CN" w:bidi="ar"/>
              </w:rPr>
            </w:pPr>
            <w:r>
              <w:rPr>
                <w:rFonts w:hint="default" w:ascii="Times New Roman" w:hAnsi="Times New Roman" w:eastAsia="仿宋" w:cs="Times New Roman"/>
                <w:b/>
                <w:bCs/>
                <w:i w:val="0"/>
                <w:iCs w:val="0"/>
                <w:color w:val="auto"/>
                <w:kern w:val="0"/>
                <w:sz w:val="21"/>
                <w:szCs w:val="21"/>
                <w:highlight w:val="none"/>
                <w:u w:val="none"/>
                <w:lang w:val="en-US" w:eastAsia="zh-CN" w:bidi="ar"/>
              </w:rPr>
              <w:t>项目数量</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bCs/>
                <w:i w:val="0"/>
                <w:iCs w:val="0"/>
                <w:color w:val="auto"/>
                <w:sz w:val="21"/>
                <w:szCs w:val="21"/>
                <w:highlight w:val="none"/>
                <w:u w:val="none"/>
                <w:lang w:val="en-US" w:eastAsia="zh-CN" w:bidi="ar"/>
              </w:rPr>
            </w:pPr>
            <w:r>
              <w:rPr>
                <w:rFonts w:hint="default" w:ascii="Times New Roman" w:hAnsi="Times New Roman" w:eastAsia="仿宋" w:cs="Times New Roman"/>
                <w:b/>
                <w:bCs/>
                <w:i w:val="0"/>
                <w:iCs w:val="0"/>
                <w:color w:val="auto"/>
                <w:kern w:val="0"/>
                <w:sz w:val="21"/>
                <w:szCs w:val="21"/>
                <w:highlight w:val="none"/>
                <w:u w:val="none"/>
                <w:lang w:val="en-US" w:eastAsia="zh-CN" w:bidi="ar"/>
              </w:rPr>
              <w:t>专项资金（万元）</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bCs/>
                <w:i w:val="0"/>
                <w:iCs w:val="0"/>
                <w:color w:val="auto"/>
                <w:sz w:val="21"/>
                <w:szCs w:val="21"/>
                <w:highlight w:val="none"/>
                <w:u w:val="none"/>
                <w:lang w:val="en-US" w:eastAsia="zh-CN" w:bidi="ar"/>
              </w:rPr>
            </w:pPr>
            <w:r>
              <w:rPr>
                <w:rFonts w:hint="default" w:ascii="Times New Roman" w:hAnsi="Times New Roman" w:eastAsia="仿宋" w:cs="Times New Roman"/>
                <w:b/>
                <w:bCs/>
                <w:i w:val="0"/>
                <w:iCs w:val="0"/>
                <w:color w:val="auto"/>
                <w:kern w:val="0"/>
                <w:sz w:val="21"/>
                <w:szCs w:val="21"/>
                <w:highlight w:val="none"/>
                <w:u w:val="none"/>
                <w:lang w:val="en-US" w:eastAsia="zh-CN" w:bidi="ar"/>
              </w:rPr>
              <w:t>金额占比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bidi="ar"/>
              </w:rPr>
            </w:pPr>
            <w:r>
              <w:rPr>
                <w:rFonts w:hint="default" w:ascii="Times New Roman" w:hAnsi="Times New Roman" w:eastAsia="仿宋" w:cs="Times New Roman"/>
                <w:color w:val="auto"/>
                <w:sz w:val="21"/>
                <w:szCs w:val="21"/>
                <w:highlight w:val="none"/>
                <w:lang w:bidi="ar"/>
              </w:rPr>
              <w:t>1</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文化和旅游一般项目</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513</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23,725.00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val="en-US" w:eastAsia="zh-CN" w:bidi="ar"/>
              </w:rPr>
            </w:pPr>
            <w:r>
              <w:rPr>
                <w:rFonts w:hint="default" w:ascii="Times New Roman" w:hAnsi="Times New Roman" w:eastAsia="仿宋" w:cs="Times New Roman"/>
                <w:color w:val="auto"/>
                <w:sz w:val="21"/>
                <w:szCs w:val="21"/>
                <w:highlight w:val="none"/>
                <w:lang w:val="en-US" w:eastAsia="zh-CN" w:bidi="ar"/>
              </w:rPr>
              <w:t>2</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重大文旅活动</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151</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12,898.00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val="en-US" w:eastAsia="zh-CN" w:bidi="ar"/>
              </w:rPr>
            </w:pPr>
            <w:r>
              <w:rPr>
                <w:rFonts w:hint="default" w:ascii="Times New Roman" w:hAnsi="Times New Roman" w:eastAsia="仿宋" w:cs="Times New Roman"/>
                <w:color w:val="auto"/>
                <w:sz w:val="21"/>
                <w:szCs w:val="21"/>
                <w:highlight w:val="none"/>
                <w:lang w:val="en-US" w:eastAsia="zh-CN" w:bidi="ar"/>
              </w:rPr>
              <w:t>3</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旅发大会</w:t>
            </w:r>
            <w:r>
              <w:rPr>
                <w:rFonts w:hint="eastAsia" w:eastAsia="仿宋" w:cs="Times New Roman"/>
                <w:i w:val="0"/>
                <w:iCs w:val="0"/>
                <w:color w:val="auto"/>
                <w:kern w:val="0"/>
                <w:sz w:val="21"/>
                <w:szCs w:val="21"/>
                <w:highlight w:val="none"/>
                <w:u w:val="none"/>
                <w:lang w:val="en-US" w:eastAsia="zh-CN" w:bidi="ar"/>
              </w:rPr>
              <w:t>专项办公经费</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w:t>
            </w:r>
            <w:r>
              <w:rPr>
                <w:rFonts w:hint="eastAsia" w:ascii="Times New Roman" w:hAnsi="Times New Roman" w:eastAsia="仿宋" w:cs="Times New Roman"/>
                <w:i w:val="0"/>
                <w:iCs w:val="0"/>
                <w:color w:val="auto"/>
                <w:kern w:val="0"/>
                <w:sz w:val="21"/>
                <w:szCs w:val="21"/>
                <w:highlight w:val="none"/>
                <w:u w:val="none"/>
                <w:lang w:val="en-US" w:eastAsia="zh-CN" w:bidi="ar"/>
              </w:rPr>
              <w:t>1</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6,180.00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bidi="ar"/>
              </w:rPr>
            </w:pPr>
            <w:r>
              <w:rPr>
                <w:rFonts w:hint="default" w:ascii="Times New Roman" w:hAnsi="Times New Roman" w:eastAsia="仿宋" w:cs="Times New Roman"/>
                <w:color w:val="auto"/>
                <w:sz w:val="21"/>
                <w:szCs w:val="21"/>
                <w:highlight w:val="none"/>
                <w:lang w:bidi="ar"/>
              </w:rPr>
              <w:t>4</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乡村文化旅游发展</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123</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4,425.00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bidi="ar"/>
              </w:rPr>
            </w:pPr>
            <w:r>
              <w:rPr>
                <w:rFonts w:hint="default" w:ascii="Times New Roman" w:hAnsi="Times New Roman" w:eastAsia="仿宋" w:cs="Times New Roman"/>
                <w:color w:val="auto"/>
                <w:sz w:val="21"/>
                <w:szCs w:val="21"/>
                <w:highlight w:val="none"/>
                <w:lang w:bidi="ar"/>
              </w:rPr>
              <w:t>5</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真抓实干奖励</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14</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2,200.00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bidi="ar"/>
              </w:rPr>
            </w:pPr>
            <w:r>
              <w:rPr>
                <w:rFonts w:hint="default" w:ascii="Times New Roman" w:hAnsi="Times New Roman" w:eastAsia="仿宋" w:cs="Times New Roman"/>
                <w:color w:val="auto"/>
                <w:sz w:val="21"/>
                <w:szCs w:val="21"/>
                <w:highlight w:val="none"/>
                <w:lang w:bidi="ar"/>
              </w:rPr>
              <w:t>6</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重大演出活动、演艺惠民</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47</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1,760.00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bidi="ar"/>
              </w:rPr>
            </w:pPr>
            <w:r>
              <w:rPr>
                <w:rFonts w:hint="default" w:ascii="Times New Roman" w:hAnsi="Times New Roman" w:eastAsia="仿宋" w:cs="Times New Roman"/>
                <w:color w:val="auto"/>
                <w:sz w:val="21"/>
                <w:szCs w:val="21"/>
                <w:highlight w:val="none"/>
                <w:lang w:bidi="ar"/>
              </w:rPr>
              <w:t>7</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升规入统奖励</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50</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1,491.00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bidi="ar"/>
              </w:rPr>
            </w:pPr>
            <w:r>
              <w:rPr>
                <w:rFonts w:hint="default" w:ascii="Times New Roman" w:hAnsi="Times New Roman" w:eastAsia="仿宋" w:cs="Times New Roman"/>
                <w:color w:val="auto"/>
                <w:sz w:val="21"/>
                <w:szCs w:val="21"/>
                <w:highlight w:val="none"/>
                <w:lang w:bidi="ar"/>
              </w:rPr>
              <w:t>8</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非遗传承人补助</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22</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251.00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94" w:type="dxa"/>
            <w:shd w:val="clear" w:color="auto" w:fill="FFFFFF"/>
            <w:noWrap/>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color w:val="auto"/>
                <w:sz w:val="21"/>
                <w:szCs w:val="21"/>
                <w:highlight w:val="none"/>
                <w:lang w:bidi="ar"/>
              </w:rPr>
            </w:pPr>
            <w:r>
              <w:rPr>
                <w:rFonts w:hint="default" w:ascii="Times New Roman" w:hAnsi="Times New Roman" w:eastAsia="仿宋" w:cs="Times New Roman"/>
                <w:color w:val="auto"/>
                <w:sz w:val="21"/>
                <w:szCs w:val="21"/>
                <w:highlight w:val="none"/>
                <w:lang w:bidi="ar"/>
              </w:rPr>
              <w:t>9</w:t>
            </w:r>
          </w:p>
        </w:tc>
        <w:tc>
          <w:tcPr>
            <w:tcW w:w="396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合计</w:t>
            </w:r>
          </w:p>
        </w:tc>
        <w:tc>
          <w:tcPr>
            <w:tcW w:w="1339"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94</w:t>
            </w:r>
            <w:r>
              <w:rPr>
                <w:rFonts w:hint="eastAsia" w:ascii="Times New Roman" w:hAnsi="Times New Roman" w:eastAsia="仿宋" w:cs="Times New Roman"/>
                <w:i w:val="0"/>
                <w:iCs w:val="0"/>
                <w:color w:val="auto"/>
                <w:kern w:val="0"/>
                <w:sz w:val="21"/>
                <w:szCs w:val="21"/>
                <w:highlight w:val="none"/>
                <w:u w:val="none"/>
                <w:lang w:val="en-US" w:eastAsia="zh-CN" w:bidi="ar"/>
              </w:rPr>
              <w:t>1</w:t>
            </w:r>
          </w:p>
        </w:tc>
        <w:tc>
          <w:tcPr>
            <w:tcW w:w="1631"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52,930.00</w:t>
            </w:r>
          </w:p>
        </w:tc>
        <w:tc>
          <w:tcPr>
            <w:tcW w:w="1176" w:type="dxa"/>
            <w:shd w:val="clear" w:color="auto" w:fill="FFFFFF"/>
            <w:noWrap/>
            <w:tcMar>
              <w:top w:w="15" w:type="dxa"/>
              <w:left w:w="15" w:type="dxa"/>
              <w:right w:w="15" w:type="dxa"/>
            </w:tcMar>
            <w:vAlign w:val="center"/>
          </w:tcPr>
          <w:p>
            <w:pPr>
              <w:keepNext w:val="0"/>
              <w:keepLines w:val="0"/>
              <w:widowControl/>
              <w:suppressLineNumbers w:val="0"/>
              <w:shd w:val="clear"/>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i w:val="0"/>
                <w:iCs w:val="0"/>
                <w:color w:val="auto"/>
                <w:sz w:val="21"/>
                <w:szCs w:val="21"/>
                <w:highlight w:val="none"/>
                <w:u w:val="none"/>
                <w:lang w:val="en-US" w:eastAsia="zh-CN" w:bidi="ar"/>
              </w:rPr>
            </w:pPr>
            <w:r>
              <w:rPr>
                <w:rFonts w:hint="eastAsia" w:ascii="Times New Roman" w:hAnsi="Times New Roman" w:eastAsia="仿宋" w:cs="Times New Roman"/>
                <w:i w:val="0"/>
                <w:iCs w:val="0"/>
                <w:color w:val="auto"/>
                <w:sz w:val="21"/>
                <w:szCs w:val="21"/>
                <w:highlight w:val="none"/>
                <w:u w:val="none"/>
                <w:lang w:val="en-US" w:eastAsia="zh-CN" w:bidi="ar"/>
              </w:rPr>
              <w:t>100%</w:t>
            </w:r>
          </w:p>
        </w:tc>
      </w:tr>
    </w:tbl>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2023年度省级财政共安排旅游类资金37,516万元，涉及项目548个，包括重大文旅活动、乡村文化旅游发展、真抓实干、升规入统奖励等；文化类资金15414万元，涉及项目392个，主要用于大型舞台精品艺术创作及复排、非遗传承人补助、美术书法摄影项目、省级非物质文化遗产保护与传承、推出科技赋能数字文旅新品、文化设施维修改造、小型舞台精品艺术创作（专业口）、小型戏曲、戏剧、音乐、舞蹈等群文作品（群文口）、重大演出活动、演艺惠民等9个方面。</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szCs w:val="32"/>
          <w:highlight w:val="none"/>
          <w:lang w:val="en-US" w:eastAsia="zh-CN"/>
        </w:rPr>
        <w:t>截至2024年4月15日</w:t>
      </w:r>
      <w:r>
        <w:rPr>
          <w:rFonts w:hint="eastAsia" w:ascii="Times New Roman" w:hAnsi="Times New Roman" w:cs="Times New Roman"/>
          <w:color w:val="auto"/>
          <w:szCs w:val="32"/>
          <w:highlight w:val="none"/>
          <w:lang w:val="en-US" w:eastAsia="zh-CN"/>
        </w:rPr>
        <w:t>，现场评价资金24,218万元，到位资金24,015万元，</w:t>
      </w:r>
      <w:r>
        <w:rPr>
          <w:rFonts w:hint="default" w:ascii="Times New Roman" w:hAnsi="Times New Roman" w:cs="Times New Roman"/>
          <w:color w:val="auto"/>
          <w:kern w:val="2"/>
          <w:sz w:val="32"/>
          <w:szCs w:val="32"/>
          <w:highlight w:val="none"/>
          <w:lang w:val="en-US" w:eastAsia="zh-CN"/>
        </w:rPr>
        <w:t>已到位资金</w:t>
      </w:r>
      <w:r>
        <w:rPr>
          <w:rFonts w:hint="eastAsia" w:ascii="Times New Roman" w:hAnsi="Times New Roman" w:cs="Times New Roman"/>
          <w:color w:val="auto"/>
          <w:kern w:val="2"/>
          <w:sz w:val="32"/>
          <w:szCs w:val="32"/>
          <w:highlight w:val="none"/>
          <w:lang w:val="en-US" w:eastAsia="zh-CN"/>
        </w:rPr>
        <w:t>实际</w:t>
      </w:r>
      <w:r>
        <w:rPr>
          <w:rFonts w:hint="default" w:ascii="Times New Roman" w:hAnsi="Times New Roman" w:cs="Times New Roman"/>
          <w:color w:val="auto"/>
          <w:kern w:val="2"/>
          <w:sz w:val="32"/>
          <w:szCs w:val="32"/>
          <w:highlight w:val="none"/>
        </w:rPr>
        <w:t>支出</w:t>
      </w:r>
      <w:r>
        <w:rPr>
          <w:rFonts w:hint="eastAsia" w:ascii="Times New Roman" w:hAnsi="Times New Roman" w:cs="Times New Roman"/>
          <w:color w:val="auto"/>
          <w:szCs w:val="32"/>
          <w:highlight w:val="none"/>
          <w:lang w:val="en-US" w:eastAsia="zh-CN"/>
        </w:rPr>
        <w:t>14144.24万元，预算执行率58.90%。</w:t>
      </w:r>
    </w:p>
    <w:p>
      <w:pPr>
        <w:shd w:val="clear"/>
        <w:spacing w:line="600" w:lineRule="exact"/>
        <w:ind w:firstLine="642" w:firstLineChars="200"/>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w:t>
      </w:r>
      <w:r>
        <w:rPr>
          <w:rFonts w:hint="default" w:ascii="Times New Roman" w:hAnsi="Times New Roman" w:cs="Times New Roman"/>
          <w:b/>
          <w:bCs/>
          <w:color w:val="auto"/>
          <w:highlight w:val="none"/>
          <w:lang w:val="en-US" w:eastAsia="zh-CN"/>
        </w:rPr>
        <w:t>.文物保护专项</w:t>
      </w:r>
    </w:p>
    <w:p>
      <w:pPr>
        <w:shd w:val="clear"/>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2023年度</w:t>
      </w:r>
      <w:r>
        <w:rPr>
          <w:rFonts w:hint="eastAsia" w:ascii="Times New Roman" w:hAnsi="Times New Roman" w:eastAsia="仿宋_GB2312" w:cs="Times New Roman"/>
          <w:color w:val="auto"/>
          <w:sz w:val="32"/>
          <w:szCs w:val="32"/>
          <w:highlight w:val="none"/>
        </w:rPr>
        <w:t>湖南省财政厅共下达省级文物保护专项资金1</w:t>
      </w:r>
      <w:r>
        <w:rPr>
          <w:rFonts w:hint="eastAsia" w:ascii="Times New Roman" w:hAnsi="Times New Roman" w:cs="Times New Roman"/>
          <w:color w:val="auto"/>
          <w:sz w:val="32"/>
          <w:szCs w:val="32"/>
          <w:highlight w:val="none"/>
          <w:lang w:val="en-US" w:eastAsia="zh-CN"/>
        </w:rPr>
        <w:t>1000</w:t>
      </w:r>
      <w:r>
        <w:rPr>
          <w:rFonts w:hint="eastAsia" w:ascii="Times New Roman" w:hAnsi="Times New Roman" w:eastAsia="仿宋_GB2312" w:cs="Times New Roman"/>
          <w:color w:val="auto"/>
          <w:sz w:val="32"/>
          <w:szCs w:val="32"/>
          <w:highlight w:val="none"/>
        </w:rPr>
        <w:t>万元，分别为</w:t>
      </w:r>
      <w:r>
        <w:rPr>
          <w:rFonts w:ascii="Times New Roman" w:hAnsi="Times New Roman" w:eastAsia="仿宋_GB2312" w:cs="Times New Roman"/>
          <w:color w:val="auto"/>
          <w:sz w:val="32"/>
          <w:szCs w:val="32"/>
          <w:highlight w:val="none"/>
        </w:rPr>
        <w:t>《湖南省财政厅关于下达</w:t>
      </w: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省级文物保护专项资金的通知》（湘财文指〔20</w:t>
      </w: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Times New Roman"/>
          <w:color w:val="auto"/>
          <w:sz w:val="32"/>
          <w:szCs w:val="32"/>
          <w:highlight w:val="none"/>
        </w:rPr>
        <w:t>号</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9</w:t>
      </w:r>
      <w:r>
        <w:rPr>
          <w:rFonts w:hint="eastAsia" w:ascii="Times New Roman" w:hAnsi="Times New Roman" w:eastAsia="仿宋_GB2312" w:cs="Times New Roman"/>
          <w:color w:val="auto"/>
          <w:sz w:val="32"/>
          <w:szCs w:val="32"/>
          <w:highlight w:val="none"/>
          <w:lang w:val="en-US" w:eastAsia="zh-CN"/>
        </w:rPr>
        <w:t>813</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《湖南省财政厅关于下达</w:t>
      </w: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rPr>
        <w:t>省级文物保护专项资金的通知》（湘财文指〔20</w:t>
      </w: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48</w:t>
      </w:r>
      <w:r>
        <w:rPr>
          <w:rFonts w:hint="eastAsia" w:ascii="Times New Roman" w:hAnsi="Times New Roman" w:eastAsia="仿宋_GB2312" w:cs="Times New Roman"/>
          <w:color w:val="auto"/>
          <w:sz w:val="32"/>
          <w:szCs w:val="32"/>
          <w:highlight w:val="none"/>
        </w:rPr>
        <w:t>号</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947</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w:t>
      </w:r>
    </w:p>
    <w:p>
      <w:pPr>
        <w:shd w:val="clear"/>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w:t>
      </w:r>
      <w:r>
        <w:rPr>
          <w:rFonts w:hint="eastAsia" w:ascii="Times New Roman" w:hAnsi="Times New Roman" w:eastAsia="仿宋_GB2312" w:cs="Times New Roman"/>
          <w:color w:val="auto"/>
          <w:sz w:val="32"/>
          <w:szCs w:val="32"/>
          <w:highlight w:val="none"/>
        </w:rPr>
        <w:t>专项资金</w:t>
      </w:r>
      <w:r>
        <w:rPr>
          <w:rFonts w:hint="eastAsia" w:ascii="Times New Roman" w:hAnsi="Times New Roman" w:eastAsia="仿宋_GB2312" w:cs="Times New Roman"/>
          <w:color w:val="auto"/>
          <w:sz w:val="32"/>
          <w:szCs w:val="32"/>
          <w:highlight w:val="none"/>
          <w:lang w:val="en-US" w:eastAsia="zh-CN"/>
        </w:rPr>
        <w:t>涵盖</w:t>
      </w:r>
      <w:r>
        <w:rPr>
          <w:rFonts w:hint="eastAsia" w:ascii="Times New Roman" w:hAnsi="Times New Roman" w:eastAsia="仿宋_GB2312" w:cs="Times New Roman"/>
          <w:color w:val="auto"/>
          <w:sz w:val="32"/>
          <w:szCs w:val="32"/>
          <w:highlight w:val="none"/>
        </w:rPr>
        <w:t>湖南省14个地州</w:t>
      </w:r>
      <w:r>
        <w:rPr>
          <w:rFonts w:hint="eastAsia" w:ascii="Times New Roman" w:hAnsi="Times New Roman" w:eastAsia="仿宋_GB2312" w:cs="Times New Roman"/>
          <w:color w:val="auto"/>
          <w:sz w:val="32"/>
          <w:szCs w:val="32"/>
          <w:highlight w:val="none"/>
          <w:lang w:val="en-US" w:eastAsia="zh-CN"/>
        </w:rPr>
        <w:t>市及省文物考古研究院等4家单位12</w:t>
      </w:r>
      <w:r>
        <w:rPr>
          <w:rFonts w:hint="eastAsia" w:ascii="Times New Roman" w:hAnsi="Times New Roman"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个项目，</w:t>
      </w:r>
      <w:r>
        <w:rPr>
          <w:rFonts w:hint="eastAsia" w:ascii="Times New Roman" w:hAnsi="Times New Roman" w:eastAsia="仿宋_GB2312" w:cs="Times New Roman"/>
          <w:color w:val="auto"/>
          <w:sz w:val="32"/>
          <w:szCs w:val="32"/>
          <w:highlight w:val="none"/>
          <w:lang w:val="en-US" w:eastAsia="zh-CN"/>
        </w:rPr>
        <w:t>其中省级支出1</w:t>
      </w:r>
      <w:r>
        <w:rPr>
          <w:rFonts w:hint="eastAsia" w:ascii="Times New Roman" w:hAnsi="Times New Roman" w:cs="Times New Roman"/>
          <w:color w:val="auto"/>
          <w:sz w:val="32"/>
          <w:szCs w:val="32"/>
          <w:highlight w:val="none"/>
          <w:lang w:val="en-US" w:eastAsia="zh-CN"/>
        </w:rPr>
        <w:t>41</w:t>
      </w:r>
      <w:r>
        <w:rPr>
          <w:rFonts w:hint="eastAsia" w:ascii="Times New Roman" w:hAnsi="Times New Roman" w:eastAsia="仿宋_GB2312" w:cs="Times New Roman"/>
          <w:color w:val="auto"/>
          <w:sz w:val="32"/>
          <w:szCs w:val="32"/>
          <w:highlight w:val="none"/>
          <w:lang w:val="en-US" w:eastAsia="zh-CN"/>
        </w:rPr>
        <w:t>7万元，对下转移支付9583万元。具体列示如下：</w:t>
      </w:r>
    </w:p>
    <w:p>
      <w:pPr>
        <w:pStyle w:val="7"/>
        <w:shd w:val="clear"/>
        <w:jc w:val="right"/>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24"/>
          <w:szCs w:val="24"/>
          <w:highlight w:val="none"/>
          <w:lang w:val="en-US" w:eastAsia="zh-CN"/>
        </w:rPr>
        <w:t>单位：万元</w:t>
      </w:r>
    </w:p>
    <w:tbl>
      <w:tblPr>
        <w:tblStyle w:val="23"/>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3936"/>
        <w:gridCol w:w="949"/>
        <w:gridCol w:w="112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1" w:type="dxa"/>
            <w:noWrap w:val="0"/>
            <w:vAlign w:val="center"/>
          </w:tcPr>
          <w:p>
            <w:pPr>
              <w:widowControl/>
              <w:shd w:val="clear"/>
              <w:spacing w:line="240" w:lineRule="auto"/>
              <w:ind w:firstLine="0" w:firstLineChars="0"/>
              <w:jc w:val="center"/>
              <w:textAlignment w:val="center"/>
              <w:rPr>
                <w:rFonts w:hint="eastAsia" w:ascii="Times New Roman" w:hAnsi="Times New Roman" w:eastAsia="仿宋_GB2312" w:cs="Times New Roman"/>
                <w:b/>
                <w:color w:val="auto"/>
                <w:kern w:val="0"/>
                <w:sz w:val="21"/>
                <w:szCs w:val="21"/>
                <w:highlight w:val="none"/>
                <w:lang w:val="en-US" w:eastAsia="zh-CN"/>
              </w:rPr>
            </w:pPr>
            <w:r>
              <w:rPr>
                <w:rFonts w:hint="eastAsia" w:ascii="Times New Roman" w:hAnsi="Times New Roman" w:eastAsia="仿宋_GB2312" w:cs="Times New Roman"/>
                <w:b/>
                <w:color w:val="auto"/>
                <w:kern w:val="0"/>
                <w:sz w:val="21"/>
                <w:szCs w:val="21"/>
                <w:highlight w:val="none"/>
                <w:lang w:val="en-US" w:eastAsia="zh-CN"/>
              </w:rPr>
              <w:t>序号</w:t>
            </w:r>
          </w:p>
        </w:tc>
        <w:tc>
          <w:tcPr>
            <w:tcW w:w="3936" w:type="dxa"/>
            <w:noWrap w:val="0"/>
            <w:vAlign w:val="center"/>
          </w:tcPr>
          <w:p>
            <w:pPr>
              <w:widowControl/>
              <w:shd w:val="clear"/>
              <w:spacing w:line="240" w:lineRule="auto"/>
              <w:ind w:firstLine="0" w:firstLineChars="0"/>
              <w:jc w:val="center"/>
              <w:textAlignment w:val="center"/>
              <w:rPr>
                <w:rFonts w:hint="eastAsia" w:ascii="Times New Roman" w:hAnsi="Times New Roman" w:eastAsia="仿宋_GB2312" w:cs="Times New Roman"/>
                <w:b/>
                <w:color w:val="auto"/>
                <w:kern w:val="0"/>
                <w:sz w:val="21"/>
                <w:szCs w:val="21"/>
                <w:highlight w:val="none"/>
                <w:lang w:val="en-US" w:eastAsia="zh-CN"/>
              </w:rPr>
            </w:pPr>
            <w:r>
              <w:rPr>
                <w:rFonts w:hint="eastAsia" w:ascii="Times New Roman" w:hAnsi="Times New Roman" w:eastAsia="仿宋_GB2312" w:cs="Times New Roman"/>
                <w:b/>
                <w:color w:val="auto"/>
                <w:kern w:val="0"/>
                <w:sz w:val="21"/>
                <w:szCs w:val="21"/>
                <w:highlight w:val="none"/>
                <w:lang w:val="en-US" w:eastAsia="zh-CN"/>
              </w:rPr>
              <w:t>支持方向</w:t>
            </w:r>
          </w:p>
        </w:tc>
        <w:tc>
          <w:tcPr>
            <w:tcW w:w="949" w:type="dxa"/>
            <w:noWrap w:val="0"/>
            <w:vAlign w:val="center"/>
          </w:tcPr>
          <w:p>
            <w:pPr>
              <w:widowControl/>
              <w:shd w:val="clear"/>
              <w:spacing w:line="240" w:lineRule="auto"/>
              <w:ind w:firstLine="0" w:firstLineChars="0"/>
              <w:jc w:val="center"/>
              <w:textAlignment w:val="center"/>
              <w:rPr>
                <w:rFonts w:hint="eastAsia" w:ascii="Times New Roman" w:hAnsi="Times New Roman" w:eastAsia="仿宋_GB2312" w:cs="Times New Roman"/>
                <w:b/>
                <w:color w:val="auto"/>
                <w:kern w:val="0"/>
                <w:sz w:val="21"/>
                <w:szCs w:val="21"/>
                <w:highlight w:val="none"/>
                <w:lang w:val="en-US" w:eastAsia="zh-CN"/>
              </w:rPr>
            </w:pPr>
            <w:r>
              <w:rPr>
                <w:rFonts w:hint="eastAsia" w:ascii="Times New Roman" w:hAnsi="Times New Roman" w:eastAsia="仿宋_GB2312" w:cs="Times New Roman"/>
                <w:b/>
                <w:color w:val="auto"/>
                <w:kern w:val="0"/>
                <w:sz w:val="21"/>
                <w:szCs w:val="21"/>
                <w:highlight w:val="none"/>
                <w:lang w:val="en-US" w:eastAsia="zh-CN"/>
              </w:rPr>
              <w:t>项目数</w:t>
            </w:r>
          </w:p>
        </w:tc>
        <w:tc>
          <w:tcPr>
            <w:tcW w:w="1121" w:type="dxa"/>
            <w:noWrap w:val="0"/>
            <w:vAlign w:val="center"/>
          </w:tcPr>
          <w:p>
            <w:pPr>
              <w:widowControl/>
              <w:shd w:val="clear"/>
              <w:spacing w:line="240" w:lineRule="auto"/>
              <w:ind w:firstLine="0" w:firstLineChars="0"/>
              <w:jc w:val="center"/>
              <w:textAlignment w:val="center"/>
              <w:rPr>
                <w:rFonts w:hint="eastAsia" w:ascii="Times New Roman" w:hAnsi="Times New Roman" w:eastAsia="仿宋_GB2312" w:cs="Times New Roman"/>
                <w:b/>
                <w:color w:val="auto"/>
                <w:kern w:val="0"/>
                <w:sz w:val="21"/>
                <w:szCs w:val="21"/>
                <w:highlight w:val="none"/>
                <w:lang w:val="en-US" w:eastAsia="zh-CN"/>
              </w:rPr>
            </w:pPr>
            <w:r>
              <w:rPr>
                <w:rFonts w:hint="eastAsia" w:ascii="Times New Roman" w:hAnsi="Times New Roman" w:eastAsia="仿宋_GB2312" w:cs="Times New Roman"/>
                <w:b/>
                <w:color w:val="auto"/>
                <w:kern w:val="0"/>
                <w:sz w:val="21"/>
                <w:szCs w:val="21"/>
                <w:highlight w:val="none"/>
                <w:lang w:val="en-US" w:eastAsia="zh-CN"/>
              </w:rPr>
              <w:t>金额</w:t>
            </w:r>
          </w:p>
        </w:tc>
        <w:tc>
          <w:tcPr>
            <w:tcW w:w="1917"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b/>
                <w:color w:val="auto"/>
                <w:kern w:val="0"/>
                <w:sz w:val="21"/>
                <w:szCs w:val="21"/>
                <w:highlight w:val="none"/>
                <w:lang w:val="en-US" w:eastAsia="zh-CN"/>
              </w:rPr>
            </w:pPr>
            <w:r>
              <w:rPr>
                <w:rFonts w:hint="eastAsia" w:ascii="Times New Roman" w:hAnsi="Times New Roman" w:eastAsia="仿宋_GB2312" w:cs="Times New Roman"/>
                <w:b/>
                <w:color w:val="auto"/>
                <w:kern w:val="0"/>
                <w:sz w:val="21"/>
                <w:szCs w:val="21"/>
                <w:highlight w:val="none"/>
                <w:lang w:val="en-US" w:eastAsia="zh-CN"/>
              </w:rPr>
              <w:t>地域分布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p>
        </w:tc>
        <w:tc>
          <w:tcPr>
            <w:tcW w:w="3936" w:type="dxa"/>
            <w:noWrap w:val="0"/>
            <w:vAlign w:val="top"/>
          </w:tcPr>
          <w:p>
            <w:pPr>
              <w:widowControl/>
              <w:shd w:val="clear"/>
              <w:spacing w:line="240" w:lineRule="auto"/>
              <w:ind w:firstLine="0" w:firstLineChars="0"/>
              <w:jc w:val="left"/>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古迹遗址类文物保护</w:t>
            </w:r>
          </w:p>
        </w:tc>
        <w:tc>
          <w:tcPr>
            <w:tcW w:w="949"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34</w:t>
            </w:r>
          </w:p>
        </w:tc>
        <w:tc>
          <w:tcPr>
            <w:tcW w:w="1121"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4482</w:t>
            </w:r>
          </w:p>
        </w:tc>
        <w:tc>
          <w:tcPr>
            <w:tcW w:w="1917"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省直及11市州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3936" w:type="dxa"/>
            <w:noWrap w:val="0"/>
            <w:vAlign w:val="top"/>
          </w:tcPr>
          <w:p>
            <w:pPr>
              <w:widowControl/>
              <w:shd w:val="clear"/>
              <w:spacing w:line="240" w:lineRule="auto"/>
              <w:ind w:firstLine="0" w:firstLineChars="0"/>
              <w:jc w:val="left"/>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近现代文物（重点含革命文物）保护</w:t>
            </w:r>
          </w:p>
        </w:tc>
        <w:tc>
          <w:tcPr>
            <w:tcW w:w="949"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47</w:t>
            </w:r>
          </w:p>
        </w:tc>
        <w:tc>
          <w:tcPr>
            <w:tcW w:w="1121"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3451</w:t>
            </w:r>
          </w:p>
        </w:tc>
        <w:tc>
          <w:tcPr>
            <w:tcW w:w="1917"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12市州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3936" w:type="dxa"/>
            <w:noWrap w:val="0"/>
            <w:vAlign w:val="top"/>
          </w:tcPr>
          <w:p>
            <w:pPr>
              <w:widowControl/>
              <w:shd w:val="clear"/>
              <w:spacing w:line="240" w:lineRule="auto"/>
              <w:ind w:firstLine="0" w:firstLineChars="0"/>
              <w:jc w:val="left"/>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安防、消防和防雷设施建设及提质提升改造</w:t>
            </w:r>
          </w:p>
        </w:tc>
        <w:tc>
          <w:tcPr>
            <w:tcW w:w="949"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21</w:t>
            </w:r>
          </w:p>
        </w:tc>
        <w:tc>
          <w:tcPr>
            <w:tcW w:w="1121"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1596</w:t>
            </w:r>
          </w:p>
        </w:tc>
        <w:tc>
          <w:tcPr>
            <w:tcW w:w="1917" w:type="dxa"/>
            <w:noWrap w:val="0"/>
            <w:vAlign w:val="center"/>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省直及10市州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w:t>
            </w:r>
          </w:p>
        </w:tc>
        <w:tc>
          <w:tcPr>
            <w:tcW w:w="3936" w:type="dxa"/>
            <w:noWrap w:val="0"/>
            <w:vAlign w:val="top"/>
          </w:tcPr>
          <w:p>
            <w:pPr>
              <w:widowControl/>
              <w:shd w:val="clear"/>
              <w:spacing w:line="240" w:lineRule="auto"/>
              <w:ind w:firstLine="0" w:firstLineChars="0"/>
              <w:jc w:val="left"/>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考古调查、勘探</w:t>
            </w:r>
          </w:p>
        </w:tc>
        <w:tc>
          <w:tcPr>
            <w:tcW w:w="949"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w:t>
            </w:r>
          </w:p>
        </w:tc>
        <w:tc>
          <w:tcPr>
            <w:tcW w:w="1121"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134</w:t>
            </w:r>
          </w:p>
        </w:tc>
        <w:tc>
          <w:tcPr>
            <w:tcW w:w="1917" w:type="dxa"/>
            <w:noWrap w:val="0"/>
            <w:vAlign w:val="center"/>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省直及2市州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5</w:t>
            </w:r>
          </w:p>
        </w:tc>
        <w:tc>
          <w:tcPr>
            <w:tcW w:w="3936" w:type="dxa"/>
            <w:noWrap w:val="0"/>
            <w:vAlign w:val="top"/>
          </w:tcPr>
          <w:p>
            <w:pPr>
              <w:widowControl/>
              <w:shd w:val="clear"/>
              <w:spacing w:line="240" w:lineRule="auto"/>
              <w:ind w:firstLine="0" w:firstLineChars="0"/>
              <w:jc w:val="left"/>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馆藏（可移动）珍贵文物保护</w:t>
            </w:r>
          </w:p>
        </w:tc>
        <w:tc>
          <w:tcPr>
            <w:tcW w:w="949"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16</w:t>
            </w:r>
          </w:p>
        </w:tc>
        <w:tc>
          <w:tcPr>
            <w:tcW w:w="1121"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1026</w:t>
            </w:r>
          </w:p>
        </w:tc>
        <w:tc>
          <w:tcPr>
            <w:tcW w:w="1917"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省直及9市州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6</w:t>
            </w:r>
          </w:p>
        </w:tc>
        <w:tc>
          <w:tcPr>
            <w:tcW w:w="3936" w:type="dxa"/>
            <w:noWrap w:val="0"/>
            <w:vAlign w:val="top"/>
          </w:tcPr>
          <w:p>
            <w:pPr>
              <w:widowControl/>
              <w:shd w:val="clear"/>
              <w:spacing w:line="240" w:lineRule="auto"/>
              <w:ind w:firstLine="0" w:firstLineChars="0"/>
              <w:jc w:val="left"/>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其它</w:t>
            </w:r>
          </w:p>
        </w:tc>
        <w:tc>
          <w:tcPr>
            <w:tcW w:w="949"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2</w:t>
            </w:r>
          </w:p>
        </w:tc>
        <w:tc>
          <w:tcPr>
            <w:tcW w:w="1121"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71</w:t>
            </w:r>
          </w:p>
        </w:tc>
        <w:tc>
          <w:tcPr>
            <w:tcW w:w="1917"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省直及娄底市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noWrap w:val="0"/>
            <w:vAlign w:val="top"/>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7</w:t>
            </w:r>
          </w:p>
        </w:tc>
        <w:tc>
          <w:tcPr>
            <w:tcW w:w="3936" w:type="dxa"/>
            <w:noWrap w:val="0"/>
            <w:vAlign w:val="top"/>
          </w:tcPr>
          <w:p>
            <w:pPr>
              <w:widowControl/>
              <w:shd w:val="clear"/>
              <w:spacing w:line="240" w:lineRule="auto"/>
              <w:ind w:firstLine="0" w:firstLineChars="0"/>
              <w:jc w:val="left"/>
              <w:textAlignment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文物执法检查和文物鉴定</w:t>
            </w:r>
          </w:p>
        </w:tc>
        <w:tc>
          <w:tcPr>
            <w:tcW w:w="949"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w:t>
            </w:r>
          </w:p>
        </w:tc>
        <w:tc>
          <w:tcPr>
            <w:tcW w:w="1121" w:type="dxa"/>
            <w:noWrap w:val="0"/>
            <w:vAlign w:val="center"/>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240</w:t>
            </w:r>
          </w:p>
        </w:tc>
        <w:tc>
          <w:tcPr>
            <w:tcW w:w="1917" w:type="dxa"/>
            <w:noWrap w:val="0"/>
            <w:vAlign w:val="center"/>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687" w:type="dxa"/>
            <w:gridSpan w:val="2"/>
            <w:noWrap w:val="0"/>
            <w:vAlign w:val="top"/>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  计</w:t>
            </w:r>
          </w:p>
        </w:tc>
        <w:tc>
          <w:tcPr>
            <w:tcW w:w="949" w:type="dxa"/>
            <w:noWrap w:val="0"/>
            <w:vAlign w:val="top"/>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12</w:t>
            </w:r>
            <w:r>
              <w:rPr>
                <w:rFonts w:hint="eastAsia" w:ascii="Times New Roman" w:hAnsi="Times New Roman" w:cs="Times New Roman"/>
                <w:color w:val="auto"/>
                <w:kern w:val="0"/>
                <w:sz w:val="21"/>
                <w:szCs w:val="21"/>
                <w:highlight w:val="none"/>
                <w:lang w:val="en-US" w:eastAsia="zh-CN"/>
              </w:rPr>
              <w:t>5</w:t>
            </w:r>
          </w:p>
        </w:tc>
        <w:tc>
          <w:tcPr>
            <w:tcW w:w="1121" w:type="dxa"/>
            <w:noWrap w:val="0"/>
            <w:vAlign w:val="top"/>
          </w:tcPr>
          <w:p>
            <w:pPr>
              <w:widowControl/>
              <w:shd w:val="clea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1</w:t>
            </w:r>
            <w:r>
              <w:rPr>
                <w:rFonts w:hint="eastAsia" w:ascii="Times New Roman" w:hAnsi="Times New Roman" w:cs="Times New Roman"/>
                <w:color w:val="auto"/>
                <w:kern w:val="0"/>
                <w:sz w:val="21"/>
                <w:szCs w:val="21"/>
                <w:highlight w:val="none"/>
                <w:lang w:val="en-US" w:eastAsia="zh-CN"/>
              </w:rPr>
              <w:t>1000</w:t>
            </w:r>
          </w:p>
        </w:tc>
        <w:tc>
          <w:tcPr>
            <w:tcW w:w="1917" w:type="dxa"/>
            <w:noWrap w:val="0"/>
            <w:vAlign w:val="top"/>
          </w:tcPr>
          <w:p>
            <w:pPr>
              <w:widowControl/>
              <w:shd w:val="clear"/>
              <w:spacing w:line="240" w:lineRule="auto"/>
              <w:ind w:firstLine="0" w:firstLineChars="0"/>
              <w:jc w:val="center"/>
              <w:textAlignment w:val="center"/>
              <w:rPr>
                <w:rFonts w:hint="eastAsia" w:ascii="Times New Roman" w:hAnsi="Times New Roman" w:eastAsia="仿宋_GB2312" w:cs="Times New Roman"/>
                <w:color w:val="auto"/>
                <w:kern w:val="0"/>
                <w:sz w:val="21"/>
                <w:szCs w:val="21"/>
                <w:highlight w:val="none"/>
                <w:lang w:val="en-US" w:eastAsia="zh-CN"/>
              </w:rPr>
            </w:pPr>
          </w:p>
        </w:tc>
      </w:tr>
    </w:tbl>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eastAsia"/>
          <w:color w:val="auto"/>
          <w:sz w:val="32"/>
          <w:szCs w:val="32"/>
          <w:highlight w:val="none"/>
          <w:lang w:val="en-US" w:eastAsia="zh-CN"/>
        </w:rPr>
        <w:t>截至</w:t>
      </w:r>
      <w:r>
        <w:rPr>
          <w:rFonts w:hint="eastAsia" w:ascii="Times New Roman" w:hAnsi="Times New Roman" w:cs="Times New Roman"/>
          <w:color w:val="auto"/>
          <w:highlight w:val="none"/>
          <w:lang w:val="en-US" w:eastAsia="zh-CN"/>
        </w:rPr>
        <w:t>2024年5月10日，2023</w:t>
      </w:r>
      <w:r>
        <w:rPr>
          <w:rFonts w:hint="eastAsia" w:eastAsia="仿宋_GB2312"/>
          <w:color w:val="auto"/>
          <w:sz w:val="32"/>
          <w:szCs w:val="32"/>
          <w:highlight w:val="none"/>
          <w:lang w:eastAsia="zh-CN"/>
        </w:rPr>
        <w:t>年度</w:t>
      </w:r>
      <w:r>
        <w:rPr>
          <w:rFonts w:eastAsia="仿宋_GB2312"/>
          <w:color w:val="auto"/>
          <w:sz w:val="32"/>
          <w:szCs w:val="32"/>
          <w:highlight w:val="none"/>
        </w:rPr>
        <w:t>省级文物保护专项资金已</w:t>
      </w:r>
      <w:r>
        <w:rPr>
          <w:rFonts w:hint="eastAsia" w:eastAsia="仿宋_GB2312"/>
          <w:color w:val="auto"/>
          <w:sz w:val="32"/>
          <w:szCs w:val="32"/>
          <w:highlight w:val="none"/>
          <w:lang w:val="en-US" w:eastAsia="zh-CN"/>
        </w:rPr>
        <w:t>实际支付</w:t>
      </w:r>
      <w:r>
        <w:rPr>
          <w:rFonts w:hint="eastAsia" w:ascii="Times New Roman" w:hAnsi="Times New Roman" w:cs="Times New Roman"/>
          <w:color w:val="auto"/>
          <w:highlight w:val="none"/>
          <w:lang w:val="en-US" w:eastAsia="zh-CN"/>
        </w:rPr>
        <w:t>4,564.80</w:t>
      </w:r>
      <w:r>
        <w:rPr>
          <w:rFonts w:eastAsia="仿宋_GB2312"/>
          <w:color w:val="auto"/>
          <w:sz w:val="32"/>
          <w:szCs w:val="32"/>
          <w:highlight w:val="none"/>
        </w:rPr>
        <w:t>万元，</w:t>
      </w:r>
      <w:r>
        <w:rPr>
          <w:rFonts w:hint="eastAsia" w:eastAsia="仿宋_GB2312"/>
          <w:color w:val="auto"/>
          <w:sz w:val="32"/>
          <w:szCs w:val="32"/>
          <w:highlight w:val="none"/>
          <w:lang w:val="en-US" w:eastAsia="zh-CN"/>
        </w:rPr>
        <w:t>预算执行率</w:t>
      </w:r>
      <w:r>
        <w:rPr>
          <w:rFonts w:hint="eastAsia" w:ascii="Times New Roman" w:hAnsi="Times New Roman" w:cs="Times New Roman"/>
          <w:color w:val="auto"/>
          <w:highlight w:val="none"/>
          <w:lang w:val="en-US" w:eastAsia="zh-CN"/>
        </w:rPr>
        <w:t>41.50</w:t>
      </w:r>
      <w:r>
        <w:rPr>
          <w:rFonts w:hint="eastAsia" w:eastAsia="仿宋_GB2312"/>
          <w:color w:val="auto"/>
          <w:sz w:val="32"/>
          <w:szCs w:val="32"/>
          <w:highlight w:val="none"/>
          <w:lang w:val="en-US" w:eastAsia="zh-CN"/>
        </w:rPr>
        <w:t>%。</w:t>
      </w:r>
    </w:p>
    <w:p>
      <w:pPr>
        <w:pStyle w:val="3"/>
        <w:shd w:val="clear"/>
        <w:bidi w:val="0"/>
        <w:rPr>
          <w:rFonts w:hint="default" w:ascii="Times New Roman" w:hAnsi="Times New Roman" w:cs="Times New Roman"/>
          <w:color w:val="auto"/>
          <w:highlight w:val="none"/>
          <w:lang w:val="en-US" w:eastAsia="zh-CN"/>
        </w:rPr>
      </w:pPr>
      <w:bookmarkStart w:id="24" w:name="_Toc30116"/>
      <w:r>
        <w:rPr>
          <w:rFonts w:hint="default" w:ascii="Times New Roman" w:hAnsi="Times New Roman" w:cs="Times New Roman"/>
          <w:color w:val="auto"/>
          <w:highlight w:val="none"/>
          <w:lang w:val="en-US" w:eastAsia="zh-CN"/>
        </w:rPr>
        <w:t>（四）</w:t>
      </w:r>
      <w:r>
        <w:rPr>
          <w:rFonts w:hint="eastAsia" w:ascii="Times New Roman" w:hAnsi="Times New Roman" w:cs="Times New Roman"/>
          <w:color w:val="auto"/>
          <w:highlight w:val="none"/>
          <w:lang w:val="en-US" w:eastAsia="zh-CN"/>
        </w:rPr>
        <w:t>厅系统</w:t>
      </w:r>
      <w:r>
        <w:rPr>
          <w:rFonts w:hint="default" w:ascii="Times New Roman" w:hAnsi="Times New Roman" w:cs="Times New Roman"/>
          <w:color w:val="auto"/>
          <w:highlight w:val="none"/>
          <w:lang w:val="en-US" w:eastAsia="zh-CN"/>
        </w:rPr>
        <w:t>项目资金</w:t>
      </w:r>
      <w:r>
        <w:rPr>
          <w:rFonts w:hint="eastAsia" w:ascii="Times New Roman" w:hAnsi="Times New Roman" w:cs="Times New Roman"/>
          <w:color w:val="auto"/>
          <w:highlight w:val="none"/>
          <w:lang w:val="en-US" w:eastAsia="zh-CN"/>
        </w:rPr>
        <w:t>预算执行</w:t>
      </w:r>
      <w:r>
        <w:rPr>
          <w:rFonts w:hint="default" w:ascii="Times New Roman" w:hAnsi="Times New Roman" w:cs="Times New Roman"/>
          <w:color w:val="auto"/>
          <w:highlight w:val="none"/>
          <w:lang w:val="en-US" w:eastAsia="zh-CN"/>
        </w:rPr>
        <w:t>情况</w:t>
      </w:r>
      <w:bookmarkEnd w:id="24"/>
    </w:p>
    <w:p>
      <w:pPr>
        <w:widowControl/>
        <w:shd w:val="clear"/>
        <w:spacing w:line="560" w:lineRule="exact"/>
        <w:ind w:firstLine="640"/>
        <w:rPr>
          <w:rFonts w:eastAsia="仿宋_GB2312"/>
          <w:color w:val="auto"/>
          <w:sz w:val="32"/>
          <w:szCs w:val="32"/>
          <w:highlight w:val="none"/>
        </w:rPr>
      </w:pPr>
      <w:r>
        <w:rPr>
          <w:rFonts w:hint="eastAsia" w:ascii="Times New Roman" w:hAnsi="Times New Roman" w:cs="Times New Roman"/>
          <w:color w:val="auto"/>
          <w:highlight w:val="none"/>
          <w:lang w:val="en-US" w:eastAsia="zh-CN"/>
        </w:rPr>
        <w:t>2023</w:t>
      </w:r>
      <w:r>
        <w:rPr>
          <w:rFonts w:eastAsia="仿宋_GB2312"/>
          <w:color w:val="auto"/>
          <w:sz w:val="32"/>
          <w:szCs w:val="32"/>
          <w:highlight w:val="none"/>
        </w:rPr>
        <w:t>年</w:t>
      </w:r>
      <w:r>
        <w:rPr>
          <w:rFonts w:hint="eastAsia"/>
          <w:color w:val="auto"/>
          <w:sz w:val="32"/>
          <w:szCs w:val="32"/>
          <w:highlight w:val="none"/>
          <w:lang w:val="en-US" w:eastAsia="zh-CN"/>
        </w:rPr>
        <w:t>度我厅部门整体项目支出全年预算数</w:t>
      </w:r>
      <w:r>
        <w:rPr>
          <w:rFonts w:hint="eastAsia" w:ascii="Times New Roman" w:hAnsi="Times New Roman" w:cs="Times New Roman"/>
          <w:i w:val="0"/>
          <w:iCs w:val="0"/>
          <w:color w:val="auto"/>
          <w:sz w:val="32"/>
          <w:szCs w:val="24"/>
          <w:highlight w:val="none"/>
          <w:u w:val="none"/>
          <w:lang w:val="en-US" w:eastAsia="zh-CN"/>
        </w:rPr>
        <w:t>80,486.15</w:t>
      </w:r>
      <w:r>
        <w:rPr>
          <w:rFonts w:hint="eastAsia"/>
          <w:color w:val="auto"/>
          <w:sz w:val="32"/>
          <w:szCs w:val="32"/>
          <w:highlight w:val="none"/>
          <w:lang w:val="en-US" w:eastAsia="zh-CN"/>
        </w:rPr>
        <w:t>万元，</w:t>
      </w:r>
      <w:r>
        <w:rPr>
          <w:rFonts w:eastAsia="仿宋_GB2312"/>
          <w:color w:val="auto"/>
          <w:sz w:val="32"/>
          <w:szCs w:val="32"/>
          <w:highlight w:val="none"/>
        </w:rPr>
        <w:t>决算支出</w:t>
      </w:r>
      <w:r>
        <w:rPr>
          <w:rFonts w:hint="eastAsia" w:ascii="Times New Roman" w:hAnsi="Times New Roman" w:cs="Times New Roman"/>
          <w:color w:val="auto"/>
          <w:highlight w:val="none"/>
          <w:lang w:val="en-US" w:eastAsia="zh-CN"/>
        </w:rPr>
        <w:t>64</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756</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55</w:t>
      </w:r>
      <w:r>
        <w:rPr>
          <w:rFonts w:eastAsia="仿宋_GB2312"/>
          <w:color w:val="auto"/>
          <w:sz w:val="32"/>
          <w:szCs w:val="32"/>
          <w:highlight w:val="none"/>
        </w:rPr>
        <w:t>万元</w:t>
      </w:r>
      <w:r>
        <w:rPr>
          <w:rFonts w:hint="eastAsia"/>
          <w:color w:val="auto"/>
          <w:sz w:val="32"/>
          <w:szCs w:val="32"/>
          <w:highlight w:val="none"/>
          <w:lang w:eastAsia="zh-CN"/>
        </w:rPr>
        <w:t>，</w:t>
      </w:r>
      <w:r>
        <w:rPr>
          <w:rFonts w:hint="eastAsia"/>
          <w:color w:val="auto"/>
          <w:sz w:val="32"/>
          <w:szCs w:val="32"/>
          <w:highlight w:val="none"/>
          <w:lang w:val="en-US" w:eastAsia="zh-CN"/>
        </w:rPr>
        <w:t>预算执行率为</w:t>
      </w:r>
      <w:r>
        <w:rPr>
          <w:rFonts w:hint="eastAsia" w:ascii="Times New Roman" w:hAnsi="Times New Roman" w:cs="Times New Roman"/>
          <w:color w:val="auto"/>
          <w:highlight w:val="none"/>
          <w:lang w:val="en-US" w:eastAsia="zh-CN"/>
        </w:rPr>
        <w:t>80.46%</w:t>
      </w:r>
      <w:r>
        <w:rPr>
          <w:rFonts w:eastAsia="仿宋_GB2312"/>
          <w:color w:val="auto"/>
          <w:sz w:val="32"/>
          <w:szCs w:val="32"/>
          <w:highlight w:val="none"/>
        </w:rPr>
        <w:t>。</w:t>
      </w:r>
    </w:p>
    <w:p>
      <w:pPr>
        <w:pStyle w:val="4"/>
        <w:shd w:val="clea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1.业务工作专项支出情况</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年度，我厅业务工作专项支出经费</w:t>
      </w:r>
      <w:r>
        <w:rPr>
          <w:rFonts w:hint="eastAsia" w:ascii="Times New Roman" w:hAnsi="Times New Roman" w:cs="Times New Roman"/>
          <w:color w:val="auto"/>
          <w:highlight w:val="none"/>
          <w:lang w:val="en-US" w:eastAsia="zh-CN"/>
        </w:rPr>
        <w:t>全年预算数9,694.90万元（含当年拨款3572.58万元，上年结转466.86万元，其他资金5655.46万元），实际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9,040.19</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，预算执行率为93.25%</w:t>
      </w:r>
      <w:r>
        <w:rPr>
          <w:rFonts w:hint="default" w:ascii="Times New Roman" w:hAnsi="Times New Roman" w:cs="Times New Roman"/>
          <w:color w:val="auto"/>
          <w:highlight w:val="none"/>
          <w:lang w:val="en-US" w:eastAsia="zh-CN"/>
        </w:rPr>
        <w:t>。具体</w:t>
      </w:r>
      <w:r>
        <w:rPr>
          <w:rFonts w:hint="eastAsia" w:ascii="Times New Roman" w:hAnsi="Times New Roman" w:cs="Times New Roman"/>
          <w:color w:val="auto"/>
          <w:highlight w:val="none"/>
          <w:lang w:val="en-US" w:eastAsia="zh-CN"/>
        </w:rPr>
        <w:t>列示如下</w:t>
      </w:r>
      <w:r>
        <w:rPr>
          <w:rFonts w:hint="default" w:ascii="Times New Roman" w:hAnsi="Times New Roman" w:cs="Times New Roman"/>
          <w:color w:val="auto"/>
          <w:highlight w:val="none"/>
          <w:lang w:val="en-US" w:eastAsia="zh-CN"/>
        </w:rPr>
        <w:t>：</w:t>
      </w:r>
    </w:p>
    <w:p>
      <w:pPr>
        <w:pStyle w:val="56"/>
        <w:shd w:val="clear"/>
        <w:jc w:val="right"/>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2"/>
        <w:tblW w:w="49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3235"/>
        <w:gridCol w:w="1755"/>
        <w:gridCol w:w="1450"/>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湖南省文化和旅游厅本级</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val="0"/>
                <w:bCs w:val="0"/>
                <w:i w:val="0"/>
                <w:iCs w:val="0"/>
                <w:color w:val="auto"/>
                <w:kern w:val="0"/>
                <w:sz w:val="20"/>
                <w:szCs w:val="20"/>
                <w:highlight w:val="none"/>
                <w:u w:val="none"/>
                <w:lang w:val="en-US" w:eastAsia="zh-CN" w:bidi="ar"/>
              </w:rPr>
            </w:pPr>
            <w:r>
              <w:rPr>
                <w:rFonts w:hint="eastAsia" w:ascii="Times New Roman" w:hAnsi="Times New Roman" w:eastAsia="仿宋" w:cs="Times New Roman"/>
                <w:b w:val="0"/>
                <w:bCs w:val="0"/>
                <w:i w:val="0"/>
                <w:iCs w:val="0"/>
                <w:color w:val="auto"/>
                <w:kern w:val="0"/>
                <w:sz w:val="20"/>
                <w:szCs w:val="20"/>
                <w:highlight w:val="none"/>
                <w:u w:val="none"/>
                <w:lang w:val="en-US" w:eastAsia="zh-CN" w:bidi="ar"/>
              </w:rPr>
              <w:t>1126.14</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val="0"/>
                <w:bCs w:val="0"/>
                <w:i w:val="0"/>
                <w:iCs w:val="0"/>
                <w:color w:val="auto"/>
                <w:kern w:val="0"/>
                <w:sz w:val="20"/>
                <w:szCs w:val="20"/>
                <w:highlight w:val="none"/>
                <w:u w:val="none"/>
                <w:lang w:val="en-US" w:eastAsia="zh-CN" w:bidi="ar"/>
              </w:rPr>
            </w:pPr>
            <w:r>
              <w:rPr>
                <w:rFonts w:hint="eastAsia" w:ascii="Times New Roman" w:hAnsi="Times New Roman" w:eastAsia="仿宋" w:cs="Times New Roman"/>
                <w:b w:val="0"/>
                <w:bCs w:val="0"/>
                <w:i w:val="0"/>
                <w:iCs w:val="0"/>
                <w:color w:val="auto"/>
                <w:kern w:val="0"/>
                <w:sz w:val="20"/>
                <w:szCs w:val="20"/>
                <w:highlight w:val="none"/>
                <w:u w:val="none"/>
                <w:lang w:val="en-US" w:eastAsia="zh-CN" w:bidi="ar"/>
              </w:rPr>
              <w:t>951.42</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val="0"/>
                <w:bCs w:val="0"/>
                <w:i w:val="0"/>
                <w:iCs w:val="0"/>
                <w:color w:val="auto"/>
                <w:kern w:val="0"/>
                <w:sz w:val="20"/>
                <w:szCs w:val="20"/>
                <w:highlight w:val="none"/>
                <w:u w:val="none"/>
                <w:lang w:val="en-US" w:eastAsia="zh-CN" w:bidi="ar"/>
              </w:rPr>
            </w:pPr>
            <w:r>
              <w:rPr>
                <w:rFonts w:hint="eastAsia" w:ascii="Times New Roman" w:hAnsi="Times New Roman" w:eastAsia="仿宋" w:cs="Times New Roman"/>
                <w:b w:val="0"/>
                <w:bCs w:val="0"/>
                <w:i w:val="0"/>
                <w:iCs w:val="0"/>
                <w:color w:val="auto"/>
                <w:kern w:val="0"/>
                <w:sz w:val="20"/>
                <w:szCs w:val="20"/>
                <w:highlight w:val="none"/>
                <w:u w:val="none"/>
                <w:lang w:val="en-US" w:eastAsia="zh-CN" w:bidi="ar"/>
              </w:rPr>
              <w:t>84.49%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1232.00</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1222.68</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省文化馆</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420.62</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402.61</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377.91</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326.85</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省艺术研究院</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186.58</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186.58</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省花鼓戏保护传承中心</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15.11</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15.11</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省木偶皮影艺术保护传承中心</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98.24</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96.51</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8</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省京剧保护传承中心</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9.57</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5.76</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9</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w:t>
            </w:r>
            <w:r>
              <w:rPr>
                <w:rFonts w:hint="default" w:ascii="Times New Roman" w:hAnsi="Times New Roman" w:eastAsia="仿宋" w:cs="Times New Roman"/>
                <w:b w:val="0"/>
                <w:bCs w:val="0"/>
                <w:i w:val="0"/>
                <w:iCs w:val="0"/>
                <w:color w:val="auto"/>
                <w:kern w:val="0"/>
                <w:sz w:val="22"/>
                <w:szCs w:val="22"/>
                <w:highlight w:val="none"/>
                <w:u w:val="none"/>
                <w:lang w:val="en-US" w:eastAsia="zh-CN" w:bidi="ar"/>
              </w:rPr>
              <w:t>博物院</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1173.08</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823.94</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70.24%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10</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省文物考古研究院</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3272.53</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3225.81</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4"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11</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省文物局</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0.47</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0.27</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12</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省文化资源开发服务中心</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1627.94</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1627.94</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w:t>
            </w:r>
            <w:r>
              <w:rPr>
                <w:rFonts w:hint="eastAsia" w:ascii="Times New Roman" w:hAnsi="Times New Roman" w:eastAsia="宋体" w:cs="Times New Roman"/>
                <w:i w:val="0"/>
                <w:iCs w:val="0"/>
                <w:color w:val="auto"/>
                <w:kern w:val="0"/>
                <w:sz w:val="20"/>
                <w:szCs w:val="20"/>
                <w:highlight w:val="none"/>
                <w:u w:val="none"/>
                <w:lang w:val="en-US" w:eastAsia="zh-CN" w:bidi="ar"/>
              </w:rPr>
              <w:t>00.00</w:t>
            </w:r>
            <w:r>
              <w:rPr>
                <w:rFonts w:hint="default" w:ascii="Times New Roman" w:hAnsi="Times New Roman" w:eastAsia="宋体" w:cs="Times New Roman"/>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13</w:t>
            </w:r>
          </w:p>
        </w:tc>
        <w:tc>
          <w:tcPr>
            <w:tcW w:w="1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省导服中心</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154.71</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154.71</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9,694</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Fonts w:hint="eastAsia" w:ascii="Times New Roman" w:hAnsi="Times New Roman" w:eastAsia="宋体" w:cs="Times New Roman"/>
                <w:b/>
                <w:bCs/>
                <w:i w:val="0"/>
                <w:iCs w:val="0"/>
                <w:color w:val="auto"/>
                <w:kern w:val="0"/>
                <w:sz w:val="20"/>
                <w:szCs w:val="20"/>
                <w:highlight w:val="none"/>
                <w:u w:val="none"/>
                <w:lang w:val="en-US" w:eastAsia="zh-CN" w:bidi="ar"/>
              </w:rPr>
              <w:t>90</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9,040</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Fonts w:hint="eastAsia" w:ascii="Times New Roman" w:hAnsi="Times New Roman" w:eastAsia="宋体" w:cs="Times New Roman"/>
                <w:b/>
                <w:bCs/>
                <w:i w:val="0"/>
                <w:iCs w:val="0"/>
                <w:color w:val="auto"/>
                <w:kern w:val="0"/>
                <w:sz w:val="20"/>
                <w:szCs w:val="20"/>
                <w:highlight w:val="none"/>
                <w:u w:val="none"/>
                <w:lang w:val="en-US" w:eastAsia="zh-CN" w:bidi="ar"/>
              </w:rPr>
              <w:t>19</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93.25</w:t>
            </w:r>
            <w:r>
              <w:rPr>
                <w:rFonts w:hint="default" w:ascii="Times New Roman" w:hAnsi="Times New Roman" w:eastAsia="宋体" w:cs="Times New Roman"/>
                <w:b/>
                <w:bCs/>
                <w:i w:val="0"/>
                <w:iCs w:val="0"/>
                <w:color w:val="auto"/>
                <w:kern w:val="0"/>
                <w:sz w:val="20"/>
                <w:szCs w:val="20"/>
                <w:highlight w:val="none"/>
                <w:u w:val="none"/>
                <w:lang w:val="en-US" w:eastAsia="zh-CN" w:bidi="ar"/>
              </w:rPr>
              <w:t>%</w:t>
            </w:r>
          </w:p>
        </w:tc>
      </w:tr>
    </w:tbl>
    <w:p>
      <w:pPr>
        <w:pStyle w:val="4"/>
        <w:shd w:val="clea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2.运行维护专项支出情况</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年度，我厅</w:t>
      </w:r>
      <w:r>
        <w:rPr>
          <w:rFonts w:hint="eastAsia" w:ascii="Times New Roman" w:hAnsi="Times New Roman" w:cs="Times New Roman"/>
          <w:color w:val="auto"/>
          <w:highlight w:val="none"/>
          <w:lang w:val="en-US" w:eastAsia="zh-CN"/>
        </w:rPr>
        <w:t>运行维护</w:t>
      </w:r>
      <w:r>
        <w:rPr>
          <w:rFonts w:hint="default" w:ascii="Times New Roman" w:hAnsi="Times New Roman" w:cs="Times New Roman"/>
          <w:color w:val="auto"/>
          <w:highlight w:val="none"/>
          <w:lang w:val="en-US" w:eastAsia="zh-CN"/>
        </w:rPr>
        <w:t>专项支出经费</w:t>
      </w:r>
      <w:r>
        <w:rPr>
          <w:rFonts w:hint="eastAsia" w:ascii="Times New Roman" w:hAnsi="Times New Roman" w:cs="Times New Roman"/>
          <w:color w:val="auto"/>
          <w:highlight w:val="none"/>
          <w:lang w:val="en-US" w:eastAsia="zh-CN"/>
        </w:rPr>
        <w:t>全年预算数8,528.94万元（含当年拨款3807.06万元，上年结转131.40万元，其他资金4590.48万元），实际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7,751.14</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，预算执行率为90.88%</w:t>
      </w:r>
      <w:r>
        <w:rPr>
          <w:rFonts w:hint="default" w:ascii="Times New Roman" w:hAnsi="Times New Roman" w:cs="Times New Roman"/>
          <w:color w:val="auto"/>
          <w:highlight w:val="none"/>
          <w:lang w:val="en-US" w:eastAsia="zh-CN"/>
        </w:rPr>
        <w:t>。具体情况</w:t>
      </w:r>
      <w:r>
        <w:rPr>
          <w:rFonts w:hint="eastAsia" w:ascii="Times New Roman" w:hAnsi="Times New Roman" w:cs="Times New Roman"/>
          <w:color w:val="auto"/>
          <w:highlight w:val="none"/>
          <w:lang w:val="en-US" w:eastAsia="zh-CN"/>
        </w:rPr>
        <w:t>列示如下</w:t>
      </w:r>
      <w:r>
        <w:rPr>
          <w:rFonts w:hint="default" w:ascii="Times New Roman" w:hAnsi="Times New Roman" w:cs="Times New Roman"/>
          <w:color w:val="auto"/>
          <w:highlight w:val="none"/>
          <w:lang w:val="en-US" w:eastAsia="zh-CN"/>
        </w:rPr>
        <w:t>：</w:t>
      </w:r>
    </w:p>
    <w:p>
      <w:pPr>
        <w:pStyle w:val="56"/>
        <w:shd w:val="clear"/>
        <w:jc w:val="right"/>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2"/>
        <w:tblW w:w="49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164"/>
        <w:gridCol w:w="1463"/>
        <w:gridCol w:w="14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湖南省文化和旅游厅本级</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75.00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74.22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750.43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748.62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110.51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110.51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省湘剧院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11.59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11.34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省木偶皮影艺术保护传承中心</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2.00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2.00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w:t>
            </w:r>
            <w:r>
              <w:rPr>
                <w:rFonts w:hint="default" w:ascii="Times New Roman" w:hAnsi="Times New Roman" w:eastAsia="仿宋" w:cs="Times New Roman"/>
                <w:b w:val="0"/>
                <w:bCs w:val="0"/>
                <w:i w:val="0"/>
                <w:iCs w:val="0"/>
                <w:color w:val="auto"/>
                <w:kern w:val="0"/>
                <w:sz w:val="22"/>
                <w:szCs w:val="22"/>
                <w:highlight w:val="none"/>
                <w:u w:val="none"/>
                <w:lang w:val="en-US" w:eastAsia="zh-CN" w:bidi="ar"/>
              </w:rPr>
              <w:t>博物院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7418.48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6666.10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省文物考古研究院</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23.06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23.06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省文物局</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28.00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28.00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厅宣传信息中心</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109.89 </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87.29 </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79.43%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8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8,528</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Fonts w:hint="eastAsia" w:ascii="Times New Roman" w:hAnsi="Times New Roman" w:eastAsia="宋体" w:cs="Times New Roman"/>
                <w:b/>
                <w:bCs/>
                <w:i w:val="0"/>
                <w:iCs w:val="0"/>
                <w:color w:val="auto"/>
                <w:kern w:val="0"/>
                <w:sz w:val="20"/>
                <w:szCs w:val="20"/>
                <w:highlight w:val="none"/>
                <w:u w:val="none"/>
                <w:lang w:val="en-US" w:eastAsia="zh-CN" w:bidi="ar"/>
              </w:rPr>
              <w:t>94</w:t>
            </w:r>
          </w:p>
        </w:tc>
        <w:tc>
          <w:tcPr>
            <w:tcW w:w="8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7,751</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Fonts w:hint="eastAsia" w:ascii="Times New Roman" w:hAnsi="Times New Roman" w:eastAsia="宋体" w:cs="Times New Roman"/>
                <w:b/>
                <w:bCs/>
                <w:i w:val="0"/>
                <w:iCs w:val="0"/>
                <w:color w:val="auto"/>
                <w:kern w:val="0"/>
                <w:sz w:val="20"/>
                <w:szCs w:val="20"/>
                <w:highlight w:val="none"/>
                <w:u w:val="none"/>
                <w:lang w:val="en-US" w:eastAsia="zh-CN" w:bidi="ar"/>
              </w:rPr>
              <w:t>14</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90.88</w:t>
            </w:r>
            <w:r>
              <w:rPr>
                <w:rFonts w:hint="default" w:ascii="Times New Roman" w:hAnsi="Times New Roman" w:eastAsia="宋体" w:cs="Times New Roman"/>
                <w:b/>
                <w:bCs/>
                <w:i w:val="0"/>
                <w:iCs w:val="0"/>
                <w:color w:val="auto"/>
                <w:kern w:val="0"/>
                <w:sz w:val="20"/>
                <w:szCs w:val="20"/>
                <w:highlight w:val="none"/>
                <w:u w:val="none"/>
                <w:lang w:val="en-US" w:eastAsia="zh-CN" w:bidi="ar"/>
              </w:rPr>
              <w:t>%</w:t>
            </w:r>
          </w:p>
        </w:tc>
      </w:tr>
    </w:tbl>
    <w:p>
      <w:pPr>
        <w:pStyle w:val="4"/>
        <w:shd w:val="clea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省级专项</w:t>
      </w:r>
      <w:r>
        <w:rPr>
          <w:rFonts w:hint="default" w:ascii="Times New Roman" w:hAnsi="Times New Roman" w:cs="Times New Roman"/>
          <w:color w:val="auto"/>
          <w:highlight w:val="none"/>
          <w:lang w:val="en-US" w:eastAsia="zh-CN"/>
        </w:rPr>
        <w:t>资金支出情况</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年度，厅</w:t>
      </w:r>
      <w:r>
        <w:rPr>
          <w:rFonts w:hint="eastAsia" w:ascii="Times New Roman" w:hAnsi="Times New Roman" w:cs="Times New Roman"/>
          <w:color w:val="auto"/>
          <w:highlight w:val="none"/>
          <w:lang w:val="en-US" w:eastAsia="zh-CN"/>
        </w:rPr>
        <w:t>系统省级专项</w:t>
      </w:r>
      <w:r>
        <w:rPr>
          <w:rFonts w:hint="default" w:ascii="Times New Roman" w:hAnsi="Times New Roman" w:cs="Times New Roman"/>
          <w:color w:val="auto"/>
          <w:highlight w:val="none"/>
          <w:lang w:val="en-US" w:eastAsia="zh-CN"/>
        </w:rPr>
        <w:t>资金</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含文化旅游发展、文物保护及文化事业发展等各类省级专项资金</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全年</w:t>
      </w:r>
      <w:r>
        <w:rPr>
          <w:rFonts w:hint="eastAsia" w:ascii="Times New Roman" w:hAnsi="Times New Roman" w:cs="Times New Roman"/>
          <w:color w:val="auto"/>
          <w:highlight w:val="none"/>
          <w:lang w:val="en-US" w:eastAsia="zh-CN"/>
        </w:rPr>
        <w:t>预算数32,077.63万元（含当年财政拨款19,472.86万元），实际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22,344.10</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，预算执行率为69.66%</w:t>
      </w:r>
      <w:r>
        <w:rPr>
          <w:rFonts w:hint="default" w:ascii="Times New Roman" w:hAnsi="Times New Roman" w:cs="Times New Roman"/>
          <w:color w:val="auto"/>
          <w:highlight w:val="none"/>
          <w:lang w:val="en-US" w:eastAsia="zh-CN"/>
        </w:rPr>
        <w:t>。具体情况</w:t>
      </w:r>
      <w:r>
        <w:rPr>
          <w:rFonts w:hint="eastAsia" w:ascii="Times New Roman" w:hAnsi="Times New Roman" w:cs="Times New Roman"/>
          <w:color w:val="auto"/>
          <w:highlight w:val="none"/>
          <w:lang w:val="en-US" w:eastAsia="zh-CN"/>
        </w:rPr>
        <w:t>列示如下</w:t>
      </w:r>
      <w:r>
        <w:rPr>
          <w:rFonts w:hint="default" w:ascii="Times New Roman" w:hAnsi="Times New Roman" w:cs="Times New Roman"/>
          <w:color w:val="auto"/>
          <w:highlight w:val="none"/>
          <w:lang w:val="en-US" w:eastAsia="zh-CN"/>
        </w:rPr>
        <w:t>：</w:t>
      </w:r>
    </w:p>
    <w:p>
      <w:pPr>
        <w:pStyle w:val="56"/>
        <w:shd w:val="clear"/>
        <w:jc w:val="right"/>
        <w:rPr>
          <w:rFonts w:hint="default" w:ascii="Times New Roman" w:hAnsi="Times New Roman" w:eastAsia="宋体" w:cs="Times New Roman"/>
          <w:i w:val="0"/>
          <w:iCs w:val="0"/>
          <w:color w:val="auto"/>
          <w:kern w:val="0"/>
          <w:sz w:val="20"/>
          <w:szCs w:val="20"/>
          <w:highlight w:val="none"/>
          <w:u w:val="none"/>
          <w:lang w:val="en-US" w:eastAsia="zh-CN" w:bidi="ar"/>
        </w:rPr>
      </w:pPr>
      <w:bookmarkStart w:id="25" w:name="_Toc32148"/>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2"/>
        <w:tblW w:w="49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164"/>
        <w:gridCol w:w="1571"/>
        <w:gridCol w:w="1317"/>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湖南省文化和旅游厅本级</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14804.86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12073.06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802.29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287.16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35.79%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省文化馆</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1693.85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928.22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1245.00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571.90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省艺术研究院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789.47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362.10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45.87%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省湘剧院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1353.24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904.61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省花鼓戏保护传承中心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3719.73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2364.88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8</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省木偶皮影艺术保护传承中心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1307.27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787.96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9</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省京剧保护传承中心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2276.98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1455.90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10</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省文化厅艺术幼儿园</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344.94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344.94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11</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w:t>
            </w:r>
            <w:r>
              <w:rPr>
                <w:rFonts w:hint="default" w:ascii="Times New Roman" w:hAnsi="Times New Roman" w:eastAsia="仿宋" w:cs="Times New Roman"/>
                <w:b w:val="0"/>
                <w:bCs w:val="0"/>
                <w:i w:val="0"/>
                <w:iCs w:val="0"/>
                <w:color w:val="auto"/>
                <w:kern w:val="0"/>
                <w:sz w:val="22"/>
                <w:szCs w:val="22"/>
                <w:highlight w:val="none"/>
                <w:u w:val="none"/>
                <w:lang w:val="en-US" w:eastAsia="zh-CN" w:bidi="ar"/>
              </w:rPr>
              <w:t>博物院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405.46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107.96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12</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省文物考古研究院</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2493.26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1577.20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13</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省文物局</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661.28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551.88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14</w:t>
            </w:r>
          </w:p>
        </w:tc>
        <w:tc>
          <w:tcPr>
            <w:tcW w:w="1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省导服中心</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180.00 </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26.33 </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32,077.63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22,344.10</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69.66</w:t>
            </w:r>
            <w:r>
              <w:rPr>
                <w:rFonts w:hint="default" w:ascii="Times New Roman" w:hAnsi="Times New Roman" w:eastAsia="宋体" w:cs="Times New Roman"/>
                <w:b/>
                <w:bCs/>
                <w:i w:val="0"/>
                <w:iCs w:val="0"/>
                <w:color w:val="auto"/>
                <w:kern w:val="0"/>
                <w:sz w:val="20"/>
                <w:szCs w:val="20"/>
                <w:highlight w:val="none"/>
                <w:u w:val="none"/>
                <w:lang w:val="en-US" w:eastAsia="zh-CN" w:bidi="ar"/>
              </w:rPr>
              <w:t>%</w:t>
            </w:r>
          </w:p>
        </w:tc>
      </w:tr>
    </w:tbl>
    <w:p>
      <w:pPr>
        <w:pStyle w:val="4"/>
        <w:shd w:val="clear"/>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.其他事业类发展资金支出情况</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年度，我厅其他事业类发展资金全年</w:t>
      </w:r>
      <w:r>
        <w:rPr>
          <w:rFonts w:hint="eastAsia" w:ascii="Times New Roman" w:hAnsi="Times New Roman" w:cs="Times New Roman"/>
          <w:color w:val="auto"/>
          <w:highlight w:val="none"/>
          <w:lang w:val="en-US" w:eastAsia="zh-CN"/>
        </w:rPr>
        <w:t>预算数30,184.68万元（含当年财政拨款18647.43万元），实际</w:t>
      </w:r>
      <w:r>
        <w:rPr>
          <w:rFonts w:hint="default" w:ascii="Times New Roman" w:hAnsi="Times New Roman" w:cs="Times New Roman"/>
          <w:color w:val="auto"/>
          <w:highlight w:val="none"/>
          <w:lang w:val="en-US" w:eastAsia="zh-CN"/>
        </w:rPr>
        <w:t>支出</w:t>
      </w:r>
      <w:r>
        <w:rPr>
          <w:rFonts w:hint="eastAsia" w:ascii="Times New Roman" w:hAnsi="Times New Roman" w:cs="Times New Roman"/>
          <w:color w:val="auto"/>
          <w:highlight w:val="none"/>
          <w:lang w:val="en-US" w:eastAsia="zh-CN"/>
        </w:rPr>
        <w:t>25,621.12</w:t>
      </w:r>
      <w:r>
        <w:rPr>
          <w:rFonts w:hint="default" w:ascii="Times New Roman" w:hAnsi="Times New Roman" w:cs="Times New Roman"/>
          <w:color w:val="auto"/>
          <w:highlight w:val="none"/>
          <w:lang w:val="en-US" w:eastAsia="zh-CN"/>
        </w:rPr>
        <w:t>万元</w:t>
      </w:r>
      <w:r>
        <w:rPr>
          <w:rFonts w:hint="eastAsia" w:ascii="Times New Roman" w:hAnsi="Times New Roman" w:cs="Times New Roman"/>
          <w:color w:val="auto"/>
          <w:highlight w:val="none"/>
          <w:lang w:val="en-US" w:eastAsia="zh-CN"/>
        </w:rPr>
        <w:t>，预算执行率为84.88%</w:t>
      </w:r>
      <w:r>
        <w:rPr>
          <w:rFonts w:hint="default" w:ascii="Times New Roman" w:hAnsi="Times New Roman" w:cs="Times New Roman"/>
          <w:color w:val="auto"/>
          <w:highlight w:val="none"/>
          <w:lang w:val="en-US" w:eastAsia="zh-CN"/>
        </w:rPr>
        <w:t>。具体情况如下表所示：</w:t>
      </w:r>
    </w:p>
    <w:p>
      <w:pPr>
        <w:pStyle w:val="56"/>
        <w:shd w:val="clear"/>
        <w:jc w:val="right"/>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单位：万元</w:t>
      </w:r>
    </w:p>
    <w:tbl>
      <w:tblPr>
        <w:tblStyle w:val="22"/>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163"/>
        <w:gridCol w:w="1622"/>
        <w:gridCol w:w="1358"/>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sz w:val="20"/>
                <w:szCs w:val="20"/>
                <w:highlight w:val="none"/>
                <w:u w:val="none"/>
                <w:lang w:val="en-US" w:eastAsia="zh-CN"/>
              </w:rPr>
            </w:pPr>
            <w:r>
              <w:rPr>
                <w:rFonts w:hint="eastAsia" w:ascii="Times New Roman" w:hAnsi="Times New Roman" w:eastAsia="仿宋" w:cs="Times New Roman"/>
                <w:b/>
                <w:bCs/>
                <w:i w:val="0"/>
                <w:iCs w:val="0"/>
                <w:color w:val="auto"/>
                <w:sz w:val="20"/>
                <w:szCs w:val="20"/>
                <w:highlight w:val="none"/>
                <w:u w:val="none"/>
                <w:lang w:val="en-US" w:eastAsia="zh-CN"/>
              </w:rPr>
              <w:t>序号</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单位名称</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w:t>
            </w:r>
            <w:r>
              <w:rPr>
                <w:rFonts w:hint="default" w:ascii="Times New Roman" w:hAnsi="Times New Roman" w:eastAsia="仿宋" w:cs="Times New Roman"/>
                <w:b/>
                <w:bCs/>
                <w:i w:val="0"/>
                <w:iCs w:val="0"/>
                <w:color w:val="auto"/>
                <w:kern w:val="0"/>
                <w:sz w:val="20"/>
                <w:szCs w:val="20"/>
                <w:highlight w:val="none"/>
                <w:u w:val="none"/>
                <w:lang w:val="en-US" w:eastAsia="zh-CN" w:bidi="ar"/>
              </w:rPr>
              <w:t>预算</w:t>
            </w:r>
            <w:r>
              <w:rPr>
                <w:rFonts w:hint="eastAsia" w:ascii="Times New Roman" w:hAnsi="Times New Roman" w:eastAsia="仿宋" w:cs="Times New Roman"/>
                <w:b/>
                <w:bCs/>
                <w:i w:val="0"/>
                <w:iCs w:val="0"/>
                <w:color w:val="auto"/>
                <w:kern w:val="0"/>
                <w:sz w:val="20"/>
                <w:szCs w:val="20"/>
                <w:highlight w:val="none"/>
                <w:u w:val="none"/>
                <w:lang w:val="en-US" w:eastAsia="zh-CN" w:bidi="ar"/>
              </w:rPr>
              <w:t>数</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2"/>
                <w:sz w:val="20"/>
                <w:szCs w:val="20"/>
                <w:highlight w:val="none"/>
                <w:u w:val="none"/>
                <w:lang w:val="en-US" w:eastAsia="zh-CN" w:bidi="ar-SA"/>
              </w:rPr>
            </w:pPr>
            <w:r>
              <w:rPr>
                <w:rFonts w:hint="eastAsia" w:ascii="Times New Roman" w:hAnsi="Times New Roman" w:eastAsia="仿宋" w:cs="Times New Roman"/>
                <w:b/>
                <w:bCs/>
                <w:i w:val="0"/>
                <w:iCs w:val="0"/>
                <w:color w:val="auto"/>
                <w:kern w:val="0"/>
                <w:sz w:val="20"/>
                <w:szCs w:val="20"/>
                <w:highlight w:val="none"/>
                <w:u w:val="none"/>
                <w:lang w:val="en-US" w:eastAsia="zh-CN" w:bidi="ar"/>
              </w:rPr>
              <w:t>全年执行数</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eastAsia"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预算</w:t>
            </w:r>
            <w:r>
              <w:rPr>
                <w:rFonts w:hint="default" w:ascii="Times New Roman" w:hAnsi="Times New Roman" w:eastAsia="仿宋" w:cs="Times New Roman"/>
                <w:b/>
                <w:bCs/>
                <w:i w:val="0"/>
                <w:iCs w:val="0"/>
                <w:color w:val="auto"/>
                <w:kern w:val="0"/>
                <w:sz w:val="20"/>
                <w:szCs w:val="20"/>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湖南省文化和旅游厅本级</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10827.22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10766.95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2</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湖南图书馆</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1128.74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622.88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55.18%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3</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省文化馆</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2148.10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1344.98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3"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4</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省少年儿童图书馆</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427.47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352.04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5</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省艺术研究院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306.00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278.36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6</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省湘剧院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767.38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648.75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7</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省花鼓戏保护传承中心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768.35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652.55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8</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省木偶皮影艺术保护传承中心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390.34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285.93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9</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省京剧保护传承中心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243.12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222.13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91.37%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10</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省文化厅艺术幼儿园</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70.00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70.00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11</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省</w:t>
            </w:r>
            <w:r>
              <w:rPr>
                <w:rFonts w:hint="default" w:ascii="Times New Roman" w:hAnsi="Times New Roman" w:eastAsia="仿宋" w:cs="Times New Roman"/>
                <w:b w:val="0"/>
                <w:bCs w:val="0"/>
                <w:i w:val="0"/>
                <w:iCs w:val="0"/>
                <w:color w:val="auto"/>
                <w:kern w:val="0"/>
                <w:sz w:val="22"/>
                <w:szCs w:val="22"/>
                <w:highlight w:val="none"/>
                <w:u w:val="none"/>
                <w:lang w:val="en-US" w:eastAsia="zh-CN" w:bidi="ar"/>
              </w:rPr>
              <w:t>博物院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9948.09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7694.48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77.35%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12</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省文物考古研究院</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3070.23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2681.39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87.34%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i w:val="0"/>
                <w:iCs w:val="0"/>
                <w:color w:val="auto"/>
                <w:kern w:val="0"/>
                <w:sz w:val="22"/>
                <w:szCs w:val="22"/>
                <w:highlight w:val="none"/>
                <w:u w:val="none"/>
                <w:lang w:val="en-US" w:eastAsia="zh-CN" w:bidi="ar"/>
              </w:rPr>
            </w:pPr>
            <w:r>
              <w:rPr>
                <w:rFonts w:hint="eastAsia" w:ascii="Times New Roman" w:hAnsi="Times New Roman" w:eastAsia="仿宋" w:cs="Times New Roman"/>
                <w:b w:val="0"/>
                <w:bCs w:val="0"/>
                <w:i w:val="0"/>
                <w:iCs w:val="0"/>
                <w:color w:val="auto"/>
                <w:kern w:val="0"/>
                <w:sz w:val="22"/>
                <w:szCs w:val="22"/>
                <w:highlight w:val="none"/>
                <w:u w:val="none"/>
                <w:lang w:val="en-US" w:eastAsia="zh-CN" w:bidi="ar"/>
              </w:rPr>
              <w:t>13</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 w:cs="Times New Roman"/>
                <w:b w:val="0"/>
                <w:bCs w:val="0"/>
                <w:i w:val="0"/>
                <w:iCs w:val="0"/>
                <w:color w:val="auto"/>
                <w:kern w:val="0"/>
                <w:sz w:val="22"/>
                <w:szCs w:val="22"/>
                <w:highlight w:val="none"/>
                <w:u w:val="none"/>
                <w:lang w:val="en-US" w:eastAsia="zh-CN" w:bidi="ar"/>
              </w:rPr>
            </w:pPr>
            <w:r>
              <w:rPr>
                <w:rFonts w:hint="default" w:ascii="Times New Roman" w:hAnsi="Times New Roman" w:eastAsia="仿宋" w:cs="Times New Roman"/>
                <w:b w:val="0"/>
                <w:bCs w:val="0"/>
                <w:i w:val="0"/>
                <w:iCs w:val="0"/>
                <w:color w:val="auto"/>
                <w:kern w:val="0"/>
                <w:sz w:val="22"/>
                <w:szCs w:val="22"/>
                <w:highlight w:val="none"/>
                <w:u w:val="none"/>
                <w:lang w:val="en-US" w:eastAsia="zh-CN" w:bidi="ar"/>
              </w:rPr>
              <w:t>省导服中心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89.64 </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0.68 </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23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firstLine="401" w:firstLineChars="20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仿宋" w:cs="Times New Roman"/>
                <w:b/>
                <w:bCs/>
                <w:i w:val="0"/>
                <w:iCs w:val="0"/>
                <w:color w:val="auto"/>
                <w:kern w:val="0"/>
                <w:sz w:val="20"/>
                <w:szCs w:val="20"/>
                <w:highlight w:val="none"/>
                <w:u w:val="none"/>
                <w:lang w:val="en-US" w:eastAsia="zh-CN" w:bidi="ar"/>
              </w:rPr>
              <w:t xml:space="preserve">合        计   </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30,184</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Fonts w:hint="eastAsia" w:ascii="Times New Roman" w:hAnsi="Times New Roman" w:eastAsia="宋体" w:cs="Times New Roman"/>
                <w:b/>
                <w:bCs/>
                <w:i w:val="0"/>
                <w:iCs w:val="0"/>
                <w:color w:val="auto"/>
                <w:kern w:val="0"/>
                <w:sz w:val="20"/>
                <w:szCs w:val="20"/>
                <w:highlight w:val="none"/>
                <w:u w:val="none"/>
                <w:lang w:val="en-US" w:eastAsia="zh-CN" w:bidi="ar"/>
              </w:rPr>
              <w:t>68</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25,621</w:t>
            </w:r>
            <w:r>
              <w:rPr>
                <w:rFonts w:hint="default" w:ascii="Times New Roman" w:hAnsi="Times New Roman" w:eastAsia="宋体" w:cs="Times New Roman"/>
                <w:b/>
                <w:bCs/>
                <w:i w:val="0"/>
                <w:iCs w:val="0"/>
                <w:color w:val="auto"/>
                <w:kern w:val="0"/>
                <w:sz w:val="20"/>
                <w:szCs w:val="20"/>
                <w:highlight w:val="none"/>
                <w:u w:val="none"/>
                <w:lang w:val="en-US" w:eastAsia="zh-CN" w:bidi="ar"/>
              </w:rPr>
              <w:t>.</w:t>
            </w:r>
            <w:r>
              <w:rPr>
                <w:rFonts w:hint="eastAsia" w:ascii="Times New Roman" w:hAnsi="Times New Roman" w:eastAsia="宋体" w:cs="Times New Roman"/>
                <w:b/>
                <w:bCs/>
                <w:i w:val="0"/>
                <w:iCs w:val="0"/>
                <w:color w:val="auto"/>
                <w:kern w:val="0"/>
                <w:sz w:val="20"/>
                <w:szCs w:val="20"/>
                <w:highlight w:val="none"/>
                <w:u w:val="none"/>
                <w:lang w:val="en-US" w:eastAsia="zh-CN" w:bidi="ar"/>
              </w:rPr>
              <w:t>12</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spacing w:line="240" w:lineRule="auto"/>
              <w:ind w:left="0" w:leftChars="0" w:firstLine="0" w:firstLineChars="0"/>
              <w:jc w:val="center"/>
              <w:textAlignment w:val="center"/>
              <w:rPr>
                <w:rFonts w:hint="eastAsia" w:ascii="Times New Roman" w:hAnsi="Times New Roman" w:eastAsia="宋体" w:cs="Times New Roman"/>
                <w:b/>
                <w:bCs/>
                <w:i w:val="0"/>
                <w:iCs w:val="0"/>
                <w:color w:val="auto"/>
                <w:kern w:val="0"/>
                <w:sz w:val="20"/>
                <w:szCs w:val="20"/>
                <w:highlight w:val="none"/>
                <w:u w:val="none"/>
                <w:lang w:val="en-US" w:eastAsia="zh-CN" w:bidi="ar"/>
              </w:rPr>
            </w:pPr>
            <w:r>
              <w:rPr>
                <w:rFonts w:hint="eastAsia" w:ascii="Times New Roman" w:hAnsi="Times New Roman" w:eastAsia="宋体" w:cs="Times New Roman"/>
                <w:b/>
                <w:bCs/>
                <w:i w:val="0"/>
                <w:iCs w:val="0"/>
                <w:color w:val="auto"/>
                <w:kern w:val="0"/>
                <w:sz w:val="20"/>
                <w:szCs w:val="20"/>
                <w:highlight w:val="none"/>
                <w:u w:val="none"/>
                <w:lang w:val="en-US" w:eastAsia="zh-CN" w:bidi="ar"/>
              </w:rPr>
              <w:t>84.88</w:t>
            </w:r>
            <w:r>
              <w:rPr>
                <w:rFonts w:hint="default" w:ascii="Times New Roman" w:hAnsi="Times New Roman" w:eastAsia="宋体" w:cs="Times New Roman"/>
                <w:b/>
                <w:bCs/>
                <w:i w:val="0"/>
                <w:iCs w:val="0"/>
                <w:color w:val="auto"/>
                <w:kern w:val="0"/>
                <w:sz w:val="20"/>
                <w:szCs w:val="20"/>
                <w:highlight w:val="none"/>
                <w:u w:val="none"/>
                <w:lang w:val="en-US" w:eastAsia="zh-CN" w:bidi="ar"/>
              </w:rPr>
              <w:t>%</w:t>
            </w:r>
          </w:p>
        </w:tc>
      </w:tr>
    </w:tbl>
    <w:p>
      <w:pPr>
        <w:pStyle w:val="3"/>
        <w:shd w:val="clea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（五）管理制度建立与执行管理情况</w:t>
      </w:r>
      <w:bookmarkEnd w:id="25"/>
    </w:p>
    <w:p>
      <w:pPr>
        <w:numPr>
          <w:ilvl w:val="0"/>
          <w:numId w:val="0"/>
        </w:numPr>
        <w:shd w:val="clear"/>
        <w:tabs>
          <w:tab w:val="center" w:pos="4422"/>
        </w:tabs>
        <w:spacing w:line="58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highlight w:val="none"/>
          <w:lang w:eastAsia="zh-CN"/>
        </w:rPr>
        <w:t>为了进一步提高单位内部管理水平，规范内部控制，加强廉政风险防控机制建设，根据《中华人民共和国会计法》、《中华人民共和国预算法》、《行政事业单位内部控制规范（试行）》（财会〔2012〕21号）和《财政部关于全面推进行政事业单位内部控制建设的指导意见》（财会〔2015〕24号）等法律法规和相关规定，</w:t>
      </w:r>
      <w:r>
        <w:rPr>
          <w:rFonts w:hint="default"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lang w:val="en-US" w:eastAsia="zh-CN"/>
        </w:rPr>
        <w:t>建章立制</w:t>
      </w:r>
      <w:r>
        <w:rPr>
          <w:rFonts w:hint="default" w:ascii="Times New Roman" w:hAnsi="Times New Roman" w:eastAsia="仿宋_GB2312" w:cs="Times New Roman"/>
          <w:color w:val="auto"/>
          <w:sz w:val="32"/>
          <w:szCs w:val="32"/>
          <w:highlight w:val="none"/>
          <w:lang w:eastAsia="zh-CN"/>
        </w:rPr>
        <w:t>坚持长期整改，制定</w:t>
      </w:r>
      <w:r>
        <w:rPr>
          <w:rFonts w:hint="default" w:ascii="Times New Roman" w:hAnsi="Times New Roman" w:eastAsia="仿宋_GB2312" w:cs="Times New Roman"/>
          <w:color w:val="auto"/>
          <w:sz w:val="32"/>
          <w:szCs w:val="32"/>
          <w:highlight w:val="none"/>
          <w:lang w:val="en-US" w:eastAsia="zh-CN"/>
        </w:rPr>
        <w:t>《湖南省文化和旅游厅政府采购工作管理办法》《湖南省文化和旅游厅劳务费管理有关问题的暂行规定》《湖南省文化和旅游厅专项资金申报项目评审管理办法》《湖南省博物馆藏品及展品管理制度（试行）》《关于加强国有资产管理有关事项的通知》《关于政府采购工作有关事项的通知》</w:t>
      </w:r>
      <w:r>
        <w:rPr>
          <w:rFonts w:hint="default" w:ascii="Times New Roman" w:hAnsi="Times New Roman" w:eastAsia="仿宋_GB2312" w:cs="Times New Roman"/>
          <w:color w:val="auto"/>
          <w:sz w:val="32"/>
          <w:szCs w:val="32"/>
          <w:highlight w:val="none"/>
          <w:lang w:eastAsia="zh-CN"/>
        </w:rPr>
        <w:t>等10</w:t>
      </w:r>
      <w:r>
        <w:rPr>
          <w:rFonts w:hint="default" w:ascii="Times New Roman" w:hAnsi="Times New Roman" w:cs="Times New Roman"/>
          <w:color w:val="auto"/>
          <w:sz w:val="32"/>
          <w:szCs w:val="32"/>
          <w:highlight w:val="none"/>
          <w:lang w:val="en-US" w:eastAsia="zh-CN"/>
        </w:rPr>
        <w:t>项</w:t>
      </w:r>
      <w:r>
        <w:rPr>
          <w:rFonts w:hint="default" w:ascii="Times New Roman" w:hAnsi="Times New Roman" w:eastAsia="仿宋_GB2312" w:cs="Times New Roman"/>
          <w:color w:val="auto"/>
          <w:sz w:val="32"/>
          <w:szCs w:val="32"/>
          <w:highlight w:val="none"/>
          <w:lang w:eastAsia="zh-CN"/>
        </w:rPr>
        <w:t>制度</w:t>
      </w:r>
      <w:r>
        <w:rPr>
          <w:rFonts w:hint="default" w:ascii="Times New Roman" w:hAnsi="Times New Roman" w:eastAsia="仿宋_GB2312" w:cs="Times New Roman"/>
          <w:color w:val="auto"/>
          <w:sz w:val="32"/>
          <w:szCs w:val="32"/>
          <w:highlight w:val="none"/>
          <w:lang w:val="en-US" w:eastAsia="zh-CN"/>
        </w:rPr>
        <w:t>文件。</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从实际执行情况看，上述制度规定基本</w:t>
      </w:r>
      <w:r>
        <w:rPr>
          <w:rFonts w:hint="eastAsia" w:ascii="Times New Roman" w:hAnsi="Times New Roman" w:cs="Times New Roman"/>
          <w:color w:val="auto"/>
          <w:highlight w:val="none"/>
          <w:lang w:eastAsia="zh-CN"/>
        </w:rPr>
        <w:t>得到了较好的</w:t>
      </w:r>
      <w:r>
        <w:rPr>
          <w:rFonts w:hint="default" w:ascii="Times New Roman" w:hAnsi="Times New Roman" w:cs="Times New Roman"/>
          <w:color w:val="auto"/>
          <w:highlight w:val="none"/>
          <w:lang w:eastAsia="zh-CN"/>
        </w:rPr>
        <w:t>执行，</w:t>
      </w:r>
      <w:r>
        <w:rPr>
          <w:rFonts w:hint="default" w:ascii="Times New Roman" w:hAnsi="Times New Roman" w:cs="Times New Roman"/>
          <w:color w:val="auto"/>
          <w:highlight w:val="none"/>
          <w:lang w:val="en-US" w:eastAsia="zh-CN"/>
        </w:rPr>
        <w:t>厅系统内</w:t>
      </w:r>
      <w:r>
        <w:rPr>
          <w:rFonts w:hint="default" w:ascii="Times New Roman" w:hAnsi="Times New Roman" w:cs="Times New Roman"/>
          <w:color w:val="auto"/>
          <w:highlight w:val="none"/>
          <w:lang w:eastAsia="zh-CN"/>
        </w:rPr>
        <w:t>预算管理、</w:t>
      </w:r>
      <w:r>
        <w:rPr>
          <w:rFonts w:hint="default" w:ascii="Times New Roman" w:hAnsi="Times New Roman" w:cs="Times New Roman"/>
          <w:color w:val="auto"/>
          <w:highlight w:val="none"/>
          <w:lang w:val="en-US" w:eastAsia="zh-CN"/>
        </w:rPr>
        <w:t>资产管理、采购管理、项目管理、支出管理等方面不断规范</w:t>
      </w:r>
      <w:r>
        <w:rPr>
          <w:rFonts w:hint="default" w:ascii="Times New Roman" w:hAnsi="Times New Roman" w:cs="Times New Roman"/>
          <w:color w:val="auto"/>
          <w:highlight w:val="none"/>
          <w:lang w:eastAsia="zh-CN"/>
        </w:rPr>
        <w:t>，管理效能得到了</w:t>
      </w:r>
      <w:r>
        <w:rPr>
          <w:rFonts w:hint="eastAsia" w:ascii="Times New Roman" w:hAnsi="Times New Roman" w:cs="Times New Roman"/>
          <w:color w:val="auto"/>
          <w:highlight w:val="none"/>
          <w:lang w:val="en-US" w:eastAsia="zh-CN"/>
        </w:rPr>
        <w:t>有效</w:t>
      </w:r>
      <w:r>
        <w:rPr>
          <w:rFonts w:hint="default" w:ascii="Times New Roman" w:hAnsi="Times New Roman" w:cs="Times New Roman"/>
          <w:color w:val="auto"/>
          <w:highlight w:val="none"/>
          <w:lang w:eastAsia="zh-CN"/>
        </w:rPr>
        <w:t>提升。</w:t>
      </w:r>
    </w:p>
    <w:p>
      <w:pPr>
        <w:pStyle w:val="2"/>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bookmarkStart w:id="26" w:name="_Toc20072"/>
      <w:r>
        <w:rPr>
          <w:rFonts w:hint="default" w:ascii="Times New Roman" w:hAnsi="Times New Roman" w:cs="Times New Roman"/>
          <w:color w:val="auto"/>
          <w:highlight w:val="none"/>
          <w:lang w:val="en-US" w:eastAsia="zh-CN"/>
        </w:rPr>
        <w:t>三、政府性基金预算支出情况</w:t>
      </w:r>
      <w:bookmarkEnd w:id="26"/>
    </w:p>
    <w:p>
      <w:pPr>
        <w:shd w:val="clear"/>
        <w:rPr>
          <w:rFonts w:hint="default"/>
          <w:color w:val="auto"/>
          <w:highlight w:val="none"/>
          <w:lang w:val="en-US" w:eastAsia="zh-CN"/>
        </w:rPr>
      </w:pPr>
      <w:r>
        <w:rPr>
          <w:rFonts w:hint="eastAsia"/>
          <w:color w:val="auto"/>
          <w:highlight w:val="none"/>
          <w:lang w:val="en-US" w:eastAsia="zh-CN"/>
        </w:rPr>
        <w:t>无。</w:t>
      </w:r>
    </w:p>
    <w:p>
      <w:pPr>
        <w:pStyle w:val="2"/>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bookmarkStart w:id="27" w:name="_Toc32178"/>
      <w:r>
        <w:rPr>
          <w:rFonts w:hint="default" w:ascii="Times New Roman" w:hAnsi="Times New Roman" w:cs="Times New Roman"/>
          <w:color w:val="auto"/>
          <w:highlight w:val="none"/>
          <w:lang w:val="en-US" w:eastAsia="zh-CN"/>
        </w:rPr>
        <w:t>四、国有资本经营预算支出情况</w:t>
      </w:r>
      <w:bookmarkEnd w:id="27"/>
    </w:p>
    <w:p>
      <w:pPr>
        <w:shd w:val="clear"/>
        <w:rPr>
          <w:rFonts w:hint="default"/>
          <w:color w:val="auto"/>
          <w:highlight w:val="none"/>
          <w:lang w:val="en-US" w:eastAsia="zh-CN"/>
        </w:rPr>
      </w:pPr>
      <w:r>
        <w:rPr>
          <w:rFonts w:hint="default"/>
          <w:color w:val="auto"/>
          <w:highlight w:val="none"/>
          <w:lang w:val="en-US" w:eastAsia="zh-CN"/>
        </w:rPr>
        <w:t>无。</w:t>
      </w:r>
    </w:p>
    <w:p>
      <w:pPr>
        <w:pStyle w:val="2"/>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bookmarkStart w:id="28" w:name="_Toc14194"/>
      <w:r>
        <w:rPr>
          <w:rFonts w:hint="default" w:ascii="Times New Roman" w:hAnsi="Times New Roman" w:cs="Times New Roman"/>
          <w:color w:val="auto"/>
          <w:highlight w:val="none"/>
          <w:lang w:val="en-US" w:eastAsia="zh-CN"/>
        </w:rPr>
        <w:t>五、社会保险基金预算支出情况</w:t>
      </w:r>
      <w:bookmarkEnd w:id="28"/>
    </w:p>
    <w:p>
      <w:pPr>
        <w:shd w:val="clear"/>
        <w:rPr>
          <w:rFonts w:hint="default"/>
          <w:color w:val="auto"/>
          <w:highlight w:val="none"/>
          <w:lang w:val="en-US" w:eastAsia="zh-CN"/>
        </w:rPr>
      </w:pPr>
      <w:r>
        <w:rPr>
          <w:rFonts w:hint="default"/>
          <w:color w:val="auto"/>
          <w:highlight w:val="none"/>
          <w:lang w:val="en-US" w:eastAsia="zh-CN"/>
        </w:rPr>
        <w:t>无。</w:t>
      </w:r>
    </w:p>
    <w:p>
      <w:pPr>
        <w:pStyle w:val="2"/>
        <w:keepNext w:val="0"/>
        <w:keepLines w:val="0"/>
        <w:shd w:val="clear"/>
        <w:bidi w:val="0"/>
        <w:spacing w:line="560" w:lineRule="exact"/>
        <w:rPr>
          <w:rFonts w:hint="default" w:ascii="Times New Roman" w:hAnsi="Times New Roman" w:cs="Times New Roman"/>
          <w:color w:val="auto"/>
          <w:highlight w:val="none"/>
        </w:rPr>
      </w:pPr>
      <w:bookmarkStart w:id="29" w:name="_Toc27787"/>
      <w:r>
        <w:rPr>
          <w:rFonts w:hint="default" w:ascii="Times New Roman" w:hAnsi="Times New Roman" w:eastAsia="黑体" w:cs="Times New Roman"/>
          <w:bCs w:val="0"/>
          <w:color w:val="auto"/>
          <w:kern w:val="44"/>
          <w:szCs w:val="24"/>
          <w:highlight w:val="none"/>
          <w:lang w:val="en-US" w:eastAsia="zh-CN"/>
        </w:rPr>
        <w:t>六</w:t>
      </w:r>
      <w:r>
        <w:rPr>
          <w:rFonts w:hint="default" w:ascii="Times New Roman" w:hAnsi="Times New Roman" w:eastAsia="黑体" w:cs="Times New Roman"/>
          <w:bCs w:val="0"/>
          <w:color w:val="auto"/>
          <w:kern w:val="44"/>
          <w:szCs w:val="24"/>
          <w:highlight w:val="none"/>
          <w:lang w:eastAsia="zh-CN"/>
        </w:rPr>
        <w:t>、</w:t>
      </w:r>
      <w:r>
        <w:rPr>
          <w:rFonts w:hint="default" w:ascii="Times New Roman" w:hAnsi="Times New Roman" w:eastAsia="黑体" w:cs="Times New Roman"/>
          <w:bCs w:val="0"/>
          <w:color w:val="auto"/>
          <w:kern w:val="44"/>
          <w:szCs w:val="24"/>
          <w:highlight w:val="none"/>
        </w:rPr>
        <w:t>部门整体支出绩效自评工作情况</w:t>
      </w:r>
      <w:bookmarkEnd w:id="29"/>
    </w:p>
    <w:p>
      <w:pPr>
        <w:pStyle w:val="3"/>
        <w:keepNext w:val="0"/>
        <w:keepLines w:val="0"/>
        <w:widowControl w:val="0"/>
        <w:suppressLineNumbers w:val="0"/>
        <w:shd w:val="clear"/>
        <w:bidi w:val="0"/>
        <w:spacing w:before="0" w:beforeAutospacing="0" w:after="0" w:afterAutospacing="0"/>
        <w:ind w:left="0" w:right="0"/>
        <w:jc w:val="both"/>
        <w:rPr>
          <w:rFonts w:hint="default" w:ascii="Times New Roman" w:hAnsi="Times New Roman" w:eastAsia="楷体_GB2312" w:cs="Times New Roman"/>
          <w:b/>
          <w:bCs/>
          <w:color w:val="auto"/>
          <w:highlight w:val="none"/>
        </w:rPr>
      </w:pPr>
      <w:bookmarkStart w:id="30" w:name="_Toc15011"/>
      <w:r>
        <w:rPr>
          <w:rFonts w:hint="default" w:ascii="Times New Roman" w:hAnsi="Times New Roman" w:eastAsia="楷体_GB2312" w:cs="Times New Roman"/>
          <w:b/>
          <w:bCs/>
          <w:color w:val="auto"/>
          <w:highlight w:val="none"/>
        </w:rPr>
        <w:t>（一）评价依据</w:t>
      </w:r>
      <w:bookmarkEnd w:id="30"/>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本次绩效评价的依据包括但不限于：</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1.《中华人民共和国预算法》、国家其他相关法律、法规和规章制度；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中共中央国务院关于全面实施预算绩效管理的意见》（中发〔2018〕34号）、《中共湖南省委办公厅湖南省人民政府办公厅关于全面实施预算绩效管理的实施意见》（湘办发〔2019〕10号）、《湖南省省级预算部门绩效自评操作规程》（湘财绩〔2020〕5号）；</w:t>
      </w:r>
    </w:p>
    <w:p>
      <w:pPr>
        <w:shd w:val="clear"/>
        <w:bidi w:val="0"/>
        <w:rPr>
          <w:rFonts w:hint="default" w:eastAsia="仿宋_GB2312"/>
          <w:color w:val="auto"/>
          <w:highlight w:val="none"/>
          <w:lang w:val="en-US" w:eastAsia="zh-CN"/>
        </w:rPr>
      </w:pPr>
      <w:r>
        <w:rPr>
          <w:rFonts w:hint="eastAsia"/>
          <w:color w:val="auto"/>
          <w:highlight w:val="none"/>
          <w:lang w:val="en-US" w:eastAsia="zh-CN"/>
        </w:rPr>
        <w:t>3.《</w:t>
      </w:r>
      <w:r>
        <w:rPr>
          <w:rFonts w:hint="default" w:ascii="Times New Roman" w:hAnsi="Times New Roman" w:cs="Times New Roman"/>
          <w:color w:val="auto"/>
          <w:szCs w:val="32"/>
          <w:highlight w:val="none"/>
          <w:lang w:eastAsia="zh-CN"/>
        </w:rPr>
        <w:t>湖南省财政厅关于开展2023年度省级预算部门绩效自评和部门评价的通知</w:t>
      </w:r>
      <w:r>
        <w:rPr>
          <w:rFonts w:hint="eastAsia"/>
          <w:color w:val="auto"/>
          <w:highlight w:val="none"/>
          <w:lang w:val="en-US" w:eastAsia="zh-CN"/>
        </w:rPr>
        <w:t>》（湘财绩〔2024〕1号）</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4</w:t>
      </w:r>
      <w:r>
        <w:rPr>
          <w:rFonts w:hint="default" w:ascii="Times New Roman" w:hAnsi="Times New Roman" w:eastAsia="仿宋_GB2312" w:cs="Times New Roman"/>
          <w:color w:val="auto"/>
          <w:kern w:val="2"/>
          <w:sz w:val="32"/>
          <w:szCs w:val="32"/>
          <w:highlight w:val="none"/>
          <w:lang w:val="en-US" w:eastAsia="zh-CN" w:bidi="ar"/>
        </w:rPr>
        <w:t>.“三定”方案、中长期事业发展规划及年度工作计划；</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5</w:t>
      </w:r>
      <w:r>
        <w:rPr>
          <w:rFonts w:hint="default" w:ascii="Times New Roman" w:hAnsi="Times New Roman" w:eastAsia="仿宋_GB2312" w:cs="Times New Roman"/>
          <w:color w:val="auto"/>
          <w:kern w:val="2"/>
          <w:sz w:val="32"/>
          <w:szCs w:val="32"/>
          <w:highlight w:val="none"/>
          <w:lang w:val="en-US" w:eastAsia="zh-CN" w:bidi="ar"/>
        </w:rPr>
        <w:t>.预算批复时确定的绩效目标及指标，预算部门年度预算执行情况，年度决算报告等相关材料；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6</w:t>
      </w:r>
      <w:r>
        <w:rPr>
          <w:rFonts w:hint="default" w:ascii="Times New Roman" w:hAnsi="Times New Roman" w:eastAsia="仿宋_GB2312" w:cs="Times New Roman"/>
          <w:color w:val="auto"/>
          <w:kern w:val="2"/>
          <w:sz w:val="32"/>
          <w:szCs w:val="32"/>
          <w:highlight w:val="none"/>
          <w:lang w:val="en-US" w:eastAsia="zh-CN" w:bidi="ar"/>
        </w:rPr>
        <w:t>.项目设立背景和目标，项目及资金管理办法、财务会计资料；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7.</w:t>
      </w:r>
      <w:r>
        <w:rPr>
          <w:rFonts w:hint="default" w:ascii="Times New Roman" w:hAnsi="Times New Roman" w:eastAsia="仿宋_GB2312" w:cs="Times New Roman"/>
          <w:color w:val="auto"/>
          <w:kern w:val="2"/>
          <w:sz w:val="32"/>
          <w:szCs w:val="32"/>
          <w:highlight w:val="none"/>
          <w:lang w:val="en-US" w:eastAsia="zh-CN" w:bidi="ar"/>
        </w:rPr>
        <w:t>人大预决算审查报告、审计报告及决定、财政稽核监督报告等；</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8.</w:t>
      </w:r>
      <w:r>
        <w:rPr>
          <w:rFonts w:hint="default" w:ascii="Times New Roman" w:hAnsi="Times New Roman" w:eastAsia="仿宋_GB2312" w:cs="Times New Roman"/>
          <w:color w:val="auto"/>
          <w:kern w:val="2"/>
          <w:sz w:val="32"/>
          <w:szCs w:val="32"/>
          <w:highlight w:val="none"/>
          <w:lang w:val="en-US" w:eastAsia="zh-CN" w:bidi="ar"/>
        </w:rPr>
        <w:t>相关行业政策、行业标准及专业技术规范；</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9</w:t>
      </w:r>
      <w:r>
        <w:rPr>
          <w:rFonts w:hint="default" w:ascii="Times New Roman" w:hAnsi="Times New Roman" w:eastAsia="仿宋_GB2312" w:cs="Times New Roman"/>
          <w:color w:val="auto"/>
          <w:kern w:val="2"/>
          <w:sz w:val="32"/>
          <w:szCs w:val="32"/>
          <w:highlight w:val="none"/>
          <w:lang w:val="en-US" w:eastAsia="zh-CN" w:bidi="ar"/>
        </w:rPr>
        <w:t>.其他相关资料。</w:t>
      </w:r>
    </w:p>
    <w:p>
      <w:pPr>
        <w:pStyle w:val="3"/>
        <w:keepNext w:val="0"/>
        <w:keepLines w:val="0"/>
        <w:widowControl w:val="0"/>
        <w:suppressLineNumbers w:val="0"/>
        <w:shd w:val="clear"/>
        <w:bidi w:val="0"/>
        <w:spacing w:before="0" w:beforeAutospacing="0" w:after="0" w:afterAutospacing="0"/>
        <w:ind w:left="0" w:right="0"/>
        <w:jc w:val="both"/>
        <w:rPr>
          <w:rFonts w:hint="default" w:ascii="Times New Roman" w:hAnsi="Times New Roman" w:eastAsia="楷体_GB2312" w:cs="Times New Roman"/>
          <w:b/>
          <w:bCs/>
          <w:color w:val="auto"/>
          <w:highlight w:val="none"/>
        </w:rPr>
      </w:pPr>
      <w:bookmarkStart w:id="31" w:name="_Toc2791"/>
      <w:r>
        <w:rPr>
          <w:rFonts w:hint="default" w:ascii="Times New Roman" w:hAnsi="Times New Roman" w:eastAsia="楷体_GB2312" w:cs="Times New Roman"/>
          <w:b/>
          <w:bCs/>
          <w:color w:val="auto"/>
          <w:highlight w:val="none"/>
        </w:rPr>
        <w:t>（二）评价程序</w:t>
      </w:r>
      <w:bookmarkEnd w:id="31"/>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本次部门整体支出绩效自评工作开展程序包括工作布置、直属单位自查、现场抽查评价、出具报告四个阶段。</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1.工作布置</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成立以财务牵头、相关业务处室人员参加的绩效评价工作组，负责组织制定绩效自评工作方案、下达绩效自评通知书、组织厅本级及所属单位自评、审核自评材料、开展现场检查及撰写自评报告等工作</w:t>
      </w:r>
      <w:r>
        <w:rPr>
          <w:rFonts w:hint="default" w:ascii="Times New Roman" w:hAnsi="Times New Roman" w:eastAsia="仿宋_GB2312" w:cs="Times New Roman"/>
          <w:color w:val="auto"/>
          <w:kern w:val="2"/>
          <w:sz w:val="32"/>
          <w:szCs w:val="32"/>
          <w:highlight w:val="none"/>
          <w:lang w:eastAsia="zh-CN" w:bidi="ar"/>
        </w:rPr>
        <w:t>。</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2.直属单位自查</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厅所属单位根据绩效评价通知要求进行自评，填报部门整体支出绩效评价基础数据表</w:t>
      </w:r>
      <w:r>
        <w:rPr>
          <w:rFonts w:hint="default" w:ascii="Times New Roman" w:hAnsi="Times New Roman" w:eastAsia="仿宋_GB2312" w:cs="Times New Roman"/>
          <w:color w:val="auto"/>
          <w:kern w:val="2"/>
          <w:sz w:val="32"/>
          <w:szCs w:val="32"/>
          <w:highlight w:val="none"/>
          <w:lang w:eastAsia="zh-CN" w:bidi="ar"/>
        </w:rPr>
        <w:t>、</w:t>
      </w:r>
      <w:r>
        <w:rPr>
          <w:rFonts w:hint="eastAsia" w:ascii="Times New Roman" w:hAnsi="Times New Roman" w:cs="Times New Roman"/>
          <w:color w:val="auto"/>
          <w:kern w:val="2"/>
          <w:sz w:val="32"/>
          <w:szCs w:val="32"/>
          <w:highlight w:val="none"/>
          <w:lang w:eastAsia="zh-CN" w:bidi="ar"/>
        </w:rPr>
        <w:t>绩效</w:t>
      </w:r>
      <w:r>
        <w:rPr>
          <w:rFonts w:hint="default" w:ascii="Times New Roman" w:hAnsi="Times New Roman" w:eastAsia="仿宋_GB2312" w:cs="Times New Roman"/>
          <w:color w:val="auto"/>
          <w:kern w:val="2"/>
          <w:sz w:val="32"/>
          <w:szCs w:val="32"/>
          <w:highlight w:val="none"/>
          <w:lang w:val="en-US" w:eastAsia="zh-CN" w:bidi="ar"/>
        </w:rPr>
        <w:t>自评表</w:t>
      </w:r>
      <w:r>
        <w:rPr>
          <w:rFonts w:hint="default" w:ascii="Times New Roman" w:hAnsi="Times New Roman" w:eastAsia="仿宋_GB2312" w:cs="Times New Roman"/>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项目支出绩效自评表，按照规定的文本格式和要求撰写单位整体支出绩效自评报告。</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3.现场抽查评价</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绩效评价工作组在自评结束</w:t>
      </w:r>
      <w:r>
        <w:rPr>
          <w:rFonts w:hint="default" w:ascii="Times New Roman" w:hAnsi="Times New Roman" w:eastAsia="仿宋_GB2312" w:cs="Times New Roman"/>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组织人员</w:t>
      </w:r>
      <w:r>
        <w:rPr>
          <w:rFonts w:hint="default" w:ascii="Times New Roman" w:hAnsi="Times New Roman" w:eastAsia="仿宋_GB2312" w:cs="Times New Roman"/>
          <w:color w:val="auto"/>
          <w:kern w:val="2"/>
          <w:sz w:val="32"/>
          <w:szCs w:val="32"/>
          <w:highlight w:val="none"/>
          <w:lang w:eastAsia="zh-CN" w:bidi="ar"/>
        </w:rPr>
        <w:t>对厅本级、</w:t>
      </w:r>
      <w:r>
        <w:rPr>
          <w:rFonts w:hint="eastAsia" w:ascii="Times New Roman" w:hAnsi="Times New Roman" w:cs="Times New Roman"/>
          <w:color w:val="auto"/>
          <w:kern w:val="2"/>
          <w:sz w:val="32"/>
          <w:szCs w:val="32"/>
          <w:highlight w:val="none"/>
          <w:lang w:val="en-US" w:eastAsia="zh-CN" w:bidi="ar"/>
        </w:rPr>
        <w:t>湖南省文化馆、</w:t>
      </w:r>
      <w:r>
        <w:rPr>
          <w:rFonts w:hint="default" w:ascii="Times New Roman" w:hAnsi="Times New Roman" w:eastAsia="仿宋_GB2312" w:cs="Times New Roman"/>
          <w:color w:val="auto"/>
          <w:kern w:val="2"/>
          <w:sz w:val="32"/>
          <w:szCs w:val="32"/>
          <w:highlight w:val="none"/>
          <w:lang w:eastAsia="zh-CN" w:bidi="ar"/>
        </w:rPr>
        <w:t>湖南</w:t>
      </w:r>
      <w:r>
        <w:rPr>
          <w:rFonts w:hint="eastAsia" w:ascii="Times New Roman" w:hAnsi="Times New Roman" w:cs="Times New Roman"/>
          <w:color w:val="auto"/>
          <w:kern w:val="2"/>
          <w:sz w:val="32"/>
          <w:szCs w:val="32"/>
          <w:highlight w:val="none"/>
          <w:lang w:val="en-US" w:eastAsia="zh-CN" w:bidi="ar"/>
        </w:rPr>
        <w:t>省文物考古研究院、湖南省湘剧院等8家单位</w:t>
      </w:r>
      <w:r>
        <w:rPr>
          <w:rFonts w:hint="default" w:ascii="Times New Roman" w:hAnsi="Times New Roman" w:eastAsia="仿宋_GB2312" w:cs="Times New Roman"/>
          <w:color w:val="auto"/>
          <w:kern w:val="2"/>
          <w:sz w:val="32"/>
          <w:szCs w:val="32"/>
          <w:highlight w:val="none"/>
          <w:lang w:val="en-US" w:eastAsia="zh-CN" w:bidi="ar"/>
        </w:rPr>
        <w:t>开展现场评价，形成绩效评价底稿。</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bidi="ar"/>
        </w:rPr>
        <w:t>4.出具报告</w:t>
      </w:r>
      <w:r>
        <w:rPr>
          <w:rFonts w:hint="default" w:ascii="Times New Roman" w:hAnsi="Times New Roman" w:eastAsia="仿宋_GB2312" w:cs="Times New Roman"/>
          <w:b/>
          <w:bCs/>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绩效评价工作组综合前期资料审核和分析等情况，初步形成绩效评价总体结论，经过集体讨论、认真审核，按照规定的文本格式和相关要求撰写绩效评价报告</w:t>
      </w:r>
      <w:r>
        <w:rPr>
          <w:rFonts w:hint="default" w:ascii="Times New Roman" w:hAnsi="Times New Roman" w:eastAsia="仿宋_GB2312" w:cs="Times New Roman"/>
          <w:color w:val="auto"/>
          <w:kern w:val="2"/>
          <w:sz w:val="32"/>
          <w:szCs w:val="32"/>
          <w:highlight w:val="none"/>
          <w:lang w:eastAsia="zh-CN" w:bidi="ar"/>
        </w:rPr>
        <w:t>，经与相关处室（单位）沟通确认</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eastAsia="zh-CN" w:bidi="ar"/>
        </w:rPr>
        <w:t>并提交有关厅领导审核后，</w:t>
      </w:r>
      <w:r>
        <w:rPr>
          <w:rFonts w:hint="default" w:ascii="Times New Roman" w:hAnsi="Times New Roman" w:eastAsia="仿宋_GB2312" w:cs="Times New Roman"/>
          <w:color w:val="auto"/>
          <w:kern w:val="2"/>
          <w:sz w:val="32"/>
          <w:szCs w:val="32"/>
          <w:highlight w:val="none"/>
          <w:lang w:val="en-US" w:eastAsia="zh-CN" w:bidi="ar"/>
        </w:rPr>
        <w:t>形成正式绩效评价报告。</w:t>
      </w:r>
    </w:p>
    <w:p>
      <w:pPr>
        <w:pStyle w:val="3"/>
        <w:keepNext/>
        <w:keepLines/>
        <w:widowControl w:val="0"/>
        <w:suppressLineNumbers w:val="0"/>
        <w:shd w:val="clear"/>
        <w:autoSpaceDE w:val="0"/>
        <w:autoSpaceDN/>
        <w:bidi w:val="0"/>
        <w:ind w:left="0" w:firstLine="642" w:firstLineChars="200"/>
        <w:rPr>
          <w:rFonts w:hint="default" w:ascii="Times New Roman" w:hAnsi="Times New Roman" w:eastAsia="楷体_GB2312" w:cs="Times New Roman"/>
          <w:b/>
          <w:bCs w:val="0"/>
          <w:color w:val="auto"/>
          <w:kern w:val="2"/>
          <w:sz w:val="32"/>
          <w:szCs w:val="32"/>
          <w:highlight w:val="none"/>
        </w:rPr>
      </w:pPr>
      <w:bookmarkStart w:id="32" w:name="_Toc8803"/>
      <w:r>
        <w:rPr>
          <w:rFonts w:hint="default" w:ascii="Times New Roman" w:hAnsi="Times New Roman" w:eastAsia="楷体_GB2312" w:cs="Times New Roman"/>
          <w:b/>
          <w:bCs w:val="0"/>
          <w:color w:val="auto"/>
          <w:kern w:val="2"/>
          <w:sz w:val="32"/>
          <w:szCs w:val="32"/>
          <w:highlight w:val="none"/>
        </w:rPr>
        <w:t>（三）绩效自评结果</w:t>
      </w:r>
      <w:bookmarkEnd w:id="32"/>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kern w:val="2"/>
          <w:sz w:val="32"/>
          <w:szCs w:val="32"/>
          <w:highlight w:val="none"/>
          <w:lang w:val="en-US" w:eastAsia="zh-CN" w:bidi="ar"/>
        </w:rPr>
        <w:t>综合分析各单位自评情况及抽查结果，按照指标评分标准，202</w:t>
      </w:r>
      <w:r>
        <w:rPr>
          <w:rFonts w:hint="eastAsia" w:ascii="Times New Roman" w:hAnsi="Times New Roman" w:cs="Times New Roman"/>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US" w:eastAsia="zh-CN" w:bidi="ar"/>
        </w:rPr>
        <w:t>年度</w:t>
      </w:r>
      <w:r>
        <w:rPr>
          <w:rFonts w:hint="default" w:ascii="Times New Roman" w:hAnsi="Times New Roman" w:eastAsia="仿宋_GB2312" w:cs="Times New Roman"/>
          <w:color w:val="auto"/>
          <w:kern w:val="2"/>
          <w:sz w:val="32"/>
          <w:szCs w:val="32"/>
          <w:highlight w:val="none"/>
          <w:lang w:eastAsia="zh-CN" w:bidi="ar"/>
        </w:rPr>
        <w:t>我厅</w:t>
      </w:r>
      <w:r>
        <w:rPr>
          <w:rFonts w:hint="default" w:ascii="Times New Roman" w:hAnsi="Times New Roman" w:eastAsia="仿宋_GB2312" w:cs="Times New Roman"/>
          <w:color w:val="auto"/>
          <w:kern w:val="2"/>
          <w:sz w:val="32"/>
          <w:szCs w:val="32"/>
          <w:highlight w:val="none"/>
          <w:lang w:val="en-US" w:eastAsia="zh-CN" w:bidi="ar"/>
        </w:rPr>
        <w:t>部门整体支出绩效自评综合得分为</w:t>
      </w:r>
      <w:r>
        <w:rPr>
          <w:rFonts w:hint="eastAsia" w:ascii="Times New Roman" w:hAnsi="Times New Roman" w:cs="Times New Roman"/>
          <w:color w:val="auto"/>
          <w:kern w:val="2"/>
          <w:sz w:val="32"/>
          <w:szCs w:val="32"/>
          <w:highlight w:val="none"/>
          <w:lang w:val="en-US" w:eastAsia="zh-CN" w:bidi="ar"/>
        </w:rPr>
        <w:t>93.33</w:t>
      </w:r>
      <w:r>
        <w:rPr>
          <w:rFonts w:hint="default" w:ascii="Times New Roman" w:hAnsi="Times New Roman" w:eastAsia="仿宋_GB2312" w:cs="Times New Roman"/>
          <w:color w:val="auto"/>
          <w:kern w:val="2"/>
          <w:sz w:val="32"/>
          <w:szCs w:val="32"/>
          <w:highlight w:val="none"/>
          <w:lang w:val="en-US" w:eastAsia="zh-CN" w:bidi="ar"/>
        </w:rPr>
        <w:t>分，评价等级为“</w:t>
      </w:r>
      <w:r>
        <w:rPr>
          <w:rFonts w:hint="eastAsia" w:ascii="Times New Roman" w:hAnsi="Times New Roman" w:cs="Times New Roman"/>
          <w:color w:val="auto"/>
          <w:kern w:val="2"/>
          <w:sz w:val="32"/>
          <w:szCs w:val="32"/>
          <w:highlight w:val="none"/>
          <w:lang w:val="en-US" w:eastAsia="zh-CN" w:bidi="ar"/>
        </w:rPr>
        <w:t>良</w:t>
      </w:r>
      <w:r>
        <w:rPr>
          <w:rFonts w:hint="default" w:ascii="Times New Roman" w:hAnsi="Times New Roman" w:eastAsia="仿宋_GB2312" w:cs="Times New Roman"/>
          <w:color w:val="auto"/>
          <w:kern w:val="2"/>
          <w:sz w:val="32"/>
          <w:szCs w:val="32"/>
          <w:highlight w:val="none"/>
          <w:lang w:val="en-US" w:eastAsia="zh-CN" w:bidi="ar"/>
        </w:rPr>
        <w:t>”（详见附件</w:t>
      </w:r>
      <w:r>
        <w:rPr>
          <w:rFonts w:hint="eastAsia" w:ascii="Times New Roman" w:hAnsi="Times New Roman" w:cs="Times New Roman"/>
          <w:color w:val="auto"/>
          <w:kern w:val="2"/>
          <w:sz w:val="32"/>
          <w:szCs w:val="32"/>
          <w:highlight w:val="none"/>
          <w:lang w:val="en-US" w:eastAsia="zh-CN" w:bidi="ar"/>
        </w:rPr>
        <w:t>2</w:t>
      </w:r>
      <w:r>
        <w:rPr>
          <w:rFonts w:hint="default" w:ascii="Times New Roman" w:hAnsi="Times New Roman" w:eastAsia="仿宋_GB2312" w:cs="Times New Roman"/>
          <w:color w:val="auto"/>
          <w:kern w:val="2"/>
          <w:sz w:val="32"/>
          <w:szCs w:val="32"/>
          <w:highlight w:val="none"/>
          <w:lang w:val="en-US" w:eastAsia="zh-CN" w:bidi="ar"/>
        </w:rPr>
        <w:t>）。</w:t>
      </w:r>
    </w:p>
    <w:p>
      <w:pPr>
        <w:pStyle w:val="2"/>
        <w:shd w:val="clear"/>
        <w:bidi w:val="0"/>
        <w:rPr>
          <w:rFonts w:hint="default" w:ascii="Times New Roman" w:hAnsi="Times New Roman" w:cs="Times New Roman"/>
          <w:color w:val="auto"/>
          <w:highlight w:val="none"/>
          <w:lang w:val="en-US" w:eastAsia="zh-CN"/>
        </w:rPr>
      </w:pPr>
      <w:bookmarkStart w:id="33" w:name="_Toc23365"/>
      <w:r>
        <w:rPr>
          <w:rFonts w:hint="eastAsia" w:ascii="Times New Roman" w:hAnsi="Times New Roman" w:cs="Times New Roman"/>
          <w:color w:val="auto"/>
          <w:highlight w:val="none"/>
          <w:lang w:val="en-US" w:eastAsia="zh-CN"/>
        </w:rPr>
        <w:t>七</w:t>
      </w:r>
      <w:r>
        <w:rPr>
          <w:rFonts w:hint="default" w:ascii="Times New Roman" w:hAnsi="Times New Roman" w:cs="Times New Roman"/>
          <w:color w:val="auto"/>
          <w:highlight w:val="none"/>
          <w:lang w:val="en-US" w:eastAsia="zh-CN"/>
        </w:rPr>
        <w:t>、部门整体支出绩效情况</w:t>
      </w:r>
      <w:bookmarkEnd w:id="33"/>
    </w:p>
    <w:p>
      <w:pPr>
        <w:keepNext w:val="0"/>
        <w:keepLines w:val="0"/>
        <w:widowControl/>
        <w:suppressLineNumbers w:val="0"/>
        <w:shd w:val="clear"/>
        <w:spacing w:before="150" w:beforeAutospacing="0" w:after="0" w:afterAutospacing="0" w:line="560" w:lineRule="exact"/>
        <w:ind w:left="0" w:right="0"/>
        <w:jc w:val="left"/>
        <w:rPr>
          <w:rFonts w:hint="default" w:ascii="Times New Roman" w:hAnsi="Times New Roman" w:cs="Times New Roman"/>
          <w:color w:val="auto"/>
          <w:sz w:val="24"/>
          <w:szCs w:val="24"/>
          <w:highlight w:val="none"/>
          <w:lang w:bidi="ar"/>
        </w:rPr>
      </w:pPr>
      <w:r>
        <w:rPr>
          <w:rFonts w:hint="eastAsia" w:ascii="Times New Roman" w:hAnsi="Times New Roman" w:cs="Times New Roman"/>
          <w:color w:val="auto"/>
          <w:highlight w:val="none"/>
          <w:lang w:val="en-US" w:eastAsia="zh-CN"/>
        </w:rPr>
        <w:t>2023年，</w:t>
      </w:r>
      <w:r>
        <w:rPr>
          <w:rFonts w:hint="default" w:ascii="Times New Roman" w:hAnsi="Times New Roman" w:cs="Times New Roman"/>
          <w:color w:val="auto"/>
          <w:highlight w:val="none"/>
        </w:rPr>
        <w:t>在省委、省政府的正确领导下，在厅党组的高度重视和坚强领导下，</w:t>
      </w:r>
      <w:r>
        <w:rPr>
          <w:rFonts w:hint="default" w:ascii="Times New Roman" w:hAnsi="Times New Roman" w:cs="Times New Roman"/>
          <w:color w:val="auto"/>
          <w:highlight w:val="none"/>
          <w:lang w:val="en-US" w:eastAsia="zh-CN"/>
        </w:rPr>
        <w:t>以学习贯彻习近平新时代中国特色社会主义思想主题教育为抓手，认真贯彻落实省委、省政府工作部署，紧紧围绕“打好发展六仗”、加快建设文化强省和世界旅游目的地，扎扎实实“学思想、强党性、重实践、建新功”，</w:t>
      </w:r>
      <w:r>
        <w:rPr>
          <w:rFonts w:hint="default" w:ascii="Times New Roman" w:hAnsi="Times New Roman" w:cs="Times New Roman"/>
          <w:color w:val="auto"/>
          <w:highlight w:val="none"/>
        </w:rPr>
        <w:t>各个处室密切配合</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服务大局，</w:t>
      </w:r>
      <w:r>
        <w:rPr>
          <w:rFonts w:hint="default" w:ascii="Times New Roman" w:hAnsi="Times New Roman" w:cs="Times New Roman"/>
          <w:color w:val="auto"/>
          <w:highlight w:val="none"/>
          <w:lang w:val="en-US" w:eastAsia="zh-CN"/>
        </w:rPr>
        <w:t>各项工作干在实处、下足实功，</w:t>
      </w:r>
      <w:r>
        <w:rPr>
          <w:rFonts w:hint="default" w:ascii="Times New Roman" w:hAnsi="Times New Roman" w:cs="Times New Roman"/>
          <w:color w:val="auto"/>
          <w:highlight w:val="none"/>
        </w:rPr>
        <w:t>较好地完成了各项工作。主要工作成效如下：</w:t>
      </w:r>
    </w:p>
    <w:p>
      <w:pPr>
        <w:pStyle w:val="3"/>
        <w:shd w:val="clear"/>
        <w:rPr>
          <w:rFonts w:hint="default" w:ascii="Times New Roman" w:hAnsi="Times New Roman" w:cs="Times New Roman"/>
          <w:b/>
          <w:bCs/>
          <w:color w:val="auto"/>
          <w:highlight w:val="none"/>
          <w:lang w:val="en-US" w:eastAsia="zh-CN"/>
        </w:rPr>
      </w:pPr>
      <w:bookmarkStart w:id="34" w:name="_Toc10762"/>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一</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把准艺术工作方向，聚焦精品创作，提升湖湘文化影响力</w:t>
      </w:r>
      <w:bookmarkEnd w:id="34"/>
    </w:p>
    <w:p>
      <w:pPr>
        <w:keepNext w:val="0"/>
        <w:keepLines w:val="0"/>
        <w:pageBreakBefore w:val="0"/>
        <w:widowControl w:val="0"/>
        <w:numPr>
          <w:ilvl w:val="0"/>
          <w:numId w:val="0"/>
        </w:numPr>
        <w:shd w:val="clear"/>
        <w:kinsoku/>
        <w:wordWrap/>
        <w:overflowPunct/>
        <w:topLinePunct w:val="0"/>
        <w:autoSpaceDE/>
        <w:autoSpaceDN/>
        <w:bidi w:val="0"/>
        <w:adjustRightInd/>
        <w:snapToGrid w:val="0"/>
        <w:spacing w:line="560" w:lineRule="exact"/>
        <w:ind w:firstLine="642"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bookmarkStart w:id="35" w:name="_Toc20655"/>
      <w:bookmarkStart w:id="36" w:name="_Toc12811"/>
      <w:r>
        <w:rPr>
          <w:rFonts w:hint="eastAsia" w:ascii="楷体_GB2312" w:hAnsi="楷体_GB2312" w:eastAsia="楷体_GB2312" w:cs="楷体_GB2312"/>
          <w:b/>
          <w:bCs/>
          <w:color w:val="auto"/>
          <w:sz w:val="32"/>
          <w:szCs w:val="32"/>
          <w:highlight w:val="none"/>
          <w:lang w:val="en-US" w:eastAsia="zh-CN"/>
        </w:rPr>
        <w:t>1.聚焦时代主题，艺术创作成果丰硕。</w:t>
      </w:r>
      <w:r>
        <w:rPr>
          <w:rFonts w:hint="eastAsia" w:ascii="仿宋_GB2312" w:hAnsi="仿宋_GB2312" w:eastAsia="仿宋_GB2312" w:cs="仿宋_GB2312"/>
          <w:color w:val="auto"/>
          <w:sz w:val="32"/>
          <w:szCs w:val="32"/>
          <w:highlight w:val="none"/>
          <w:lang w:val="en-US" w:eastAsia="zh-CN"/>
        </w:rPr>
        <w:t>紧紧围绕毛泽东同志诞辰130周年、乡村振兴、第八届湖南艺术节、湖湘红色文化等重大题材和重要时间节点抓好现实题材剧目创作，记录新时代、书写新时代、讴歌新时代，艺术创作成果丰硕。我厅多次组织剧本论证会和首演审看会，严把艺术质量和意识形态关。2023年修改、提升、新创30多台大型舞台精品剧目，创作40多个小型舞台作品。</w:t>
      </w:r>
      <w:r>
        <w:rPr>
          <w:rFonts w:hint="eastAsia" w:ascii="仿宋_GB2312" w:hAnsi="仿宋_GB2312" w:cs="仿宋_GB2312"/>
          <w:color w:val="auto"/>
          <w:sz w:val="32"/>
          <w:szCs w:val="32"/>
          <w:highlight w:val="none"/>
          <w:lang w:val="en-US" w:eastAsia="zh-CN"/>
        </w:rPr>
        <w:t>舞台</w:t>
      </w:r>
      <w:r>
        <w:rPr>
          <w:rFonts w:hint="eastAsia" w:ascii="仿宋_GB2312" w:hAnsi="仿宋_GB2312" w:eastAsia="仿宋_GB2312" w:cs="仿宋_GB2312"/>
          <w:color w:val="auto"/>
          <w:sz w:val="32"/>
          <w:szCs w:val="32"/>
          <w:highlight w:val="none"/>
          <w:lang w:val="en-US" w:eastAsia="zh-CN"/>
        </w:rPr>
        <w:t>剧《</w:t>
      </w:r>
      <w:r>
        <w:rPr>
          <w:rFonts w:hint="eastAsia" w:ascii="仿宋_GB2312" w:hAnsi="仿宋_GB2312" w:cs="仿宋_GB2312"/>
          <w:color w:val="auto"/>
          <w:sz w:val="32"/>
          <w:szCs w:val="32"/>
          <w:highlight w:val="none"/>
          <w:lang w:val="en-US" w:eastAsia="zh-CN"/>
        </w:rPr>
        <w:t>热血当歌</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花鼓戏《花猪司令》、《左相训女》、《敲门》、《春草闯堂》，歌剧《八百矿工上矿山》，巴陵戏</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共饮一江水</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话剧《湘伢子雷锋》，音乐剧《九歌》、《倩之韵秋》等新创、修改、提升大型剧目完成审查演出。文旅融合舞台演艺产品《天宠湖南》、《德夯幻境》、《恰同学少年》、《圣山下的苗寨》、《彩云郴阳》、《柳叶船说》等先后投放市场。湘剧《山路弯弯》，花鼓戏《火宫殿》、《仰望星空》，京剧《皿方罍》，舞剧《王船山》，木偶剧《我要飞翔》等大型剧目正在创排中。</w:t>
      </w:r>
      <w:r>
        <w:rPr>
          <w:rFonts w:hint="eastAsia" w:ascii="仿宋_GB2312" w:hAnsi="仿宋_GB2312" w:eastAsia="仿宋_GB2312" w:cs="仿宋_GB2312"/>
          <w:color w:val="auto"/>
          <w:sz w:val="32"/>
          <w:szCs w:val="32"/>
          <w:highlight w:val="none"/>
          <w:lang w:val="en-US" w:eastAsia="zh-CN"/>
        </w:rPr>
        <w:t>湘剧《山路弯弯》被省委宣传部列入2023年全省重点文艺项目，花鼓戏《夫子正传》喜获第九届中国戏剧奖曹禺剧本奖（第25届剧本奖）</w:t>
      </w:r>
      <w:r>
        <w:rPr>
          <w:rFonts w:hint="eastAsia" w:ascii="仿宋_GB2312" w:hAnsi="仿宋_GB2312" w:eastAsia="仿宋_GB2312" w:cs="仿宋_GB2312"/>
          <w:color w:val="auto"/>
          <w:sz w:val="32"/>
          <w:szCs w:val="32"/>
          <w:highlight w:val="none"/>
          <w:lang w:val="en-US" w:eastAsia="zh-CN"/>
        </w:rPr>
        <w:t>。</w:t>
      </w:r>
    </w:p>
    <w:p>
      <w:pPr>
        <w:pStyle w:val="54"/>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2" w:firstLineChars="200"/>
        <w:jc w:val="both"/>
        <w:textAlignment w:val="auto"/>
        <w:outlineLvl w:val="9"/>
        <w:rPr>
          <w:rFonts w:hint="default" w:ascii="Times New Roman" w:hAnsi="Times New Roman" w:eastAsia="仿宋_GB2312" w:cs="Times New Roman"/>
          <w:color w:val="auto"/>
          <w:sz w:val="32"/>
          <w:szCs w:val="32"/>
          <w:highlight w:val="none"/>
          <w:lang w:val="en-US" w:eastAsia="zh-CN" w:bidi="ar-SA"/>
        </w:rPr>
      </w:pPr>
      <w:bookmarkStart w:id="37" w:name="_Toc4527"/>
      <w:r>
        <w:rPr>
          <w:rFonts w:hint="eastAsia" w:ascii="Times New Roman" w:hAnsi="Times New Roman" w:eastAsia="楷体_GB2312" w:cs="Times New Roman"/>
          <w:b/>
          <w:bCs w:val="0"/>
          <w:color w:val="auto"/>
          <w:sz w:val="32"/>
          <w:szCs w:val="32"/>
          <w:highlight w:val="none"/>
          <w:lang w:val="en-US" w:eastAsia="zh-CN"/>
        </w:rPr>
        <w:t>2.</w:t>
      </w:r>
      <w:bookmarkEnd w:id="35"/>
      <w:bookmarkEnd w:id="36"/>
      <w:r>
        <w:rPr>
          <w:rFonts w:hint="eastAsia" w:ascii="黑体" w:hAnsi="黑体" w:eastAsia="黑体" w:cs="黑体"/>
          <w:color w:val="auto"/>
          <w:sz w:val="32"/>
          <w:szCs w:val="32"/>
          <w:highlight w:val="none"/>
          <w:lang w:val="en-US" w:eastAsia="zh-CN"/>
        </w:rPr>
        <w:t>以推出精品力作为核心，创新讲好湖南故事。</w:t>
      </w:r>
      <w:r>
        <w:rPr>
          <w:rFonts w:hint="eastAsia" w:ascii="仿宋_GB2312" w:hAnsi="仿宋_GB2312" w:eastAsia="仿宋_GB2312" w:cs="仿宋_GB2312"/>
          <w:b/>
          <w:bCs/>
          <w:color w:val="auto"/>
          <w:sz w:val="32"/>
          <w:szCs w:val="32"/>
          <w:highlight w:val="none"/>
          <w:lang w:eastAsia="zh-CN"/>
        </w:rPr>
        <w:t>一是</w:t>
      </w:r>
      <w:r>
        <w:rPr>
          <w:rFonts w:hint="eastAsia" w:ascii="仿宋_GB2312" w:hAnsi="仿宋_GB2312" w:eastAsia="仿宋_GB2312" w:cs="仿宋_GB2312"/>
          <w:color w:val="auto"/>
          <w:sz w:val="32"/>
          <w:szCs w:val="32"/>
          <w:highlight w:val="none"/>
          <w:lang w:eastAsia="zh-CN"/>
        </w:rPr>
        <w:t>围绕“建国</w:t>
      </w:r>
      <w:r>
        <w:rPr>
          <w:rFonts w:hint="eastAsia" w:ascii="仿宋_GB2312" w:hAnsi="仿宋_GB2312" w:eastAsia="仿宋_GB2312" w:cs="仿宋_GB2312"/>
          <w:color w:val="auto"/>
          <w:sz w:val="32"/>
          <w:szCs w:val="32"/>
          <w:highlight w:val="none"/>
          <w:lang w:val="en-US" w:eastAsia="zh-CN"/>
        </w:rPr>
        <w:t>75周年”、习近平总书记在文艺工作座谈会上讲话10周年、乡村振兴等主题抓好现实题材剧目创作。</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引导文艺院团立足本土特色、发挥剧种优势，</w:t>
      </w:r>
      <w:r>
        <w:rPr>
          <w:rFonts w:hint="eastAsia" w:ascii="仿宋_GB2312" w:hAnsi="仿宋_GB2312" w:eastAsia="仿宋_GB2312" w:cs="仿宋_GB2312"/>
          <w:color w:val="auto"/>
          <w:sz w:val="32"/>
          <w:szCs w:val="32"/>
          <w:highlight w:val="none"/>
          <w:lang w:val="zh-CN" w:eastAsia="zh-CN"/>
        </w:rPr>
        <w:t>创作一批接地气、有温度、有影响的适合小剧场演出的小戏、小品和小节目。</w:t>
      </w:r>
      <w:r>
        <w:rPr>
          <w:rFonts w:hint="eastAsia" w:ascii="仿宋_GB2312" w:hAnsi="仿宋_GB2312" w:eastAsia="仿宋_GB2312" w:cs="仿宋_GB2312"/>
          <w:b/>
          <w:bCs/>
          <w:color w:val="auto"/>
          <w:sz w:val="32"/>
          <w:szCs w:val="32"/>
          <w:highlight w:val="none"/>
          <w:lang w:val="zh-CN" w:eastAsia="zh-CN"/>
        </w:rPr>
        <w:t>三是</w:t>
      </w:r>
      <w:r>
        <w:rPr>
          <w:rFonts w:hint="eastAsia" w:ascii="仿宋_GB2312" w:hAnsi="仿宋_GB2312" w:eastAsia="仿宋_GB2312" w:cs="仿宋_GB2312"/>
          <w:color w:val="auto"/>
          <w:sz w:val="32"/>
          <w:szCs w:val="32"/>
          <w:highlight w:val="none"/>
          <w:lang w:val="en-US" w:eastAsia="zh-CN"/>
        </w:rPr>
        <w:t>支持国有文艺院团进景区驻场演出，</w:t>
      </w:r>
      <w:r>
        <w:rPr>
          <w:rFonts w:hint="eastAsia" w:ascii="仿宋_GB2312" w:hAnsi="仿宋_GB2312" w:eastAsia="仿宋_GB2312" w:cs="仿宋_GB2312"/>
          <w:color w:val="auto"/>
          <w:sz w:val="32"/>
          <w:szCs w:val="32"/>
          <w:highlight w:val="none"/>
          <w:lang w:val="zh-CN" w:eastAsia="zh-CN"/>
        </w:rPr>
        <w:t>探索艺术与旅游深入融合路径，针对旅游景点打造演艺精品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实施美术精品创作工程，以本省红色文化、生态文化为重点，开展美术创作、举办主题展览。五是加强文艺评论和文艺研究工作，将</w:t>
      </w:r>
      <w:r>
        <w:rPr>
          <w:rFonts w:hint="eastAsia" w:ascii="仿宋_GB2312" w:hAnsi="仿宋_GB2312" w:eastAsia="仿宋_GB2312" w:cs="仿宋_GB2312"/>
          <w:bCs/>
          <w:color w:val="auto"/>
          <w:sz w:val="32"/>
          <w:szCs w:val="32"/>
          <w:highlight w:val="none"/>
          <w:lang w:val="en-US" w:eastAsia="zh-CN"/>
        </w:rPr>
        <w:t>文艺评论贯穿到优秀文艺作品创作生产的全过程。做好《湖南花鼓戏唱腔与中国民族声乐交流互鉴与创新发展研究》课题的持续升华和成果转化等工作。</w:t>
      </w:r>
      <w:bookmarkEnd w:id="37"/>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 w:eastAsia="zh-CN" w:bidi="ar-SA"/>
        </w:rPr>
      </w:pPr>
      <w:r>
        <w:rPr>
          <w:rFonts w:hint="eastAsia" w:ascii="Times New Roman" w:hAnsi="Times New Roman" w:eastAsia="楷体_GB2312" w:cs="Times New Roman"/>
          <w:b/>
          <w:bCs w:val="0"/>
          <w:color w:val="auto"/>
          <w:sz w:val="32"/>
          <w:szCs w:val="32"/>
          <w:highlight w:val="none"/>
          <w:lang w:val="en-US" w:eastAsia="zh-CN" w:bidi="ar-SA"/>
        </w:rPr>
        <w:t>3.</w:t>
      </w:r>
      <w:r>
        <w:rPr>
          <w:rFonts w:hint="eastAsia" w:ascii="黑体" w:hAnsi="黑体" w:eastAsia="黑体" w:cs="黑体"/>
          <w:color w:val="auto"/>
          <w:sz w:val="32"/>
          <w:szCs w:val="32"/>
          <w:highlight w:val="none"/>
          <w:lang w:val="en-US" w:eastAsia="zh-CN"/>
        </w:rPr>
        <w:t>以办好重大活动为关键，提升湖湘文化影响力。</w:t>
      </w:r>
      <w:r>
        <w:rPr>
          <w:rFonts w:hint="eastAsia" w:ascii="仿宋_GB2312" w:hAnsi="仿宋_GB2312" w:eastAsia="仿宋_GB2312" w:cs="仿宋_GB2312"/>
          <w:b w:val="0"/>
          <w:bCs w:val="0"/>
          <w:color w:val="auto"/>
          <w:sz w:val="32"/>
          <w:szCs w:val="32"/>
          <w:highlight w:val="none"/>
          <w:lang w:val="en-US" w:eastAsia="zh-CN"/>
        </w:rPr>
        <w:t>一是拟报请文化和旅游部、省人民政府共同主办2024全国优秀新创小戏剧展演，组织全国100个左右优秀小戏剧来湘集中展演。二是积极向文旅部艺术司汇报沟通，</w:t>
      </w:r>
      <w:r>
        <w:rPr>
          <w:rFonts w:hint="eastAsia" w:ascii="仿宋_GB2312" w:hAnsi="仿宋_GB2312" w:eastAsia="仿宋_GB2312" w:cs="仿宋_GB2312"/>
          <w:b w:val="0"/>
          <w:bCs w:val="0"/>
          <w:color w:val="auto"/>
          <w:sz w:val="32"/>
          <w:szCs w:val="32"/>
          <w:highlight w:val="none"/>
          <w:lang w:val="en-US" w:eastAsia="zh-CN"/>
        </w:rPr>
        <w:t>筹办</w:t>
      </w:r>
      <w:r>
        <w:rPr>
          <w:rFonts w:hint="eastAsia" w:ascii="仿宋_GB2312" w:hAnsi="仿宋_GB2312" w:cs="仿宋_GB2312"/>
          <w:b w:val="0"/>
          <w:bCs w:val="0"/>
          <w:color w:val="auto"/>
          <w:sz w:val="32"/>
          <w:szCs w:val="32"/>
          <w:highlight w:val="none"/>
          <w:lang w:val="en-US" w:eastAsia="zh-CN"/>
        </w:rPr>
        <w:t>首届全国优秀目连戏展暨学术研讨会，促进目连戏</w:t>
      </w:r>
      <w:r>
        <w:rPr>
          <w:rFonts w:hint="eastAsia" w:ascii="仿宋_GB2312" w:eastAsia="仿宋_GB2312" w:cs="Times New Roman"/>
          <w:color w:val="auto"/>
          <w:sz w:val="32"/>
          <w:szCs w:val="32"/>
          <w:highlight w:val="none"/>
        </w:rPr>
        <w:t>传播交流</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lang w:val="en-US" w:eastAsia="zh-CN"/>
        </w:rPr>
        <w:t>保护</w:t>
      </w:r>
      <w:r>
        <w:rPr>
          <w:rFonts w:hint="eastAsia" w:ascii="仿宋_GB2312" w:eastAsia="仿宋_GB2312" w:cs="Times New Roman"/>
          <w:color w:val="auto"/>
          <w:sz w:val="32"/>
          <w:szCs w:val="32"/>
          <w:highlight w:val="none"/>
        </w:rPr>
        <w:t>传承与发展</w:t>
      </w:r>
      <w:r>
        <w:rPr>
          <w:rFonts w:hint="eastAsia" w:ascii="仿宋_GB2312" w:eastAsia="仿宋_GB2312" w:cs="Times New Roman"/>
          <w:color w:val="auto"/>
          <w:sz w:val="32"/>
          <w:szCs w:val="32"/>
          <w:highlight w:val="none"/>
          <w:lang w:eastAsia="zh-CN"/>
        </w:rPr>
        <w:t>。</w:t>
      </w:r>
      <w:r>
        <w:rPr>
          <w:rFonts w:hint="eastAsia" w:ascii="仿宋_GB2312" w:hAnsi="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b w:val="0"/>
          <w:bCs w:val="0"/>
          <w:color w:val="auto"/>
          <w:kern w:val="2"/>
          <w:sz w:val="32"/>
          <w:szCs w:val="32"/>
          <w:highlight w:val="none"/>
          <w:lang w:val="en-US" w:eastAsia="zh-CN" w:bidi="ar-SA"/>
        </w:rPr>
        <w:t>在以往办节传统基础上，创新举办第八届湖南艺术节，进一步扩大节会规模、创新活动内容、丰富活动形式，</w:t>
      </w:r>
      <w:r>
        <w:rPr>
          <w:rFonts w:hint="eastAsia" w:ascii="仿宋_GB2312" w:hAnsi="仿宋_GB2312" w:cs="仿宋_GB2312"/>
          <w:b w:val="0"/>
          <w:bCs w:val="0"/>
          <w:color w:val="auto"/>
          <w:kern w:val="2"/>
          <w:sz w:val="32"/>
          <w:szCs w:val="32"/>
          <w:highlight w:val="none"/>
          <w:lang w:val="en-US" w:eastAsia="zh-CN" w:bidi="ar-SA"/>
        </w:rPr>
        <w:t>力争打造</w:t>
      </w:r>
      <w:r>
        <w:rPr>
          <w:rFonts w:hint="eastAsia" w:ascii="仿宋_GB2312" w:hAnsi="仿宋_GB2312" w:eastAsia="仿宋_GB2312" w:cs="仿宋_GB2312"/>
          <w:b w:val="0"/>
          <w:bCs w:val="0"/>
          <w:color w:val="auto"/>
          <w:kern w:val="2"/>
          <w:sz w:val="32"/>
          <w:szCs w:val="32"/>
          <w:highlight w:val="none"/>
          <w:lang w:val="en-US" w:eastAsia="zh-CN" w:bidi="ar-SA"/>
        </w:rPr>
        <w:t>一届成功的高质量的艺术节。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楷体_GB2312" w:cs="Times New Roman"/>
          <w:b/>
          <w:bCs w:val="0"/>
          <w:color w:val="auto"/>
          <w:sz w:val="32"/>
          <w:szCs w:val="32"/>
          <w:highlight w:val="none"/>
          <w:lang w:val="en-US" w:eastAsia="zh-CN" w:bidi="ar-SA"/>
        </w:rPr>
        <w:t>4.</w:t>
      </w:r>
      <w:r>
        <w:rPr>
          <w:rFonts w:hint="eastAsia" w:ascii="黑体" w:hAnsi="黑体" w:eastAsia="黑体" w:cs="黑体"/>
          <w:color w:val="auto"/>
          <w:sz w:val="32"/>
          <w:szCs w:val="32"/>
          <w:highlight w:val="none"/>
          <w:lang w:val="en-US" w:eastAsia="zh-CN"/>
        </w:rPr>
        <w:t>以强化民生工程为保障，扩大文化惠民覆盖面。</w:t>
      </w:r>
      <w:r>
        <w:rPr>
          <w:rFonts w:hint="eastAsia" w:ascii="仿宋_GB2312" w:hAnsi="仿宋_GB2312" w:eastAsia="仿宋_GB2312" w:cs="仿宋_GB2312"/>
          <w:color w:val="auto"/>
          <w:sz w:val="32"/>
          <w:szCs w:val="32"/>
          <w:highlight w:val="none"/>
          <w:lang w:val="en-US" w:eastAsia="zh-CN"/>
        </w:rPr>
        <w:t>开展演艺惠民活动，</w:t>
      </w:r>
      <w:r>
        <w:rPr>
          <w:rFonts w:hint="eastAsia" w:ascii="仿宋_GB2312" w:hAnsi="仿宋_GB2312" w:eastAsia="仿宋_GB2312" w:cs="仿宋_GB2312"/>
          <w:color w:val="auto"/>
          <w:sz w:val="32"/>
          <w:szCs w:val="32"/>
          <w:highlight w:val="none"/>
          <w:lang w:val="en-US" w:eastAsia="zh-CN"/>
        </w:rPr>
        <w:t>持续实施“湖南公共文化进村入户·戏曲进乡村”文化惠民项目，全省各县市区组织各类戏曲艺术表演团体深入全省3819个乡镇（村）开展惠民活动13000余场。</w:t>
      </w:r>
      <w:r>
        <w:rPr>
          <w:rFonts w:hint="eastAsia" w:ascii="仿宋_GB2312" w:hAnsi="仿宋_GB2312" w:eastAsia="仿宋_GB2312" w:cs="仿宋_GB2312"/>
          <w:color w:val="auto"/>
          <w:sz w:val="32"/>
          <w:szCs w:val="32"/>
          <w:highlight w:val="none"/>
          <w:lang w:val="en-US" w:eastAsia="zh-CN"/>
        </w:rPr>
        <w:t>实施戏曲公益性演出（濒危剧种免费或低票价演出）项目，在中央财政资金转移支付投入的基础上，省级配套部分资金，推动濒危剧种保护扶持。</w:t>
      </w:r>
      <w:r>
        <w:rPr>
          <w:rFonts w:hint="eastAsia" w:ascii="仿宋_GB2312" w:hAnsi="仿宋_GB2312" w:eastAsia="仿宋_GB2312" w:cs="仿宋_GB2312"/>
          <w:b w:val="0"/>
          <w:bCs w:val="0"/>
          <w:color w:val="auto"/>
          <w:sz w:val="32"/>
          <w:szCs w:val="32"/>
          <w:highlight w:val="none"/>
          <w:lang w:eastAsia="zh-CN"/>
        </w:rPr>
        <w:t>圆满完成全国性重大群众文艺活动。</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“启航新征程幸福中国年”</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“青云之上马路溪”全国“村晚”示范展示活动</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全年组织四季“村晚”1757场，参与2725.22万人次</w:t>
      </w:r>
      <w:r>
        <w:rPr>
          <w:rFonts w:hint="eastAsia" w:ascii="仿宋_GB2312" w:hAnsi="仿宋_GB2312" w:cs="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完成了“大地情深”全国优秀群众文艺作品区域示范性巡演（湖南）活动，获评“大地情深”全国优秀群众文艺作品巡演活动优秀组织单位</w:t>
      </w:r>
      <w:r>
        <w:rPr>
          <w:rFonts w:hint="eastAsia" w:ascii="Times New Roman" w:hAnsi="Times New Roman" w:cs="Times New Roman"/>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承办了2023年全国广场舞展演——湖南郴州片区（湖南、福建、江西、广东、海南、广西）广场舞大会</w:t>
      </w:r>
      <w:r>
        <w:rPr>
          <w:rFonts w:hint="eastAsia" w:ascii="仿宋_GB2312" w:hAnsi="仿宋_GB2312" w:cs="仿宋_GB2312"/>
          <w:color w:val="auto"/>
          <w:sz w:val="32"/>
          <w:szCs w:val="32"/>
          <w:highlight w:val="none"/>
          <w:lang w:val="en-US" w:eastAsia="zh-CN"/>
        </w:rPr>
        <w:t>；</w:t>
      </w:r>
      <w:r>
        <w:rPr>
          <w:rFonts w:hint="eastAsia" w:eastAsia="仿宋_GB2312" w:cs="Times New Roman"/>
          <w:color w:val="auto"/>
          <w:sz w:val="32"/>
          <w:szCs w:val="32"/>
          <w:highlight w:val="none"/>
          <w:lang w:val="en-US" w:eastAsia="zh-CN"/>
        </w:rPr>
        <w:t>完成了《和美乡村推荐官》全国交流展示首站活动。</w:t>
      </w:r>
    </w:p>
    <w:p>
      <w:pPr>
        <w:pStyle w:val="21"/>
        <w:keepNext w:val="0"/>
        <w:keepLines w:val="0"/>
        <w:pageBreakBefore w:val="0"/>
        <w:widowControl w:val="0"/>
        <w:shd w:val="clear"/>
        <w:kinsoku/>
        <w:wordWrap/>
        <w:overflowPunct/>
        <w:topLinePunct w:val="0"/>
        <w:autoSpaceDE/>
        <w:autoSpaceDN/>
        <w:bidi w:val="0"/>
        <w:adjustRightInd/>
        <w:snapToGrid/>
        <w:spacing w:after="0"/>
        <w:ind w:left="0" w:leftChars="0" w:firstLine="642" w:firstLineChars="200"/>
        <w:textAlignment w:val="auto"/>
        <w:rPr>
          <w:rFonts w:hint="eastAsia" w:ascii="仿宋_GB2312" w:hAnsi="仿宋_GB2312" w:eastAsia="仿宋_GB2312" w:cs="仿宋_GB2312"/>
          <w:color w:val="auto"/>
          <w:sz w:val="32"/>
          <w:szCs w:val="32"/>
          <w:highlight w:val="none"/>
          <w:lang w:val="en-US" w:eastAsia="zh-CN" w:bidi="ar-SA"/>
        </w:rPr>
      </w:pPr>
      <w:r>
        <w:rPr>
          <w:rFonts w:hint="eastAsia" w:ascii="Times New Roman" w:hAnsi="Times New Roman" w:eastAsia="楷体_GB2312" w:cs="Times New Roman"/>
          <w:b/>
          <w:bCs w:val="0"/>
          <w:color w:val="auto"/>
          <w:kern w:val="2"/>
          <w:sz w:val="32"/>
          <w:szCs w:val="32"/>
          <w:highlight w:val="none"/>
          <w:lang w:val="en-US" w:eastAsia="zh-CN" w:bidi="ar-SA"/>
        </w:rPr>
        <w:t>5.创新开展多个特色群众性文化品牌活动。</w:t>
      </w:r>
      <w:r>
        <w:rPr>
          <w:rFonts w:hint="eastAsia" w:ascii="仿宋_GB2312" w:hAnsi="仿宋_GB2312" w:eastAsia="仿宋_GB2312" w:cs="仿宋_GB2312"/>
          <w:color w:val="auto"/>
          <w:sz w:val="32"/>
          <w:szCs w:val="32"/>
          <w:highlight w:val="none"/>
          <w:lang w:val="en-US" w:eastAsia="zh-CN"/>
        </w:rPr>
        <w:t>组织开展了2023年“欢乐潇湘”群众文艺巡展演活动。在全省</w:t>
      </w:r>
      <w:r>
        <w:rPr>
          <w:rFonts w:hint="eastAsia" w:ascii="仿宋_GB2312" w:hAnsi="仿宋_GB2312" w:eastAsia="仿宋_GB2312" w:cs="仿宋_GB2312"/>
          <w:color w:val="auto"/>
          <w:sz w:val="32"/>
          <w:szCs w:val="32"/>
          <w:highlight w:val="none"/>
          <w:lang w:bidi="ar-SA"/>
        </w:rPr>
        <w:t>组织实施</w:t>
      </w:r>
      <w:r>
        <w:rPr>
          <w:rFonts w:hint="eastAsia" w:ascii="仿宋_GB2312" w:hAnsi="仿宋_GB2312" w:eastAsia="仿宋_GB2312" w:cs="仿宋_GB2312"/>
          <w:color w:val="auto"/>
          <w:sz w:val="32"/>
          <w:szCs w:val="32"/>
          <w:highlight w:val="none"/>
          <w:lang w:eastAsia="zh-CN" w:bidi="ar-SA"/>
        </w:rPr>
        <w:t>了</w:t>
      </w:r>
      <w:r>
        <w:rPr>
          <w:rFonts w:hint="eastAsia" w:ascii="仿宋_GB2312" w:hAnsi="仿宋_GB2312" w:eastAsia="仿宋_GB2312" w:cs="仿宋_GB2312"/>
          <w:color w:val="auto"/>
          <w:sz w:val="32"/>
          <w:szCs w:val="32"/>
          <w:highlight w:val="none"/>
          <w:lang w:bidi="ar-SA"/>
        </w:rPr>
        <w:t>“四季村晚”，活动</w:t>
      </w:r>
      <w:r>
        <w:rPr>
          <w:rFonts w:hint="eastAsia" w:ascii="仿宋_GB2312" w:hAnsi="仿宋_GB2312" w:eastAsia="仿宋_GB2312" w:cs="仿宋_GB2312"/>
          <w:color w:val="auto"/>
          <w:sz w:val="32"/>
          <w:szCs w:val="32"/>
          <w:highlight w:val="none"/>
          <w:lang w:eastAsia="zh-CN" w:bidi="ar-SA"/>
        </w:rPr>
        <w:t>创新结合了“四季”乡村旅游节，引导各地以“村晚”为平台，助推文旅融合，展现乡村风采，提升群众幸福感。</w:t>
      </w:r>
      <w:r>
        <w:rPr>
          <w:rFonts w:hint="eastAsia" w:ascii="仿宋_GB2312" w:hAnsi="仿宋_GB2312" w:eastAsia="仿宋_GB2312" w:cs="仿宋_GB2312"/>
          <w:color w:val="auto"/>
          <w:sz w:val="32"/>
          <w:szCs w:val="32"/>
          <w:highlight w:val="none"/>
          <w:lang w:val="en-US" w:eastAsia="zh-CN"/>
        </w:rPr>
        <w:t>持续实施“湖南公共文化进村入户·戏曲进乡村”文化惠民项目。组织实施</w:t>
      </w:r>
      <w:r>
        <w:rPr>
          <w:rFonts w:hint="eastAsia" w:ascii="仿宋_GB2312" w:hAnsi="仿宋_GB2312" w:eastAsia="仿宋_GB2312" w:cs="仿宋_GB2312"/>
          <w:color w:val="auto"/>
          <w:sz w:val="32"/>
          <w:szCs w:val="32"/>
          <w:highlight w:val="none"/>
          <w:lang w:bidi="ar-SA"/>
        </w:rPr>
        <w:t>“到群众最需要的地方去”学雷锋月活动及5场省级示范活动</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color w:val="auto"/>
          <w:sz w:val="32"/>
          <w:szCs w:val="32"/>
          <w:highlight w:val="none"/>
          <w:lang w:val="en-US" w:eastAsia="zh-CN" w:bidi="ar-SA"/>
        </w:rPr>
        <w:t>暑期大学生下乡志愿服务活动</w:t>
      </w:r>
      <w:r>
        <w:rPr>
          <w:rFonts w:hint="eastAsia" w:ascii="仿宋_GB2312" w:hAnsi="仿宋_GB2312" w:eastAsia="仿宋_GB2312" w:cs="仿宋_GB2312"/>
          <w:color w:val="auto"/>
          <w:sz w:val="32"/>
          <w:szCs w:val="32"/>
          <w:highlight w:val="none"/>
          <w:lang w:bidi="ar-SA"/>
        </w:rPr>
        <w:t>。</w:t>
      </w:r>
      <w:r>
        <w:rPr>
          <w:rFonts w:hint="eastAsia" w:ascii="仿宋_GB2312" w:hAnsi="仿宋_GB2312" w:eastAsia="仿宋_GB2312" w:cs="仿宋_GB2312"/>
          <w:color w:val="auto"/>
          <w:sz w:val="32"/>
          <w:szCs w:val="32"/>
          <w:highlight w:val="none"/>
          <w:lang w:val="en-US" w:eastAsia="zh-CN" w:bidi="ar-SA"/>
        </w:rPr>
        <w:t>圆满</w:t>
      </w:r>
      <w:r>
        <w:rPr>
          <w:rFonts w:hint="eastAsia" w:ascii="仿宋_GB2312" w:hAnsi="仿宋_GB2312" w:eastAsia="仿宋_GB2312" w:cs="仿宋_GB2312"/>
          <w:color w:val="auto"/>
          <w:sz w:val="32"/>
          <w:szCs w:val="32"/>
          <w:highlight w:val="none"/>
          <w:lang w:val="en" w:eastAsia="zh-CN" w:bidi="ar-SA"/>
        </w:rPr>
        <w:t>完成</w:t>
      </w:r>
      <w:r>
        <w:rPr>
          <w:rFonts w:hint="eastAsia" w:ascii="仿宋_GB2312" w:hAnsi="仿宋_GB2312" w:eastAsia="仿宋_GB2312" w:cs="仿宋_GB2312"/>
          <w:color w:val="auto"/>
          <w:sz w:val="32"/>
          <w:szCs w:val="32"/>
          <w:highlight w:val="none"/>
          <w:lang w:val="en-US" w:eastAsia="zh-CN" w:bidi="ar-SA"/>
        </w:rPr>
        <w:t>6地32场文旅部、国家民委“春雨工程”文化惠民、文化传承等交流活动。</w:t>
      </w:r>
      <w:r>
        <w:rPr>
          <w:rFonts w:hint="eastAsia" w:ascii="仿宋_GB2312" w:hAnsi="仿宋_GB2312" w:eastAsia="仿宋_GB2312" w:cs="仿宋_GB2312"/>
          <w:color w:val="auto"/>
          <w:sz w:val="32"/>
          <w:szCs w:val="32"/>
          <w:highlight w:val="none"/>
          <w:lang w:val="en-US" w:eastAsia="zh-CN" w:bidi="ar-SA"/>
        </w:rPr>
        <w:t>全省</w:t>
      </w:r>
      <w:r>
        <w:rPr>
          <w:rFonts w:hint="eastAsia" w:ascii="仿宋_GB2312" w:hAnsi="仿宋_GB2312" w:cs="仿宋_GB2312"/>
          <w:color w:val="auto"/>
          <w:sz w:val="32"/>
          <w:szCs w:val="32"/>
          <w:highlight w:val="none"/>
          <w:lang w:val="en-US" w:eastAsia="zh-CN" w:bidi="ar-SA"/>
        </w:rPr>
        <w:t>全年</w:t>
      </w:r>
      <w:r>
        <w:rPr>
          <w:rFonts w:hint="eastAsia" w:ascii="仿宋_GB2312" w:hAnsi="仿宋_GB2312" w:eastAsia="仿宋_GB2312" w:cs="仿宋_GB2312"/>
          <w:color w:val="auto"/>
          <w:sz w:val="32"/>
          <w:szCs w:val="32"/>
          <w:highlight w:val="none"/>
          <w:lang w:val="en-US" w:eastAsia="zh-CN" w:bidi="ar-SA"/>
        </w:rPr>
        <w:t>开展群众文化活动62622场，参与人次63918.94 万</w:t>
      </w:r>
      <w:r>
        <w:rPr>
          <w:rFonts w:hint="eastAsia" w:ascii="仿宋_GB2312" w:hAnsi="仿宋_GB2312" w:cs="仿宋_GB2312"/>
          <w:color w:val="auto"/>
          <w:sz w:val="32"/>
          <w:szCs w:val="32"/>
          <w:highlight w:val="none"/>
          <w:lang w:val="en-US" w:eastAsia="zh-CN" w:bidi="ar-SA"/>
        </w:rPr>
        <w:t>。</w:t>
      </w:r>
    </w:p>
    <w:p>
      <w:pPr>
        <w:pStyle w:val="21"/>
        <w:shd w:val="clear"/>
        <w:ind w:left="0" w:leftChars="0" w:firstLine="642" w:firstLineChars="200"/>
        <w:rPr>
          <w:rFonts w:hint="default" w:ascii="仿宋_GB2312" w:hAnsi="仿宋_GB2312" w:eastAsia="仿宋_GB2312" w:cs="仿宋_GB2312"/>
          <w:color w:val="auto"/>
          <w:sz w:val="32"/>
          <w:szCs w:val="32"/>
          <w:highlight w:val="none"/>
          <w:lang w:val="en-US" w:eastAsia="zh-CN" w:bidi="ar-SA"/>
        </w:rPr>
      </w:pPr>
      <w:r>
        <w:rPr>
          <w:rFonts w:hint="eastAsia" w:ascii="Times New Roman" w:hAnsi="Times New Roman" w:eastAsia="楷体_GB2312" w:cs="Times New Roman"/>
          <w:b/>
          <w:bCs w:val="0"/>
          <w:color w:val="auto"/>
          <w:kern w:val="2"/>
          <w:sz w:val="32"/>
          <w:szCs w:val="32"/>
          <w:highlight w:val="none"/>
          <w:lang w:val="en-US" w:eastAsia="zh-CN" w:bidi="ar-SA"/>
        </w:rPr>
        <w:t>6.聚焦关键领域、突出重要节点，确保文化市场规范有序。</w:t>
      </w:r>
      <w:r>
        <w:rPr>
          <w:rFonts w:hint="eastAsia" w:ascii="仿宋_GB2312" w:hAnsi="仿宋_GB2312" w:eastAsia="仿宋_GB2312" w:cs="仿宋_GB2312"/>
          <w:color w:val="auto"/>
          <w:sz w:val="32"/>
          <w:szCs w:val="32"/>
          <w:highlight w:val="none"/>
          <w:lang w:val="en-US" w:eastAsia="zh-CN" w:bidi="ar-SA"/>
        </w:rPr>
        <w:t>按</w:t>
      </w:r>
      <w:r>
        <w:rPr>
          <w:rFonts w:hint="eastAsia" w:ascii="仿宋_GB2312" w:hAnsi="仿宋_GB2312" w:eastAsia="仿宋_GB2312" w:cs="仿宋_GB2312"/>
          <w:color w:val="auto"/>
          <w:sz w:val="32"/>
          <w:szCs w:val="32"/>
          <w:highlight w:val="none"/>
          <w:lang w:val="en-US" w:eastAsia="zh-CN" w:bidi="ar-SA"/>
        </w:rPr>
        <w:t>照厅党组年度工作决策部署，坚持围绕中心、服务大局，坚持依法监督、依法执法，扎实推动年度工作落实</w:t>
      </w:r>
      <w:r>
        <w:rPr>
          <w:rFonts w:hint="eastAsia" w:ascii="仿宋_GB2312" w:hAnsi="仿宋_GB2312" w:cs="仿宋_GB2312"/>
          <w:color w:val="auto"/>
          <w:sz w:val="32"/>
          <w:szCs w:val="32"/>
          <w:highlight w:val="none"/>
          <w:lang w:val="en-US" w:eastAsia="zh-CN" w:bidi="ar-SA"/>
        </w:rPr>
        <w:t>。2023年度</w:t>
      </w:r>
      <w:r>
        <w:rPr>
          <w:rFonts w:hint="eastAsia" w:ascii="仿宋_GB2312" w:hAnsi="仿宋_GB2312" w:eastAsia="仿宋_GB2312" w:cs="仿宋_GB2312"/>
          <w:color w:val="auto"/>
          <w:sz w:val="32"/>
          <w:szCs w:val="32"/>
          <w:highlight w:val="none"/>
          <w:lang w:val="en-US" w:eastAsia="zh-CN" w:bidi="ar-SA"/>
        </w:rPr>
        <w:t>全省各级文化市场综合执法队伍共出动检查752766次、检查经营单位260575家次、责令改正1196家</w:t>
      </w:r>
      <w:r>
        <w:rPr>
          <w:rFonts w:hint="eastAsia" w:ascii="仿宋_GB2312" w:hAnsi="仿宋_GB2312" w:cs="仿宋_GB2312"/>
          <w:color w:val="auto"/>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bidi="ar-SA"/>
        </w:rPr>
        <w:t>责令停业整顿51家、吊销许可证4家、取缔2家，坚定维护了意识形态安全和文化安全，确保了文化市场平稳有序。</w:t>
      </w:r>
    </w:p>
    <w:p>
      <w:pPr>
        <w:pStyle w:val="3"/>
        <w:shd w:val="clear"/>
        <w:rPr>
          <w:rFonts w:hint="default" w:ascii="Times New Roman" w:hAnsi="Times New Roman" w:cs="Times New Roman"/>
          <w:b/>
          <w:bCs/>
          <w:color w:val="auto"/>
          <w:highlight w:val="none"/>
          <w:lang w:val="en-US" w:eastAsia="zh-CN"/>
        </w:rPr>
      </w:pPr>
      <w:bookmarkStart w:id="38" w:name="_Toc11053"/>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二</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强化政策引领和项目推动，激发消费活力，文旅市场供需两旺</w:t>
      </w:r>
      <w:bookmarkEnd w:id="38"/>
    </w:p>
    <w:p>
      <w:pPr>
        <w:widowControl w:val="0"/>
        <w:pBdr>
          <w:top w:val="none" w:color="auto" w:sz="0" w:space="0"/>
          <w:left w:val="none" w:color="auto" w:sz="0" w:space="0"/>
          <w:bottom w:val="none" w:color="auto" w:sz="0" w:space="0"/>
          <w:right w:val="none" w:color="auto" w:sz="0" w:space="0"/>
        </w:pBdr>
        <w:shd w:val="clear" w:color="auto"/>
        <w:wordWrap/>
        <w:adjustRightInd w:val="0"/>
        <w:snapToGrid w:val="0"/>
        <w:spacing w:before="0" w:beforeAutospacing="0" w:after="0" w:afterAutospacing="0" w:line="600" w:lineRule="exact"/>
        <w:ind w:left="0" w:firstLine="642" w:firstLineChars="200"/>
        <w:jc w:val="both"/>
        <w:rPr>
          <w:rFonts w:hint="eastAsia" w:ascii="仿宋_GB2312" w:hAnsi="Courier New" w:eastAsia="仿宋_GB2312" w:cs="Times New Roman"/>
          <w:color w:val="auto"/>
          <w:kern w:val="2"/>
          <w:sz w:val="32"/>
          <w:szCs w:val="32"/>
          <w:highlight w:val="none"/>
          <w:shd w:val="clear" w:color="auto" w:fill="auto"/>
          <w:lang w:val="en-US" w:eastAsia="zh-CN" w:bidi="ar-SA"/>
        </w:rPr>
      </w:pPr>
      <w:r>
        <w:rPr>
          <w:rFonts w:hint="eastAsia" w:ascii="仿宋_GB2312" w:hAnsi="Courier New" w:eastAsia="仿宋_GB2312" w:cs="Times New Roman"/>
          <w:b/>
          <w:bCs/>
          <w:color w:val="auto"/>
          <w:kern w:val="2"/>
          <w:sz w:val="32"/>
          <w:szCs w:val="32"/>
          <w:highlight w:val="none"/>
          <w:shd w:val="clear" w:color="auto" w:fill="auto"/>
          <w:lang w:val="en-US" w:eastAsia="zh-CN" w:bidi="ar-SA"/>
        </w:rPr>
        <w:t>1.强化政策引领，促进文旅市场复苏。</w:t>
      </w:r>
      <w:r>
        <w:rPr>
          <w:rFonts w:hint="eastAsia" w:ascii="仿宋_GB2312" w:hAnsi="Courier New" w:eastAsia="仿宋_GB2312" w:cs="Times New Roman"/>
          <w:color w:val="auto"/>
          <w:kern w:val="2"/>
          <w:sz w:val="32"/>
          <w:szCs w:val="32"/>
          <w:highlight w:val="none"/>
          <w:shd w:val="clear" w:color="auto" w:fill="auto"/>
          <w:lang w:val="en-US" w:eastAsia="zh-CN" w:bidi="ar-SA"/>
        </w:rPr>
        <w:t>年初制定了《打好全省文旅经济增长主动仗工作方案》，多方联动促进消费、系统</w:t>
      </w:r>
      <w:r>
        <w:rPr>
          <w:rFonts w:hint="eastAsia" w:ascii="仿宋_GB2312" w:hAnsi="Courier New" w:cs="Times New Roman"/>
          <w:color w:val="auto"/>
          <w:kern w:val="2"/>
          <w:sz w:val="32"/>
          <w:szCs w:val="32"/>
          <w:highlight w:val="none"/>
          <w:shd w:val="clear" w:color="auto" w:fill="auto"/>
          <w:lang w:val="en-US" w:eastAsia="zh-CN" w:bidi="ar-SA"/>
        </w:rPr>
        <w:t>施</w:t>
      </w:r>
      <w:r>
        <w:rPr>
          <w:rFonts w:hint="eastAsia" w:ascii="仿宋_GB2312" w:hAnsi="Courier New" w:eastAsia="仿宋_GB2312" w:cs="Times New Roman"/>
          <w:color w:val="auto"/>
          <w:kern w:val="2"/>
          <w:sz w:val="32"/>
          <w:szCs w:val="32"/>
          <w:highlight w:val="none"/>
          <w:shd w:val="clear" w:color="auto" w:fill="auto"/>
          <w:lang w:val="en-US" w:eastAsia="zh-CN" w:bidi="ar-SA"/>
        </w:rPr>
        <w:t>策扩大投资、整合资源丰富供给等八个方面统筹全省全年全行业重点工作，围绕目标、找准路径、明确措施、夯实责任、科学推进。我厅出台了《湖南促进文旅业复苏发展若干措施，重点从财政金融助力文旅投融资、多措并举激发新消费、丰富供给保障多样需求等五个方面，精准引导和支持全行业复苏发展。同时，通过出台“引客入湘”奖补政策、文明执法强化市场基础、加强人才培育提升市场服务等举措，进一步优化文旅市场发展空间和格局。</w:t>
      </w:r>
    </w:p>
    <w:p>
      <w:pPr>
        <w:keepNext w:val="0"/>
        <w:keepLines w:val="0"/>
        <w:pageBreakBefore w:val="0"/>
        <w:widowControl/>
        <w:suppressLineNumbers w:val="0"/>
        <w:shd w:val="clear"/>
        <w:kinsoku/>
        <w:wordWrap/>
        <w:overflowPunct/>
        <w:topLinePunct w:val="0"/>
        <w:autoSpaceDE/>
        <w:adjustRightInd w:val="0"/>
        <w:snapToGrid w:val="0"/>
        <w:spacing w:line="600" w:lineRule="exact"/>
        <w:ind w:firstLine="642" w:firstLineChars="200"/>
        <w:rPr>
          <w:rFonts w:hint="default" w:ascii="仿宋_GB2312" w:hAnsi="Times New Roman" w:eastAsia="仿宋_GB2312" w:cs="楷体"/>
          <w:b w:val="0"/>
          <w:bCs w:val="0"/>
          <w:color w:val="auto"/>
          <w:kern w:val="2"/>
          <w:sz w:val="32"/>
          <w:szCs w:val="32"/>
          <w:highlight w:val="none"/>
          <w:lang w:val="en-US" w:eastAsia="zh-CN" w:bidi="ar-SA"/>
        </w:rPr>
      </w:pPr>
      <w:r>
        <w:rPr>
          <w:rFonts w:hint="eastAsia" w:ascii="仿宋_GB2312" w:hAnsi="Arial" w:eastAsia="仿宋_GB2312" w:cs="Times New Roman"/>
          <w:b/>
          <w:bCs/>
          <w:color w:val="auto"/>
          <w:kern w:val="2"/>
          <w:sz w:val="32"/>
          <w:szCs w:val="32"/>
          <w:highlight w:val="none"/>
          <w:lang w:val="en-US" w:eastAsia="zh-CN" w:bidi="ar-SA"/>
        </w:rPr>
        <w:t>2.坚持项目推动，文旅投资</w:t>
      </w:r>
      <w:r>
        <w:rPr>
          <w:rFonts w:hint="eastAsia" w:ascii="仿宋_GB2312" w:hAnsi="Arial" w:eastAsia="仿宋_GB2312" w:cs="楷体_GB2312"/>
          <w:b/>
          <w:bCs/>
          <w:color w:val="auto"/>
          <w:kern w:val="2"/>
          <w:sz w:val="32"/>
          <w:szCs w:val="32"/>
          <w:highlight w:val="none"/>
          <w:lang w:val="en-US" w:eastAsia="zh-CN" w:bidi="ar-SA"/>
        </w:rPr>
        <w:t>整体向好。</w:t>
      </w:r>
      <w:r>
        <w:rPr>
          <w:rFonts w:hint="eastAsia" w:ascii="仿宋_GB2312" w:hAnsi="Times New Roman" w:eastAsia="仿宋_GB2312" w:cs="仿宋_GB2312"/>
          <w:color w:val="auto"/>
          <w:sz w:val="32"/>
          <w:szCs w:val="32"/>
          <w:highlight w:val="none"/>
        </w:rPr>
        <w:t>全省各地通过举办旅发大会推进重大文旅项目498个，郴州市文化艺术中心、711时光小镇等大批项目“变废为宝”“重获新生”。</w:t>
      </w:r>
      <w:r>
        <w:rPr>
          <w:rFonts w:hint="eastAsia" w:ascii="仿宋_GB2312" w:hAnsi="Times New Roman" w:eastAsia="仿宋_GB2312" w:cs="仿宋_GB2312"/>
          <w:b w:val="0"/>
          <w:bCs w:val="0"/>
          <w:color w:val="auto"/>
          <w:spacing w:val="0"/>
          <w:sz w:val="32"/>
          <w:szCs w:val="32"/>
          <w:highlight w:val="none"/>
          <w:lang w:val="en-US" w:eastAsia="zh-CN" w:bidi="ar-SA"/>
        </w:rPr>
        <w:t>编印《第二届湖南旅游发展大会重点文旅项目招商手册》，</w:t>
      </w:r>
      <w:r>
        <w:rPr>
          <w:rFonts w:hint="eastAsia" w:ascii="仿宋_GB2312" w:hAnsi="Times New Roman" w:eastAsia="仿宋_GB2312" w:cs="仿宋_GB2312"/>
          <w:b w:val="0"/>
          <w:bCs w:val="0"/>
          <w:color w:val="auto"/>
          <w:spacing w:val="0"/>
          <w:sz w:val="32"/>
          <w:szCs w:val="32"/>
          <w:highlight w:val="none"/>
          <w:shd w:val="clear" w:color="auto" w:fill="FFFFFF"/>
          <w:lang w:eastAsia="zh-CN" w:bidi="ar-SA"/>
        </w:rPr>
        <w:t>推出了</w:t>
      </w:r>
      <w:r>
        <w:rPr>
          <w:rFonts w:hint="eastAsia" w:ascii="仿宋_GB2312" w:hAnsi="Times New Roman" w:eastAsia="仿宋_GB2312" w:cs="仿宋_GB2312"/>
          <w:b w:val="0"/>
          <w:bCs w:val="0"/>
          <w:color w:val="auto"/>
          <w:spacing w:val="0"/>
          <w:sz w:val="32"/>
          <w:szCs w:val="32"/>
          <w:highlight w:val="none"/>
          <w:shd w:val="clear" w:color="auto" w:fill="FFFFFF"/>
          <w:lang w:bidi="ar-SA"/>
        </w:rPr>
        <w:t>湖南省重点文旅招商项目3</w:t>
      </w:r>
      <w:r>
        <w:rPr>
          <w:rFonts w:hint="eastAsia" w:ascii="仿宋_GB2312" w:hAnsi="Times New Roman" w:eastAsia="仿宋_GB2312" w:cs="仿宋_GB2312"/>
          <w:b w:val="0"/>
          <w:bCs w:val="0"/>
          <w:color w:val="auto"/>
          <w:spacing w:val="0"/>
          <w:sz w:val="32"/>
          <w:szCs w:val="32"/>
          <w:highlight w:val="none"/>
          <w:shd w:val="clear" w:color="auto" w:fill="FFFFFF"/>
          <w:lang w:val="en-US" w:eastAsia="zh-CN" w:bidi="ar-SA"/>
        </w:rPr>
        <w:t>40</w:t>
      </w:r>
      <w:r>
        <w:rPr>
          <w:rFonts w:hint="eastAsia" w:ascii="仿宋_GB2312" w:hAnsi="Times New Roman" w:eastAsia="仿宋_GB2312" w:cs="仿宋_GB2312"/>
          <w:b w:val="0"/>
          <w:bCs w:val="0"/>
          <w:color w:val="auto"/>
          <w:spacing w:val="0"/>
          <w:sz w:val="32"/>
          <w:szCs w:val="32"/>
          <w:highlight w:val="none"/>
          <w:shd w:val="clear" w:color="auto" w:fill="FFFFFF"/>
          <w:lang w:bidi="ar-SA"/>
        </w:rPr>
        <w:t>个</w:t>
      </w:r>
      <w:r>
        <w:rPr>
          <w:rFonts w:hint="eastAsia" w:ascii="仿宋_GB2312" w:hAnsi="Times New Roman" w:cs="仿宋_GB2312"/>
          <w:b w:val="0"/>
          <w:bCs w:val="0"/>
          <w:color w:val="auto"/>
          <w:spacing w:val="0"/>
          <w:sz w:val="32"/>
          <w:szCs w:val="32"/>
          <w:highlight w:val="none"/>
          <w:shd w:val="clear" w:color="auto" w:fill="FFFFFF"/>
          <w:lang w:eastAsia="zh-CN" w:bidi="ar-SA"/>
        </w:rPr>
        <w:t>。</w:t>
      </w:r>
      <w:r>
        <w:rPr>
          <w:rFonts w:hint="eastAsia" w:ascii="仿宋_GB2312" w:hAnsi="Times New Roman" w:eastAsia="仿宋_GB2312" w:cs="仿宋_GB2312"/>
          <w:b w:val="0"/>
          <w:bCs w:val="0"/>
          <w:color w:val="auto"/>
          <w:spacing w:val="0"/>
          <w:sz w:val="32"/>
          <w:szCs w:val="32"/>
          <w:highlight w:val="none"/>
          <w:lang w:val="en-US" w:eastAsia="zh-CN" w:bidi="ar-SA"/>
        </w:rPr>
        <w:t>重点聚焦粤港澳、长三角等地，</w:t>
      </w:r>
      <w:r>
        <w:rPr>
          <w:rFonts w:hint="eastAsia" w:ascii="仿宋_GB2312" w:hAnsi="Times New Roman" w:eastAsia="仿宋_GB2312" w:cs="仿宋_GB2312"/>
          <w:b w:val="0"/>
          <w:bCs w:val="0"/>
          <w:color w:val="auto"/>
          <w:spacing w:val="0"/>
          <w:sz w:val="32"/>
          <w:szCs w:val="32"/>
          <w:highlight w:val="none"/>
          <w:lang w:bidi="ar-SA"/>
        </w:rPr>
        <w:t>组织招商小分队</w:t>
      </w:r>
      <w:r>
        <w:rPr>
          <w:rFonts w:hint="eastAsia" w:ascii="仿宋_GB2312" w:hAnsi="Times New Roman" w:eastAsia="仿宋_GB2312" w:cs="仿宋_GB2312"/>
          <w:b w:val="0"/>
          <w:bCs w:val="0"/>
          <w:color w:val="auto"/>
          <w:spacing w:val="0"/>
          <w:sz w:val="32"/>
          <w:szCs w:val="32"/>
          <w:highlight w:val="none"/>
          <w:lang w:eastAsia="zh-CN" w:bidi="ar-SA"/>
        </w:rPr>
        <w:t>开展叩门招商活动</w:t>
      </w:r>
      <w:r>
        <w:rPr>
          <w:rFonts w:hint="eastAsia" w:ascii="仿宋_GB2312" w:hAnsi="Times New Roman" w:cs="仿宋_GB2312"/>
          <w:b w:val="0"/>
          <w:bCs w:val="0"/>
          <w:color w:val="auto"/>
          <w:spacing w:val="0"/>
          <w:sz w:val="32"/>
          <w:szCs w:val="32"/>
          <w:highlight w:val="none"/>
          <w:lang w:eastAsia="zh-CN" w:bidi="ar-SA"/>
        </w:rPr>
        <w:t>；</w:t>
      </w:r>
      <w:r>
        <w:rPr>
          <w:rFonts w:hint="eastAsia" w:ascii="仿宋_GB2312" w:hAnsi="Times New Roman" w:eastAsia="仿宋_GB2312" w:cs="仿宋_GB2312"/>
          <w:b w:val="0"/>
          <w:bCs w:val="0"/>
          <w:color w:val="auto"/>
          <w:spacing w:val="0"/>
          <w:sz w:val="32"/>
          <w:szCs w:val="32"/>
          <w:highlight w:val="none"/>
          <w:lang w:val="en-US" w:eastAsia="zh-CN" w:bidi="ar-SA"/>
        </w:rPr>
        <w:t>在</w:t>
      </w:r>
      <w:r>
        <w:rPr>
          <w:rFonts w:hint="eastAsia" w:ascii="仿宋_GB2312" w:hAnsi="Times New Roman" w:eastAsia="仿宋_GB2312" w:cs="仿宋_GB2312"/>
          <w:b w:val="0"/>
          <w:bCs w:val="0"/>
          <w:color w:val="auto"/>
          <w:spacing w:val="0"/>
          <w:sz w:val="32"/>
          <w:szCs w:val="32"/>
          <w:highlight w:val="none"/>
          <w:lang w:bidi="ar-SA"/>
        </w:rPr>
        <w:t>上海</w:t>
      </w:r>
      <w:r>
        <w:rPr>
          <w:rFonts w:hint="eastAsia" w:ascii="仿宋_GB2312" w:hAnsi="Times New Roman" w:eastAsia="仿宋_GB2312" w:cs="仿宋_GB2312"/>
          <w:b w:val="0"/>
          <w:bCs w:val="0"/>
          <w:color w:val="auto"/>
          <w:spacing w:val="0"/>
          <w:sz w:val="32"/>
          <w:szCs w:val="32"/>
          <w:highlight w:val="none"/>
          <w:lang w:val="en-US" w:eastAsia="zh-CN" w:bidi="ar-SA"/>
        </w:rPr>
        <w:t>等地开展</w:t>
      </w:r>
      <w:r>
        <w:rPr>
          <w:rFonts w:hint="eastAsia" w:ascii="仿宋_GB2312" w:hAnsi="Times New Roman" w:eastAsia="仿宋_GB2312" w:cs="仿宋_GB2312"/>
          <w:b w:val="0"/>
          <w:bCs w:val="0"/>
          <w:color w:val="auto"/>
          <w:spacing w:val="0"/>
          <w:sz w:val="32"/>
          <w:szCs w:val="32"/>
          <w:highlight w:val="none"/>
          <w:lang w:bidi="ar-SA"/>
        </w:rPr>
        <w:t>系列招商活动，</w:t>
      </w:r>
      <w:r>
        <w:rPr>
          <w:rFonts w:hint="eastAsia" w:ascii="仿宋_GB2312" w:hAnsi="Times New Roman" w:eastAsia="仿宋_GB2312" w:cs="仿宋_GB2312"/>
          <w:b w:val="0"/>
          <w:bCs w:val="0"/>
          <w:color w:val="auto"/>
          <w:sz w:val="32"/>
          <w:szCs w:val="32"/>
          <w:highlight w:val="none"/>
          <w:u w:val="none"/>
          <w:lang w:val="en-US" w:eastAsia="zh-CN"/>
        </w:rPr>
        <w:t>共完成省级签约项目50个</w:t>
      </w:r>
      <w:r>
        <w:rPr>
          <w:rFonts w:hint="eastAsia" w:ascii="仿宋_GB2312" w:hAnsi="Times New Roman" w:eastAsia="仿宋_GB2312" w:cs="仿宋"/>
          <w:b w:val="0"/>
          <w:bCs w:val="0"/>
          <w:color w:val="auto"/>
          <w:sz w:val="32"/>
          <w:szCs w:val="32"/>
          <w:highlight w:val="none"/>
          <w:lang w:val="en-US" w:eastAsia="zh-CN"/>
        </w:rPr>
        <w:t>；</w:t>
      </w:r>
      <w:r>
        <w:rPr>
          <w:rFonts w:hint="eastAsia" w:ascii="仿宋_GB2312" w:hAnsi="Times New Roman" w:eastAsia="仿宋_GB2312" w:cs="仿宋"/>
          <w:b w:val="0"/>
          <w:bCs w:val="0"/>
          <w:color w:val="auto"/>
          <w:sz w:val="32"/>
          <w:szCs w:val="32"/>
          <w:highlight w:val="none"/>
          <w:lang w:val="en-US" w:eastAsia="zh-CN"/>
        </w:rPr>
        <w:t>通过旅发大会办会机制，</w:t>
      </w:r>
      <w:r>
        <w:rPr>
          <w:rFonts w:hint="eastAsia" w:ascii="仿宋_GB2312" w:hAnsi="Times New Roman" w:eastAsia="仿宋_GB2312" w:cs="仿宋_GB2312"/>
          <w:b w:val="0"/>
          <w:bCs w:val="0"/>
          <w:color w:val="auto"/>
          <w:spacing w:val="0"/>
          <w:sz w:val="32"/>
          <w:szCs w:val="32"/>
          <w:highlight w:val="none"/>
          <w:lang w:bidi="ar-SA"/>
        </w:rPr>
        <w:t>张家界市在英国伦敦举办了文化旅游推介会、怀化市赴马拉维举办中国（怀化）—马拉维投资经贸推介会，</w:t>
      </w:r>
      <w:r>
        <w:rPr>
          <w:rFonts w:hint="eastAsia" w:ascii="仿宋_GB2312" w:hAnsi="Times New Roman" w:eastAsia="仿宋_GB2312" w:cs="仿宋"/>
          <w:b w:val="0"/>
          <w:bCs w:val="0"/>
          <w:color w:val="auto"/>
          <w:sz w:val="32"/>
          <w:szCs w:val="32"/>
          <w:highlight w:val="none"/>
          <w:lang w:val="en-US" w:eastAsia="zh-CN"/>
        </w:rPr>
        <w:t>成功引进签约项目154个</w:t>
      </w:r>
      <w:r>
        <w:rPr>
          <w:rFonts w:hint="eastAsia" w:ascii="仿宋_GB2312" w:hAnsi="Times New Roman" w:cs="仿宋"/>
          <w:b w:val="0"/>
          <w:bCs w:val="0"/>
          <w:color w:val="auto"/>
          <w:sz w:val="32"/>
          <w:szCs w:val="32"/>
          <w:highlight w:val="none"/>
          <w:lang w:val="en-US" w:eastAsia="zh-CN"/>
        </w:rPr>
        <w:t>、</w:t>
      </w:r>
      <w:r>
        <w:rPr>
          <w:rFonts w:hint="eastAsia" w:ascii="仿宋_GB2312" w:hAnsi="Times New Roman" w:eastAsia="仿宋_GB2312" w:cs="仿宋"/>
          <w:b w:val="0"/>
          <w:bCs w:val="0"/>
          <w:color w:val="auto"/>
          <w:sz w:val="32"/>
          <w:szCs w:val="32"/>
          <w:highlight w:val="none"/>
          <w:lang w:val="en-US" w:eastAsia="zh-CN"/>
        </w:rPr>
        <w:t>拟签约项目94个</w:t>
      </w:r>
      <w:r>
        <w:rPr>
          <w:rFonts w:hint="eastAsia" w:ascii="仿宋_GB2312" w:hAnsi="Times New Roman" w:cs="仿宋"/>
          <w:b w:val="0"/>
          <w:bCs w:val="0"/>
          <w:color w:val="auto"/>
          <w:sz w:val="32"/>
          <w:szCs w:val="32"/>
          <w:highlight w:val="none"/>
          <w:lang w:val="en-US" w:eastAsia="zh-CN"/>
        </w:rPr>
        <w:t>。</w:t>
      </w:r>
      <w:r>
        <w:rPr>
          <w:rFonts w:hint="eastAsia" w:ascii="仿宋_GB2312" w:hAnsi="Times New Roman" w:cs="仿宋"/>
          <w:b w:val="0"/>
          <w:bCs w:val="0"/>
          <w:color w:val="auto"/>
          <w:sz w:val="32"/>
          <w:szCs w:val="32"/>
          <w:highlight w:val="none"/>
          <w:lang w:val="en-US" w:eastAsia="zh-CN"/>
        </w:rPr>
        <w:t>成功主办2023年湖南红色旅游文化节和2023中国红色旅游博览会，在上海成功举办“2023湘沪红色旅游合作交流暨推进韶山全国红色旅游融合试点工作推介会。</w:t>
      </w:r>
    </w:p>
    <w:p>
      <w:pPr>
        <w:keepNext w:val="0"/>
        <w:keepLines w:val="0"/>
        <w:pageBreakBefore w:val="0"/>
        <w:widowControl w:val="0"/>
        <w:numPr>
          <w:ilvl w:val="0"/>
          <w:numId w:val="0"/>
        </w:numPr>
        <w:shd w:val="clear"/>
        <w:kinsoku/>
        <w:wordWrap/>
        <w:overflowPunct/>
        <w:topLinePunct w:val="0"/>
        <w:autoSpaceDE/>
        <w:autoSpaceDN/>
        <w:bidi w:val="0"/>
        <w:spacing w:line="600" w:lineRule="exact"/>
        <w:ind w:firstLine="642" w:firstLineChars="200"/>
        <w:textAlignment w:val="auto"/>
        <w:rPr>
          <w:rFonts w:hint="eastAsia" w:ascii="仿宋_GB2312" w:hAnsi="Times New Roman" w:eastAsia="仿宋_GB2312" w:cs="仿宋_GB2312"/>
          <w:color w:val="auto"/>
          <w:sz w:val="32"/>
          <w:szCs w:val="32"/>
          <w:highlight w:val="none"/>
          <w:lang w:val="en-US" w:eastAsia="zh-CN"/>
        </w:rPr>
      </w:pPr>
      <w:r>
        <w:rPr>
          <w:rFonts w:hint="eastAsia" w:ascii="仿宋_GB2312" w:hAnsi="Times New Roman" w:cs="楷体_GB2312"/>
          <w:b/>
          <w:bCs/>
          <w:color w:val="auto"/>
          <w:sz w:val="32"/>
          <w:szCs w:val="32"/>
          <w:highlight w:val="none"/>
          <w:lang w:val="en-US" w:eastAsia="zh-CN"/>
        </w:rPr>
        <w:t>3.</w:t>
      </w:r>
      <w:r>
        <w:rPr>
          <w:rFonts w:hint="eastAsia" w:ascii="仿宋_GB2312" w:hAnsi="Times New Roman" w:eastAsia="仿宋_GB2312" w:cs="楷体_GB2312"/>
          <w:b/>
          <w:bCs/>
          <w:color w:val="auto"/>
          <w:sz w:val="32"/>
          <w:szCs w:val="32"/>
          <w:highlight w:val="none"/>
        </w:rPr>
        <w:t>激发消费活力，文旅市场强</w:t>
      </w:r>
      <w:r>
        <w:rPr>
          <w:rFonts w:hint="eastAsia" w:ascii="仿宋_GB2312" w:hAnsi="Times New Roman" w:eastAsia="仿宋_GB2312" w:cs="楷体_GB2312"/>
          <w:b/>
          <w:bCs/>
          <w:color w:val="auto"/>
          <w:sz w:val="32"/>
          <w:szCs w:val="32"/>
          <w:highlight w:val="none"/>
          <w:lang w:val="en-US" w:eastAsia="zh-CN"/>
        </w:rPr>
        <w:t>势回暖</w:t>
      </w:r>
      <w:r>
        <w:rPr>
          <w:rFonts w:hint="eastAsia" w:ascii="仿宋_GB2312" w:hAnsi="Times New Roman" w:cs="楷体_GB2312"/>
          <w:b/>
          <w:bCs/>
          <w:color w:val="auto"/>
          <w:sz w:val="32"/>
          <w:szCs w:val="32"/>
          <w:highlight w:val="none"/>
          <w:lang w:val="en-US" w:eastAsia="zh-CN"/>
        </w:rPr>
        <w:t>。</w:t>
      </w:r>
      <w:r>
        <w:rPr>
          <w:rFonts w:hint="eastAsia" w:ascii="仿宋_GB2312" w:hAnsi="Times New Roman" w:eastAsia="仿宋_GB2312" w:cs="仿宋_GB2312"/>
          <w:color w:val="auto"/>
          <w:sz w:val="32"/>
          <w:szCs w:val="32"/>
          <w:highlight w:val="none"/>
        </w:rPr>
        <w:t>2023</w:t>
      </w:r>
      <w:r>
        <w:rPr>
          <w:rFonts w:hint="eastAsia" w:ascii="仿宋_GB2312" w:hAnsi="Times New Roman" w:cs="仿宋_GB2312"/>
          <w:color w:val="auto"/>
          <w:sz w:val="32"/>
          <w:szCs w:val="32"/>
          <w:highlight w:val="none"/>
          <w:lang w:val="en-US" w:eastAsia="zh-CN"/>
        </w:rPr>
        <w:t>年</w:t>
      </w:r>
      <w:r>
        <w:rPr>
          <w:rFonts w:hint="eastAsia" w:ascii="仿宋_GB2312" w:hAnsi="Times New Roman" w:eastAsia="仿宋_GB2312" w:cs="仿宋_GB2312"/>
          <w:color w:val="auto"/>
          <w:sz w:val="32"/>
          <w:szCs w:val="32"/>
          <w:highlight w:val="none"/>
        </w:rPr>
        <w:t>湖南文化旅游产业博览会，以“新科技、新文旅、新消费”为主题，展览面积6万多平米，布局省内特色旅游目的地形象展区等六大特色展区，共有8省市区1000余家优质文旅企业参展，300余家专业采购商现场咨询订</w:t>
      </w:r>
      <w:r>
        <w:rPr>
          <w:rFonts w:hint="eastAsia" w:ascii="仿宋_GB2312" w:hAnsi="Times New Roman" w:eastAsia="仿宋_GB2312" w:cs="仿宋_GB2312"/>
          <w:color w:val="auto"/>
          <w:sz w:val="32"/>
          <w:szCs w:val="32"/>
          <w:highlight w:val="none"/>
        </w:rPr>
        <w:t>购</w:t>
      </w:r>
      <w:r>
        <w:rPr>
          <w:rFonts w:hint="eastAsia" w:ascii="仿宋_GB2312" w:hAnsi="Times New Roman" w:cs="仿宋_GB2312"/>
          <w:color w:val="auto"/>
          <w:sz w:val="32"/>
          <w:szCs w:val="32"/>
          <w:highlight w:val="none"/>
          <w:lang w:eastAsia="zh-CN"/>
        </w:rPr>
        <w:t>，</w:t>
      </w:r>
      <w:r>
        <w:rPr>
          <w:rFonts w:hint="eastAsia" w:ascii="仿宋_GB2312" w:hAnsi="Times New Roman" w:eastAsia="仿宋_GB2312" w:cs="仿宋_GB2312"/>
          <w:color w:val="auto"/>
          <w:sz w:val="32"/>
          <w:szCs w:val="32"/>
          <w:highlight w:val="none"/>
        </w:rPr>
        <w:t>合同</w:t>
      </w:r>
      <w:r>
        <w:rPr>
          <w:rFonts w:hint="eastAsia" w:ascii="仿宋_GB2312" w:hAnsi="Times New Roman" w:eastAsia="仿宋_GB2312" w:cs="仿宋_GB2312"/>
          <w:color w:val="auto"/>
          <w:sz w:val="32"/>
          <w:szCs w:val="32"/>
          <w:highlight w:val="none"/>
        </w:rPr>
        <w:t>意向合作1.5亿元。现场观展人次逾5万。创下旅博会十三届以来成交单位、单日零售总额、合同订购单数、总成交额等多项最高</w:t>
      </w:r>
      <w:r>
        <w:rPr>
          <w:rFonts w:hint="eastAsia" w:ascii="仿宋_GB2312" w:hAnsi="Times New Roman" w:cs="仿宋_GB2312"/>
          <w:color w:val="auto"/>
          <w:sz w:val="32"/>
          <w:szCs w:val="32"/>
          <w:highlight w:val="none"/>
          <w:lang w:eastAsia="zh-CN"/>
        </w:rPr>
        <w:t>纪录</w:t>
      </w:r>
      <w:r>
        <w:rPr>
          <w:rFonts w:hint="eastAsia" w:ascii="仿宋_GB2312" w:hAnsi="Times New Roman" w:eastAsia="仿宋_GB2312" w:cs="仿宋_GB2312"/>
          <w:color w:val="auto"/>
          <w:sz w:val="32"/>
          <w:szCs w:val="32"/>
          <w:highlight w:val="none"/>
        </w:rPr>
        <w:t>。</w:t>
      </w:r>
      <w:r>
        <w:rPr>
          <w:rFonts w:hint="eastAsia" w:ascii="仿宋_GB2312" w:hAnsi="Times New Roman" w:cs="仿宋_GB2312"/>
          <w:color w:val="auto"/>
          <w:sz w:val="32"/>
          <w:szCs w:val="32"/>
          <w:highlight w:val="none"/>
          <w:lang w:val="en-US" w:eastAsia="zh-CN"/>
        </w:rPr>
        <w:t>2023年度，</w:t>
      </w:r>
      <w:r>
        <w:rPr>
          <w:rFonts w:hint="eastAsia" w:ascii="仿宋_GB2312" w:hAnsi="Times New Roman" w:eastAsia="仿宋_GB2312" w:cs="仿宋_GB2312"/>
          <w:color w:val="auto"/>
          <w:sz w:val="32"/>
          <w:szCs w:val="32"/>
          <w:highlight w:val="none"/>
          <w:lang w:val="en-US" w:eastAsia="zh-CN"/>
        </w:rPr>
        <w:t>全省文旅业持续火爆，共接待游客</w:t>
      </w:r>
      <w:r>
        <w:rPr>
          <w:rFonts w:hint="eastAsia" w:ascii="仿宋_GB2312" w:hAnsi="Times New Roman" w:cs="仿宋_GB2312"/>
          <w:color w:val="auto"/>
          <w:sz w:val="32"/>
          <w:szCs w:val="32"/>
          <w:highlight w:val="none"/>
          <w:lang w:val="en-US" w:eastAsia="zh-CN"/>
        </w:rPr>
        <w:t>6.58</w:t>
      </w:r>
      <w:r>
        <w:rPr>
          <w:rFonts w:hint="eastAsia" w:ascii="仿宋_GB2312" w:hAnsi="Times New Roman" w:eastAsia="仿宋_GB2312" w:cs="仿宋_GB2312"/>
          <w:color w:val="auto"/>
          <w:sz w:val="32"/>
          <w:szCs w:val="32"/>
          <w:highlight w:val="none"/>
          <w:lang w:val="en-US" w:eastAsia="zh-CN"/>
        </w:rPr>
        <w:t>亿人次，实现旅游总收入</w:t>
      </w:r>
      <w:r>
        <w:rPr>
          <w:rFonts w:hint="eastAsia" w:ascii="仿宋_GB2312" w:hAnsi="Times New Roman" w:cs="仿宋_GB2312"/>
          <w:color w:val="auto"/>
          <w:sz w:val="32"/>
          <w:szCs w:val="32"/>
          <w:highlight w:val="none"/>
          <w:lang w:val="en-US" w:eastAsia="zh-CN"/>
        </w:rPr>
        <w:t>9565.18</w:t>
      </w:r>
      <w:r>
        <w:rPr>
          <w:rFonts w:hint="eastAsia" w:ascii="仿宋_GB2312" w:hAnsi="Times New Roman" w:eastAsia="仿宋_GB2312" w:cs="仿宋_GB2312"/>
          <w:color w:val="auto"/>
          <w:sz w:val="32"/>
          <w:szCs w:val="32"/>
          <w:highlight w:val="none"/>
          <w:lang w:val="en-US" w:eastAsia="zh-CN"/>
        </w:rPr>
        <w:t>亿元，分别同比增长</w:t>
      </w:r>
      <w:r>
        <w:rPr>
          <w:rFonts w:hint="eastAsia" w:ascii="仿宋_GB2312" w:hAnsi="Times New Roman" w:cs="仿宋_GB2312"/>
          <w:color w:val="auto"/>
          <w:sz w:val="32"/>
          <w:szCs w:val="32"/>
          <w:highlight w:val="none"/>
          <w:lang w:val="en-US" w:eastAsia="zh-CN"/>
        </w:rPr>
        <w:t>51.28</w:t>
      </w:r>
      <w:r>
        <w:rPr>
          <w:rFonts w:hint="eastAsia" w:ascii="仿宋_GB2312" w:hAnsi="Times New Roman" w:eastAsia="仿宋_GB2312" w:cs="仿宋_GB2312"/>
          <w:color w:val="auto"/>
          <w:sz w:val="32"/>
          <w:szCs w:val="32"/>
          <w:highlight w:val="none"/>
          <w:lang w:val="en-US" w:eastAsia="zh-CN"/>
        </w:rPr>
        <w:t>%、</w:t>
      </w:r>
      <w:r>
        <w:rPr>
          <w:rFonts w:hint="eastAsia" w:ascii="仿宋_GB2312" w:hAnsi="Times New Roman" w:cs="仿宋_GB2312"/>
          <w:color w:val="auto"/>
          <w:sz w:val="32"/>
          <w:szCs w:val="32"/>
          <w:highlight w:val="none"/>
          <w:lang w:val="en-US" w:eastAsia="zh-CN"/>
        </w:rPr>
        <w:t>47.43</w:t>
      </w:r>
      <w:r>
        <w:rPr>
          <w:rFonts w:hint="eastAsia" w:ascii="仿宋_GB2312" w:hAnsi="Times New Roman" w:eastAsia="仿宋_GB2312" w:cs="仿宋_GB2312"/>
          <w:color w:val="auto"/>
          <w:sz w:val="32"/>
          <w:szCs w:val="32"/>
          <w:highlight w:val="none"/>
          <w:lang w:val="en-US" w:eastAsia="zh-CN"/>
        </w:rPr>
        <w:t>%。中秋、国庆假期全省文旅行业“热力迸发”，共接待游客3068.2万人次，较2022年同期增长82.87%。</w:t>
      </w:r>
      <w:r>
        <w:rPr>
          <w:rFonts w:hint="eastAsia" w:ascii="仿宋_GB2312" w:hAnsi="仿宋_GB2312" w:eastAsia="仿宋_GB2312" w:cs="仿宋_GB2312"/>
          <w:color w:val="auto"/>
          <w:sz w:val="32"/>
          <w:szCs w:val="32"/>
          <w:highlight w:val="none"/>
          <w:lang w:bidi="ar-SA"/>
        </w:rPr>
        <w:t>各夜间消费聚集区发展</w:t>
      </w:r>
      <w:r>
        <w:rPr>
          <w:rFonts w:hint="eastAsia" w:ascii="仿宋_GB2312" w:hAnsi="仿宋_GB2312" w:eastAsia="仿宋_GB2312" w:cs="仿宋_GB2312"/>
          <w:color w:val="auto"/>
          <w:sz w:val="32"/>
          <w:szCs w:val="32"/>
          <w:highlight w:val="none"/>
          <w:lang w:eastAsia="zh-CN" w:bidi="ar-SA"/>
        </w:rPr>
        <w:t>势头良好</w:t>
      </w:r>
      <w:r>
        <w:rPr>
          <w:rFonts w:hint="eastAsia" w:ascii="仿宋_GB2312" w:hAnsi="仿宋_GB2312" w:eastAsia="仿宋_GB2312" w:cs="仿宋_GB2312"/>
          <w:color w:val="auto"/>
          <w:sz w:val="32"/>
          <w:szCs w:val="32"/>
          <w:highlight w:val="none"/>
          <w:lang w:bidi="ar-SA"/>
        </w:rPr>
        <w:t>，</w:t>
      </w:r>
      <w:r>
        <w:rPr>
          <w:rFonts w:hint="eastAsia" w:ascii="仿宋_GB2312" w:hAnsi="仿宋_GB2312" w:eastAsia="仿宋_GB2312" w:cs="仿宋_GB2312"/>
          <w:bCs/>
          <w:color w:val="auto"/>
          <w:kern w:val="2"/>
          <w:sz w:val="32"/>
          <w:szCs w:val="32"/>
          <w:highlight w:val="none"/>
          <w:lang w:val="en-US" w:eastAsia="zh-CN" w:bidi="ar-SA"/>
        </w:rPr>
        <w:t>湖南“夜经济”热度持续攀升。美团发布的数据显示，夜间玩乐消费TOP5城市，长沙位列全国第三，五一广场商圈跻身全国夜间消费最火的五大商圈之一。茶颜悦色、文和友等80余个全国知名文旅新消费品牌在长沙</w:t>
      </w:r>
      <w:r>
        <w:rPr>
          <w:rFonts w:hint="eastAsia" w:ascii="仿宋_GB2312" w:hAnsi="仿宋_GB2312" w:cs="仿宋_GB2312"/>
          <w:bCs/>
          <w:color w:val="auto"/>
          <w:kern w:val="2"/>
          <w:sz w:val="32"/>
          <w:szCs w:val="32"/>
          <w:highlight w:val="none"/>
          <w:lang w:val="en-US" w:eastAsia="zh-CN" w:bidi="ar-SA"/>
        </w:rPr>
        <w:t>强势</w:t>
      </w:r>
      <w:r>
        <w:rPr>
          <w:rFonts w:hint="eastAsia" w:ascii="仿宋_GB2312" w:hAnsi="仿宋_GB2312" w:eastAsia="仿宋_GB2312" w:cs="仿宋_GB2312"/>
          <w:bCs/>
          <w:color w:val="auto"/>
          <w:kern w:val="2"/>
          <w:sz w:val="32"/>
          <w:szCs w:val="32"/>
          <w:highlight w:val="none"/>
          <w:lang w:val="en-US" w:eastAsia="zh-CN" w:bidi="ar-SA"/>
        </w:rPr>
        <w:t>发展。</w:t>
      </w:r>
    </w:p>
    <w:p>
      <w:pPr>
        <w:shd w:val="clear"/>
        <w:adjustRightInd w:val="0"/>
        <w:snapToGrid w:val="0"/>
        <w:spacing w:line="600" w:lineRule="exact"/>
        <w:ind w:firstLine="642" w:firstLineChars="200"/>
        <w:rPr>
          <w:rFonts w:hint="eastAsia" w:ascii="仿宋_GB2312" w:hAnsi="Times New Roman" w:eastAsia="仿宋_GB2312" w:cs="Times New Roman"/>
          <w:b w:val="0"/>
          <w:bCs w:val="0"/>
          <w:color w:val="auto"/>
          <w:kern w:val="2"/>
          <w:sz w:val="32"/>
          <w:szCs w:val="32"/>
          <w:highlight w:val="none"/>
          <w:lang w:val="en-US" w:eastAsia="zh-CN" w:bidi="ar-SA"/>
        </w:rPr>
      </w:pPr>
      <w:r>
        <w:rPr>
          <w:rFonts w:hint="eastAsia" w:ascii="仿宋_GB2312" w:hAnsi="Times New Roman"/>
          <w:b/>
          <w:bCs/>
          <w:color w:val="auto"/>
          <w:sz w:val="32"/>
          <w:szCs w:val="32"/>
          <w:highlight w:val="none"/>
          <w:lang w:val="en-US" w:eastAsia="zh-CN"/>
        </w:rPr>
        <w:t>4.</w:t>
      </w:r>
      <w:r>
        <w:rPr>
          <w:rFonts w:hint="eastAsia" w:ascii="仿宋_GB2312" w:hAnsi="Times New Roman" w:eastAsia="仿宋_GB2312" w:cs="楷体_GB2312"/>
          <w:b/>
          <w:bCs/>
          <w:color w:val="auto"/>
          <w:sz w:val="32"/>
          <w:szCs w:val="32"/>
          <w:highlight w:val="none"/>
          <w:lang w:eastAsia="zh-CN"/>
        </w:rPr>
        <w:t>助推产业升级</w:t>
      </w:r>
      <w:r>
        <w:rPr>
          <w:rFonts w:hint="eastAsia" w:ascii="仿宋_GB2312" w:hAnsi="Times New Roman" w:eastAsia="仿宋_GB2312"/>
          <w:b/>
          <w:bCs/>
          <w:color w:val="auto"/>
          <w:sz w:val="32"/>
          <w:szCs w:val="32"/>
          <w:highlight w:val="none"/>
        </w:rPr>
        <w:t>，</w:t>
      </w:r>
      <w:r>
        <w:rPr>
          <w:rFonts w:hint="eastAsia" w:ascii="仿宋_GB2312" w:hAnsi="Times New Roman" w:eastAsia="仿宋_GB2312" w:cs="Times New Roman"/>
          <w:b/>
          <w:bCs/>
          <w:color w:val="auto"/>
          <w:sz w:val="32"/>
          <w:szCs w:val="32"/>
          <w:highlight w:val="none"/>
        </w:rPr>
        <w:t>数字文化产业加速发展</w:t>
      </w:r>
      <w:r>
        <w:rPr>
          <w:rFonts w:hint="eastAsia" w:ascii="仿宋_GB2312" w:hAnsi="Times New Roman" w:cs="Times New Roman"/>
          <w:b/>
          <w:bCs/>
          <w:color w:val="auto"/>
          <w:sz w:val="32"/>
          <w:szCs w:val="32"/>
          <w:highlight w:val="none"/>
          <w:lang w:eastAsia="zh-CN"/>
        </w:rPr>
        <w:t>。</w:t>
      </w:r>
      <w:r>
        <w:rPr>
          <w:rFonts w:hint="eastAsia" w:ascii="仿宋_GB2312" w:hAnsi="Times New Roman" w:eastAsia="仿宋_GB2312"/>
          <w:color w:val="auto"/>
          <w:sz w:val="32"/>
          <w:szCs w:val="32"/>
          <w:highlight w:val="none"/>
        </w:rPr>
        <w:t>充分利用政策、资金，加大对文化产业示范园区和基地的</w:t>
      </w:r>
      <w:r>
        <w:rPr>
          <w:rFonts w:hint="eastAsia" w:ascii="仿宋_GB2312" w:hAnsi="Times New Roman" w:eastAsia="仿宋_GB2312"/>
          <w:color w:val="auto"/>
          <w:sz w:val="32"/>
          <w:szCs w:val="32"/>
          <w:highlight w:val="none"/>
        </w:rPr>
        <w:t>支持力度，</w:t>
      </w:r>
      <w:r>
        <w:rPr>
          <w:rFonts w:hint="eastAsia" w:ascii="仿宋_GB2312" w:hAnsi="Times New Roman" w:eastAsia="仿宋_GB2312" w:cs="Times New Roman"/>
          <w:b w:val="0"/>
          <w:bCs w:val="0"/>
          <w:color w:val="auto"/>
          <w:kern w:val="2"/>
          <w:sz w:val="32"/>
          <w:szCs w:val="32"/>
          <w:highlight w:val="none"/>
          <w:lang w:val="en-US" w:eastAsia="zh-CN" w:bidi="ar-SA"/>
        </w:rPr>
        <w:t>现有动漫及相关经营机构3381个，网络游戏企业5072家，相关从业人员约8.4万人，共有29家企业获得国家动漫企业认定，194家网络游戏企业完成国家实名认证系统接入，其中规模超过亿元的企业12家。浏阳开展数字烟花技术设计，打造数字烟花，推进烟花产业链</w:t>
      </w:r>
      <w:r>
        <w:rPr>
          <w:rFonts w:hint="eastAsia" w:ascii="仿宋_GB2312" w:hAnsi="Times New Roman" w:cs="Times New Roman"/>
          <w:b w:val="0"/>
          <w:bCs w:val="0"/>
          <w:color w:val="auto"/>
          <w:kern w:val="2"/>
          <w:sz w:val="32"/>
          <w:szCs w:val="32"/>
          <w:highlight w:val="none"/>
          <w:lang w:val="en-US" w:eastAsia="zh-CN" w:bidi="ar-SA"/>
        </w:rPr>
        <w:t>，</w:t>
      </w:r>
      <w:r>
        <w:rPr>
          <w:rFonts w:hint="eastAsia" w:ascii="仿宋_GB2312" w:hAnsi="Times New Roman" w:eastAsia="仿宋_GB2312" w:cs="Times New Roman"/>
          <w:b w:val="0"/>
          <w:bCs w:val="0"/>
          <w:color w:val="auto"/>
          <w:kern w:val="2"/>
          <w:sz w:val="32"/>
          <w:szCs w:val="32"/>
          <w:highlight w:val="none"/>
          <w:lang w:val="en-US" w:eastAsia="zh-CN" w:bidi="ar-SA"/>
        </w:rPr>
        <w:t>实现全要素数字化转型。</w:t>
      </w:r>
    </w:p>
    <w:p>
      <w:pPr>
        <w:shd w:val="clear"/>
        <w:rPr>
          <w:rFonts w:hint="eastAsia"/>
          <w:highlight w:val="none"/>
          <w:lang w:val="en-US" w:eastAsia="zh-CN"/>
        </w:rPr>
      </w:pPr>
      <w:r>
        <w:rPr>
          <w:rFonts w:hint="eastAsia" w:ascii="仿宋_GB2312" w:hAnsi="Times New Roman"/>
          <w:b/>
          <w:bCs/>
          <w:color w:val="auto"/>
          <w:sz w:val="32"/>
          <w:szCs w:val="32"/>
          <w:highlight w:val="none"/>
          <w:lang w:val="en-US" w:eastAsia="zh-CN"/>
        </w:rPr>
        <w:t>5.以“游客满意”为发力点，服务质量实现新提升。</w:t>
      </w:r>
      <w:r>
        <w:rPr>
          <w:rFonts w:hint="eastAsia" w:ascii="仿宋_GB2312" w:hAnsi="Times New Roman" w:eastAsia="仿宋_GB2312" w:cs="Times New Roman"/>
          <w:b w:val="0"/>
          <w:bCs w:val="0"/>
          <w:color w:val="auto"/>
          <w:kern w:val="2"/>
          <w:sz w:val="32"/>
          <w:szCs w:val="32"/>
          <w:highlight w:val="none"/>
          <w:lang w:val="en-US" w:eastAsia="zh-CN" w:bidi="ar-SA"/>
        </w:rPr>
        <w:t>举行“游客满意在湖南·我们在行动”启动式，统筹抓好四项工程。历时4个多月，修改起草《关于推动湖南高品质旅游住宿业发展的若干意见》。健全真抓实干激励考核和质量考核（信用）评价体系。</w:t>
      </w:r>
      <w:r>
        <w:rPr>
          <w:rFonts w:hint="eastAsia" w:ascii="仿宋_GB2312" w:hAnsi="Times New Roman" w:cs="Times New Roman"/>
          <w:b w:val="0"/>
          <w:bCs w:val="0"/>
          <w:color w:val="auto"/>
          <w:kern w:val="2"/>
          <w:sz w:val="32"/>
          <w:szCs w:val="32"/>
          <w:highlight w:val="none"/>
          <w:lang w:val="en-US" w:eastAsia="zh-CN" w:bidi="ar-SA"/>
        </w:rPr>
        <w:t>2023年度</w:t>
      </w:r>
      <w:r>
        <w:rPr>
          <w:rFonts w:hint="eastAsia" w:ascii="仿宋_GB2312" w:hAnsi="Times New Roman" w:eastAsia="仿宋_GB2312" w:cs="Times New Roman"/>
          <w:b w:val="0"/>
          <w:bCs w:val="0"/>
          <w:color w:val="auto"/>
          <w:kern w:val="2"/>
          <w:sz w:val="32"/>
          <w:szCs w:val="32"/>
          <w:highlight w:val="none"/>
          <w:lang w:val="en-US" w:eastAsia="zh-CN" w:bidi="ar-SA"/>
        </w:rPr>
        <w:t>新创2家五星级旅游饭店，7家四星级旅游饭店，评定性复核8家五星级旅游饭店、4家四星级旅游饭店，创建5家金树叶级绿色旅游饭店。指导饭店、民宿、旅行社、自驾游等行业协会和企业主体开展系列主题活动，推动服务质量大提升大跨越。</w:t>
      </w:r>
      <w:r>
        <w:rPr>
          <w:rFonts w:hint="eastAsia" w:ascii="仿宋" w:hAnsi="仿宋" w:eastAsia="仿宋" w:cs="仿宋"/>
          <w:sz w:val="32"/>
          <w:szCs w:val="32"/>
          <w:highlight w:val="none"/>
        </w:rPr>
        <w:t>指导湘西凤凰古城景区</w:t>
      </w:r>
      <w:r>
        <w:rPr>
          <w:rFonts w:hint="default" w:ascii="仿宋" w:hAnsi="仿宋" w:eastAsia="仿宋" w:cs="仿宋"/>
          <w:sz w:val="32"/>
          <w:szCs w:val="32"/>
          <w:highlight w:val="none"/>
        </w:rPr>
        <w:t>开展</w:t>
      </w:r>
      <w:r>
        <w:rPr>
          <w:rFonts w:hint="eastAsia" w:ascii="仿宋" w:hAnsi="仿宋" w:eastAsia="仿宋" w:cs="仿宋"/>
          <w:sz w:val="32"/>
          <w:szCs w:val="32"/>
          <w:highlight w:val="none"/>
        </w:rPr>
        <w:t>5A</w:t>
      </w:r>
      <w:r>
        <w:rPr>
          <w:rFonts w:hint="default" w:ascii="仿宋" w:hAnsi="仿宋" w:eastAsia="仿宋" w:cs="仿宋"/>
          <w:sz w:val="32"/>
          <w:szCs w:val="32"/>
          <w:highlight w:val="none"/>
        </w:rPr>
        <w:t>景区</w:t>
      </w:r>
      <w:r>
        <w:rPr>
          <w:rFonts w:hint="eastAsia" w:ascii="仿宋" w:hAnsi="仿宋" w:eastAsia="仿宋" w:cs="仿宋"/>
          <w:sz w:val="32"/>
          <w:szCs w:val="32"/>
          <w:highlight w:val="none"/>
        </w:rPr>
        <w:t>现场验收</w:t>
      </w:r>
      <w:r>
        <w:rPr>
          <w:rFonts w:hint="default" w:ascii="仿宋" w:hAnsi="仿宋" w:eastAsia="仿宋" w:cs="仿宋"/>
          <w:sz w:val="32"/>
          <w:szCs w:val="32"/>
          <w:highlight w:val="none"/>
        </w:rPr>
        <w:t>迎检</w:t>
      </w:r>
      <w:r>
        <w:rPr>
          <w:rFonts w:hint="eastAsia" w:ascii="仿宋" w:hAnsi="仿宋" w:eastAsia="仿宋" w:cs="仿宋"/>
          <w:sz w:val="32"/>
          <w:szCs w:val="32"/>
          <w:highlight w:val="none"/>
        </w:rPr>
        <w:t>工作；组织张家界大峡谷、紫鹊界梯田和洪江古商城的5A</w:t>
      </w:r>
      <w:r>
        <w:rPr>
          <w:rFonts w:hint="default" w:ascii="仿宋" w:hAnsi="仿宋" w:eastAsia="仿宋" w:cs="仿宋"/>
          <w:sz w:val="32"/>
          <w:szCs w:val="32"/>
          <w:highlight w:val="none"/>
        </w:rPr>
        <w:t>景区创建</w:t>
      </w:r>
      <w:r>
        <w:rPr>
          <w:rFonts w:hint="eastAsia" w:ascii="仿宋" w:hAnsi="仿宋" w:eastAsia="仿宋" w:cs="仿宋"/>
          <w:sz w:val="32"/>
          <w:szCs w:val="32"/>
          <w:highlight w:val="none"/>
        </w:rPr>
        <w:t>提升规划评审会。全省共复核A级旅游景区463家，复核率为78%。对39家复核不达标的等级旅游景区分别做出了处理，其中取消等级5家，严重警告4家，警告5家，通报批评25家。</w:t>
      </w:r>
    </w:p>
    <w:p>
      <w:pPr>
        <w:pStyle w:val="3"/>
        <w:shd w:val="clear"/>
        <w:rPr>
          <w:rFonts w:hint="eastAsia" w:ascii="Times New Roman" w:hAnsi="Times New Roman" w:cs="Times New Roman"/>
          <w:b/>
          <w:bCs/>
          <w:color w:val="auto"/>
          <w:highlight w:val="none"/>
          <w:lang w:val="en-US" w:eastAsia="zh-CN"/>
        </w:rPr>
      </w:pPr>
      <w:bookmarkStart w:id="39" w:name="_Toc4707"/>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三</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聚焦保护传承，服务经济社会发展</w:t>
      </w:r>
      <w:bookmarkEnd w:id="39"/>
    </w:p>
    <w:p>
      <w:pPr>
        <w:shd w:val="clear"/>
        <w:spacing w:line="580" w:lineRule="exact"/>
        <w:ind w:firstLine="642" w:firstLineChars="200"/>
        <w:rPr>
          <w:rFonts w:hint="eastAsia" w:ascii="Times New Roman" w:hAnsi="Times New Roman" w:eastAsia="仿宋_GB2312"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eastAsia" w:ascii="楷体" w:hAnsi="Calibri" w:eastAsia="楷体" w:cs="仿宋_GB2312"/>
          <w:b/>
          <w:bCs/>
          <w:color w:val="auto"/>
          <w:kern w:val="2"/>
          <w:sz w:val="32"/>
          <w:szCs w:val="32"/>
          <w:highlight w:val="none"/>
          <w:lang w:val="en-US" w:eastAsia="zh-CN" w:bidi="ar-SA"/>
        </w:rPr>
        <w:t>聚焦保护传承，着力固本强基</w:t>
      </w:r>
      <w:r>
        <w:rPr>
          <w:rFonts w:hint="eastAsia" w:ascii="楷体" w:eastAsia="楷体" w:cs="仿宋_GB2312"/>
          <w:b/>
          <w:bCs/>
          <w:color w:val="auto"/>
          <w:kern w:val="2"/>
          <w:sz w:val="32"/>
          <w:szCs w:val="32"/>
          <w:highlight w:val="none"/>
          <w:lang w:val="en-US" w:eastAsia="zh-CN" w:bidi="ar-SA"/>
        </w:rPr>
        <w:t>。</w:t>
      </w:r>
      <w:r>
        <w:rPr>
          <w:rFonts w:hint="eastAsia" w:ascii="仿宋_GB2312" w:eastAsia="仿宋_GB2312" w:cs="仿宋_GB2312"/>
          <w:b w:val="0"/>
          <w:bCs w:val="0"/>
          <w:color w:val="auto"/>
          <w:highlight w:val="none"/>
          <w:lang w:bidi="ar-SA"/>
        </w:rPr>
        <w:t>组织各市州申报2023年省级文化和旅游资金项目</w:t>
      </w:r>
      <w:r>
        <w:rPr>
          <w:rFonts w:hint="eastAsia" w:ascii="仿宋_GB2312" w:cs="仿宋_GB2312"/>
          <w:b w:val="0"/>
          <w:bCs w:val="0"/>
          <w:color w:val="auto"/>
          <w:highlight w:val="none"/>
          <w:lang w:eastAsia="zh-CN" w:bidi="ar-SA"/>
        </w:rPr>
        <w:t>，</w:t>
      </w:r>
      <w:r>
        <w:rPr>
          <w:rFonts w:hint="eastAsia" w:ascii="仿宋_GB2312" w:eastAsia="仿宋_GB2312" w:cs="仿宋_GB2312"/>
          <w:b w:val="0"/>
          <w:bCs w:val="0"/>
          <w:color w:val="auto"/>
          <w:highlight w:val="none"/>
          <w:lang w:bidi="ar-SA"/>
        </w:rPr>
        <w:t>共收到“非遗旅游发展”项目68个</w:t>
      </w:r>
      <w:r>
        <w:rPr>
          <w:rFonts w:hint="eastAsia" w:ascii="仿宋_GB2312" w:cs="仿宋_GB2312"/>
          <w:b w:val="0"/>
          <w:bCs w:val="0"/>
          <w:color w:val="auto"/>
          <w:highlight w:val="none"/>
          <w:lang w:eastAsia="zh-CN" w:bidi="ar-SA"/>
        </w:rPr>
        <w:t>，</w:t>
      </w:r>
      <w:r>
        <w:rPr>
          <w:rFonts w:hint="eastAsia" w:ascii="仿宋_GB2312" w:eastAsia="仿宋_GB2312" w:cs="仿宋_GB2312"/>
          <w:b w:val="0"/>
          <w:bCs w:val="0"/>
          <w:color w:val="auto"/>
          <w:highlight w:val="none"/>
          <w:lang w:bidi="ar-SA"/>
        </w:rPr>
        <w:t>“省级非物质文化遗产保护与传承”项目119个</w:t>
      </w:r>
      <w:r>
        <w:rPr>
          <w:rFonts w:hint="eastAsia" w:ascii="仿宋_GB2312" w:cs="仿宋_GB2312"/>
          <w:b w:val="0"/>
          <w:bCs w:val="0"/>
          <w:color w:val="auto"/>
          <w:highlight w:val="none"/>
          <w:lang w:eastAsia="zh-CN" w:bidi="ar-SA"/>
        </w:rPr>
        <w:t>，</w:t>
      </w:r>
      <w:r>
        <w:rPr>
          <w:rFonts w:hint="eastAsia" w:ascii="仿宋_GB2312" w:eastAsia="仿宋_GB2312" w:cs="仿宋_GB2312"/>
          <w:b w:val="0"/>
          <w:bCs w:val="0"/>
          <w:color w:val="auto"/>
          <w:highlight w:val="none"/>
          <w:lang w:bidi="ar-SA"/>
        </w:rPr>
        <w:t>组织开展专家评审</w:t>
      </w:r>
      <w:r>
        <w:rPr>
          <w:rFonts w:hint="eastAsia" w:ascii="仿宋_GB2312" w:cs="仿宋_GB2312"/>
          <w:b w:val="0"/>
          <w:bCs w:val="0"/>
          <w:color w:val="auto"/>
          <w:highlight w:val="none"/>
          <w:lang w:eastAsia="zh-CN" w:bidi="ar-SA"/>
        </w:rPr>
        <w:t>，</w:t>
      </w:r>
      <w:r>
        <w:rPr>
          <w:rFonts w:hint="eastAsia" w:ascii="仿宋_GB2312" w:eastAsia="仿宋_GB2312" w:cs="仿宋_GB2312"/>
          <w:b w:val="0"/>
          <w:bCs w:val="0"/>
          <w:color w:val="auto"/>
          <w:highlight w:val="none"/>
          <w:lang w:bidi="ar-SA"/>
        </w:rPr>
        <w:t>侧重于对非遗与旅游融合发展项目、非遗工坊助力乡村振兴和省级非遗项目保护传承的支持。</w:t>
      </w:r>
      <w:r>
        <w:rPr>
          <w:rFonts w:hint="eastAsia" w:ascii="仿宋_GB2312" w:eastAsia="仿宋_GB2312" w:cs="仿宋_GB2312"/>
          <w:color w:val="auto"/>
          <w:highlight w:val="none"/>
          <w:lang w:bidi="ar-SA"/>
        </w:rPr>
        <w:t>重点支持鼓励“湘”字号非遗项目保护单位或老字号企业等积极申报国家级、省级非遗代表性传承项目和代表性传承人</w:t>
      </w:r>
      <w:r>
        <w:rPr>
          <w:rFonts w:hint="eastAsia" w:ascii="仿宋_GB2312" w:cs="仿宋_GB2312"/>
          <w:color w:val="auto"/>
          <w:highlight w:val="none"/>
          <w:lang w:eastAsia="zh-CN" w:bidi="ar-SA"/>
        </w:rPr>
        <w:t>；</w:t>
      </w:r>
      <w:r>
        <w:rPr>
          <w:rFonts w:hint="eastAsia" w:ascii="仿宋_GB2312" w:eastAsia="仿宋_GB2312" w:cs="仿宋_GB2312"/>
          <w:color w:val="auto"/>
          <w:highlight w:val="none"/>
          <w:lang w:bidi="ar-SA"/>
        </w:rPr>
        <w:t>组织黑茶（茯砖茶）制作技艺、黑茶（千两茶）制作技艺、黄茶（君山银针茶）制作技艺国家级代表性项目传承人及项目保护单位代表前往福州参加文化和旅游部非遗司主办的“茶和天下·共享非遗”主场活动</w:t>
      </w:r>
      <w:r>
        <w:rPr>
          <w:rFonts w:hint="eastAsia" w:ascii="仿宋_GB2312" w:cs="仿宋_GB2312"/>
          <w:color w:val="auto"/>
          <w:highlight w:val="none"/>
          <w:lang w:eastAsia="zh-CN" w:bidi="ar-SA"/>
        </w:rPr>
        <w:t>。</w:t>
      </w:r>
      <w:r>
        <w:rPr>
          <w:rFonts w:hint="eastAsia" w:ascii="仿宋_GB2312" w:eastAsia="仿宋_GB2312" w:cs="仿宋_GB2312"/>
          <w:color w:val="auto"/>
          <w:highlight w:val="none"/>
          <w:lang w:bidi="ar-SA"/>
        </w:rPr>
        <w:t>完成2022年度国家级代表性传承人的评估工作</w:t>
      </w:r>
      <w:r>
        <w:rPr>
          <w:rFonts w:hint="eastAsia" w:ascii="仿宋_GB2312" w:cs="仿宋_GB2312"/>
          <w:color w:val="auto"/>
          <w:highlight w:val="none"/>
          <w:lang w:eastAsia="zh-CN" w:bidi="ar-SA"/>
        </w:rPr>
        <w:t>，</w:t>
      </w:r>
      <w:r>
        <w:rPr>
          <w:rFonts w:hint="eastAsia" w:ascii="仿宋_GB2312" w:eastAsia="仿宋_GB2312" w:cs="仿宋_GB2312"/>
          <w:color w:val="auto"/>
          <w:highlight w:val="none"/>
          <w:lang w:bidi="ar-SA"/>
        </w:rPr>
        <w:t>19名</w:t>
      </w:r>
      <w:r>
        <w:rPr>
          <w:rFonts w:hint="eastAsia" w:ascii="仿宋_GB2312" w:eastAsia="仿宋_GB2312" w:cs="仿宋_GB2312"/>
          <w:color w:val="auto"/>
          <w:highlight w:val="none"/>
          <w:lang w:bidi="ar-SA"/>
        </w:rPr>
        <w:t>传承人获评优秀并对外公示</w:t>
      </w:r>
      <w:r>
        <w:rPr>
          <w:rFonts w:hint="eastAsia" w:ascii="仿宋_GB2312" w:cs="仿宋_GB2312"/>
          <w:color w:val="auto"/>
          <w:highlight w:val="none"/>
          <w:lang w:eastAsia="zh-CN" w:bidi="ar-SA"/>
        </w:rPr>
        <w:t>。</w:t>
      </w:r>
      <w:r>
        <w:rPr>
          <w:rFonts w:hint="eastAsia" w:ascii="仿宋_GB2312" w:eastAsia="仿宋_GB2312" w:cs="仿宋_GB2312"/>
          <w:color w:val="auto"/>
          <w:highlight w:val="none"/>
          <w:lang w:bidi="ar-SA"/>
        </w:rPr>
        <w:t>组织参加文化和旅游部非遗司在昆明举办的中国非物质文化遗产传承人研修培训计划现场交流活动，我省完成的7期研培班全部通过考核</w:t>
      </w:r>
      <w:r>
        <w:rPr>
          <w:rFonts w:hint="eastAsia" w:ascii="仿宋_GB2312" w:cs="仿宋_GB2312"/>
          <w:color w:val="auto"/>
          <w:highlight w:val="none"/>
          <w:lang w:eastAsia="zh-CN" w:bidi="ar-SA"/>
        </w:rPr>
        <w:t>。</w:t>
      </w:r>
    </w:p>
    <w:p>
      <w:pPr>
        <w:pStyle w:val="7"/>
        <w:shd w:val="clear"/>
        <w:spacing w:line="580" w:lineRule="exact"/>
        <w:ind w:left="0" w:firstLine="642" w:firstLineChars="200"/>
        <w:jc w:val="both"/>
        <w:rPr>
          <w:rFonts w:hint="eastAsia" w:ascii="仿宋_GB2312" w:eastAsia="仿宋_GB2312" w:cs="仿宋_GB2312"/>
          <w:color w:val="auto"/>
          <w:highlight w:val="none"/>
          <w:lang w:bidi="ar-SA"/>
        </w:rPr>
      </w:pPr>
      <w:r>
        <w:rPr>
          <w:rFonts w:hint="eastAsia" w:ascii="楷体" w:eastAsia="楷体" w:cs="仿宋_GB2312"/>
          <w:b/>
          <w:bCs/>
          <w:color w:val="auto"/>
          <w:kern w:val="2"/>
          <w:sz w:val="32"/>
          <w:szCs w:val="32"/>
          <w:highlight w:val="none"/>
          <w:lang w:val="en-US" w:eastAsia="zh-CN" w:bidi="ar-SA"/>
        </w:rPr>
        <w:t>2.</w:t>
      </w:r>
      <w:r>
        <w:rPr>
          <w:rFonts w:hint="eastAsia" w:ascii="楷体" w:hAnsi="Calibri" w:eastAsia="楷体" w:cs="仿宋_GB2312"/>
          <w:b/>
          <w:bCs/>
          <w:color w:val="auto"/>
          <w:kern w:val="2"/>
          <w:sz w:val="32"/>
          <w:szCs w:val="32"/>
          <w:highlight w:val="none"/>
          <w:lang w:val="en-US" w:eastAsia="zh-CN" w:bidi="ar-SA"/>
        </w:rPr>
        <w:t>深化文旅融合</w:t>
      </w:r>
      <w:r>
        <w:rPr>
          <w:rFonts w:hint="eastAsia" w:cs="仿宋_GB2312"/>
          <w:b/>
          <w:bCs/>
          <w:color w:val="auto"/>
          <w:kern w:val="2"/>
          <w:sz w:val="32"/>
          <w:szCs w:val="32"/>
          <w:highlight w:val="none"/>
          <w:lang w:val="en-US" w:eastAsia="zh-CN" w:bidi="ar-SA"/>
        </w:rPr>
        <w:t>，</w:t>
      </w:r>
      <w:r>
        <w:rPr>
          <w:rFonts w:hint="eastAsia" w:ascii="楷体" w:hAnsi="Calibri" w:eastAsia="楷体" w:cs="仿宋_GB2312"/>
          <w:b/>
          <w:bCs/>
          <w:color w:val="auto"/>
          <w:kern w:val="2"/>
          <w:sz w:val="32"/>
          <w:szCs w:val="32"/>
          <w:highlight w:val="none"/>
          <w:lang w:val="en-US" w:eastAsia="zh-CN" w:bidi="ar-SA"/>
        </w:rPr>
        <w:t>服务发展大局</w:t>
      </w:r>
      <w:r>
        <w:rPr>
          <w:rFonts w:hint="eastAsia" w:ascii="楷体" w:eastAsia="楷体" w:cs="仿宋_GB2312"/>
          <w:b/>
          <w:bCs/>
          <w:color w:val="auto"/>
          <w:kern w:val="2"/>
          <w:sz w:val="32"/>
          <w:szCs w:val="32"/>
          <w:highlight w:val="none"/>
          <w:lang w:val="en-US" w:eastAsia="zh-CN" w:bidi="ar-SA"/>
        </w:rPr>
        <w:t>。</w:t>
      </w:r>
      <w:r>
        <w:rPr>
          <w:rFonts w:hint="eastAsia" w:ascii="仿宋_GB2312" w:eastAsia="仿宋_GB2312" w:cs="仿宋_GB2312"/>
          <w:b w:val="0"/>
          <w:bCs/>
          <w:color w:val="auto"/>
          <w:highlight w:val="none"/>
          <w:lang w:eastAsia="zh-CN" w:bidi="ar-SA"/>
        </w:rPr>
        <w:t>圆满完成</w:t>
      </w:r>
      <w:r>
        <w:rPr>
          <w:rFonts w:hint="eastAsia" w:ascii="仿宋_GB2312" w:eastAsia="仿宋_GB2312" w:cs="仿宋_GB2312"/>
          <w:b w:val="0"/>
          <w:bCs/>
          <w:color w:val="auto"/>
          <w:highlight w:val="none"/>
          <w:lang w:bidi="ar-SA"/>
        </w:rPr>
        <w:t>湖南省第二届“非物质文化遗产博览会”</w:t>
      </w:r>
      <w:r>
        <w:rPr>
          <w:rFonts w:hint="eastAsia" w:ascii="仿宋_GB2312" w:eastAsia="仿宋_GB2312" w:cs="仿宋_GB2312"/>
          <w:b w:val="0"/>
          <w:bCs/>
          <w:color w:val="auto"/>
          <w:highlight w:val="none"/>
          <w:lang w:eastAsia="zh-CN" w:bidi="ar-SA"/>
        </w:rPr>
        <w:t>，</w:t>
      </w:r>
      <w:r>
        <w:rPr>
          <w:rFonts w:hint="eastAsia" w:ascii="仿宋_GB2312" w:eastAsia="仿宋_GB2312" w:cs="仿宋_GB2312"/>
          <w:color w:val="auto"/>
          <w:highlight w:val="none"/>
          <w:lang w:bidi="ar-SA"/>
        </w:rPr>
        <w:t>五结合六特色”，共组织全国各地共有约150余个非遗项目、近1000名非遗传承人及演职人员参展参演，规模再创新高</w:t>
      </w:r>
      <w:r>
        <w:rPr>
          <w:rFonts w:hint="eastAsia" w:ascii="仿宋_GB2312" w:eastAsia="仿宋_GB2312" w:cs="仿宋_GB2312"/>
          <w:color w:val="auto"/>
          <w:highlight w:val="none"/>
          <w:lang w:eastAsia="zh-CN" w:bidi="ar-SA"/>
        </w:rPr>
        <w:t>。</w:t>
      </w:r>
      <w:r>
        <w:rPr>
          <w:rFonts w:hint="eastAsia" w:ascii="仿宋_GB2312" w:eastAsia="仿宋_GB2312" w:cs="仿宋_GB2312"/>
          <w:color w:val="auto"/>
          <w:highlight w:val="none"/>
          <w:lang w:val="en-US" w:eastAsia="zh-CN" w:bidi="ar-SA"/>
        </w:rPr>
        <w:t>主要特色是</w:t>
      </w:r>
      <w:r>
        <w:rPr>
          <w:rFonts w:hint="eastAsia" w:ascii="仿宋_GB2312" w:eastAsia="仿宋_GB2312" w:cs="仿宋_GB2312"/>
          <w:color w:val="auto"/>
          <w:highlight w:val="none"/>
          <w:lang w:bidi="ar-SA"/>
        </w:rPr>
        <w:t>营造</w:t>
      </w:r>
      <w:r>
        <w:rPr>
          <w:rFonts w:hint="eastAsia" w:ascii="仿宋_GB2312" w:eastAsia="仿宋_GB2312" w:cs="仿宋_GB2312"/>
          <w:color w:val="auto"/>
          <w:highlight w:val="none"/>
          <w:lang w:eastAsia="zh-CN" w:bidi="ar-SA"/>
        </w:rPr>
        <w:t>了</w:t>
      </w:r>
      <w:r>
        <w:rPr>
          <w:rFonts w:hint="eastAsia" w:ascii="仿宋_GB2312" w:eastAsia="仿宋_GB2312" w:cs="仿宋_GB2312"/>
          <w:color w:val="auto"/>
          <w:highlight w:val="none"/>
          <w:lang w:bidi="ar-SA"/>
        </w:rPr>
        <w:t>一个“见人见物见生活”的沉浸式非遗场景；“四多”创新展会风格，打造了一个产品多样、内容多元、活动多彩、共谋多赢的综合型文化空间；“五结合”打造多彩非遗，注重“主题与专题、省内与省外、线上与线下、展示与展销、展区与景区”相结合，把博览会打造一场时尚、科技、梦幻、极具震撼的视觉听觉、味觉多维盛宴；“六特色”优化参展体验，在空间布局、规模效益、体验方式、宣传传播、活动主题、办会成效等方面，都进行</w:t>
      </w:r>
      <w:r>
        <w:rPr>
          <w:rFonts w:hint="eastAsia" w:ascii="仿宋_GB2312" w:eastAsia="仿宋_GB2312" w:cs="仿宋_GB2312"/>
          <w:color w:val="auto"/>
          <w:highlight w:val="none"/>
          <w:lang w:eastAsia="zh-CN" w:bidi="ar-SA"/>
        </w:rPr>
        <w:t>了</w:t>
      </w:r>
      <w:r>
        <w:rPr>
          <w:rFonts w:hint="eastAsia" w:ascii="仿宋_GB2312" w:eastAsia="仿宋_GB2312" w:cs="仿宋_GB2312"/>
          <w:color w:val="auto"/>
          <w:highlight w:val="none"/>
          <w:lang w:bidi="ar-SA"/>
        </w:rPr>
        <w:t>优化创新，让大众充分感受</w:t>
      </w:r>
      <w:r>
        <w:rPr>
          <w:rFonts w:hint="eastAsia" w:ascii="仿宋_GB2312" w:eastAsia="仿宋_GB2312" w:cs="仿宋_GB2312"/>
          <w:color w:val="auto"/>
          <w:highlight w:val="none"/>
          <w:lang w:eastAsia="zh-CN" w:bidi="ar-SA"/>
        </w:rPr>
        <w:t>了我省</w:t>
      </w:r>
      <w:r>
        <w:rPr>
          <w:rFonts w:hint="eastAsia" w:ascii="仿宋_GB2312" w:eastAsia="仿宋_GB2312" w:cs="仿宋_GB2312"/>
          <w:color w:val="auto"/>
          <w:highlight w:val="none"/>
          <w:lang w:bidi="ar-SA"/>
        </w:rPr>
        <w:t>非遗活态日久弥新的生命力。</w:t>
      </w:r>
    </w:p>
    <w:p>
      <w:pPr>
        <w:pStyle w:val="7"/>
        <w:shd w:val="clear"/>
        <w:spacing w:line="580" w:lineRule="exact"/>
        <w:ind w:left="0" w:firstLine="642" w:firstLineChars="200"/>
        <w:jc w:val="both"/>
        <w:rPr>
          <w:rFonts w:hint="eastAsia" w:ascii="仿宋_GB2312" w:eastAsia="仿宋_GB2312" w:cs="仿宋_GB2312"/>
          <w:color w:val="auto"/>
          <w:sz w:val="32"/>
          <w:szCs w:val="32"/>
          <w:highlight w:val="none"/>
          <w:lang w:bidi="ar-SA"/>
        </w:rPr>
      </w:pPr>
      <w:r>
        <w:rPr>
          <w:rFonts w:hint="eastAsia" w:ascii="楷体" w:hAnsi="Calibri" w:eastAsia="楷体" w:cs="仿宋_GB2312"/>
          <w:b/>
          <w:bCs/>
          <w:color w:val="auto"/>
          <w:kern w:val="2"/>
          <w:sz w:val="32"/>
          <w:szCs w:val="32"/>
          <w:highlight w:val="none"/>
          <w:lang w:val="en-US" w:eastAsia="zh-CN" w:bidi="ar-SA"/>
        </w:rPr>
        <w:t>3.加强推广传播，推动人民共享。</w:t>
      </w:r>
      <w:r>
        <w:rPr>
          <w:rFonts w:hint="eastAsia" w:ascii="仿宋_GB2312" w:eastAsia="仿宋_GB2312" w:cs="仿宋_GB2312"/>
          <w:color w:val="auto"/>
          <w:highlight w:val="none"/>
          <w:lang w:bidi="ar-SA"/>
        </w:rPr>
        <w:t>协助文化和旅游部和中央广播电视总台推出的大型文化节目《非遗里的中国（湖南篇）》在湖南郴州录制，共组织25个非遗项目参演，节目于6月24日端午期间在央视综合频道（CCTV-1）黄金档播出</w:t>
      </w:r>
      <w:r>
        <w:rPr>
          <w:rFonts w:hint="eastAsia" w:ascii="仿宋_GB2312" w:eastAsia="仿宋_GB2312" w:cs="仿宋_GB2312"/>
          <w:color w:val="auto"/>
          <w:highlight w:val="none"/>
          <w:lang w:eastAsia="zh-CN" w:bidi="ar-SA"/>
        </w:rPr>
        <w:t>，</w:t>
      </w:r>
      <w:r>
        <w:rPr>
          <w:rFonts w:hint="eastAsia" w:ascii="仿宋_GB2312" w:eastAsia="仿宋_GB2312" w:cs="仿宋_GB2312"/>
          <w:color w:val="auto"/>
          <w:highlight w:val="none"/>
          <w:lang w:bidi="ar-SA"/>
        </w:rPr>
        <w:t>向世人全面展现了湖湘非遗的独特魅力和精湛技艺</w:t>
      </w:r>
      <w:r>
        <w:rPr>
          <w:rFonts w:hint="eastAsia" w:ascii="仿宋_GB2312" w:eastAsia="仿宋_GB2312" w:cs="仿宋_GB2312"/>
          <w:color w:val="auto"/>
          <w:highlight w:val="none"/>
          <w:lang w:eastAsia="zh-CN" w:bidi="ar-SA"/>
        </w:rPr>
        <w:t>。</w:t>
      </w:r>
      <w:r>
        <w:rPr>
          <w:rFonts w:hint="eastAsia" w:ascii="仿宋_GB2312" w:eastAsia="仿宋_GB2312" w:cs="仿宋_GB2312"/>
          <w:color w:val="auto"/>
          <w:sz w:val="32"/>
          <w:szCs w:val="32"/>
          <w:highlight w:val="none"/>
          <w:lang w:bidi="ar-SA"/>
        </w:rPr>
        <w:t>举办2023年湖南省“文化进万家——视频直播家乡年”暨“春暖大匠院·欢乐非遗年”湖南非遗新春集市上</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长沙弹词、打铁水、炭花舞、地花鼓、皮影戏、木偶戏等130余项好看、好玩、好吃的非遗项目精彩纷呈，奉上一场盛大的非遗新春礼。</w:t>
      </w:r>
      <w:r>
        <w:rPr>
          <w:rFonts w:hint="default" w:ascii="仿宋_GB2312" w:eastAsia="仿宋_GB2312" w:cs="仿宋_GB2312"/>
          <w:b w:val="0"/>
          <w:bCs/>
          <w:color w:val="auto"/>
          <w:highlight w:val="none"/>
          <w:lang w:val="en-US" w:eastAsia="zh-CN" w:bidi="ar-SA"/>
        </w:rPr>
        <w:t>湖南省</w:t>
      </w:r>
      <w:r>
        <w:rPr>
          <w:rFonts w:hint="eastAsia" w:ascii="仿宋_GB2312" w:eastAsia="仿宋_GB2312" w:cs="仿宋_GB2312"/>
          <w:b w:val="0"/>
          <w:bCs/>
          <w:color w:val="auto"/>
          <w:highlight w:val="none"/>
          <w:lang w:val="en-US" w:eastAsia="zh-CN" w:bidi="ar-SA"/>
        </w:rPr>
        <w:t>“</w:t>
      </w:r>
      <w:r>
        <w:rPr>
          <w:rFonts w:hint="default" w:ascii="仿宋_GB2312" w:eastAsia="仿宋_GB2312" w:cs="仿宋_GB2312"/>
          <w:b w:val="0"/>
          <w:bCs/>
          <w:color w:val="auto"/>
          <w:highlight w:val="none"/>
          <w:lang w:val="en-US" w:eastAsia="zh-CN" w:bidi="ar-SA"/>
        </w:rPr>
        <w:t>文化和自然遗产日</w:t>
      </w:r>
      <w:r>
        <w:rPr>
          <w:rFonts w:hint="eastAsia" w:ascii="仿宋_GB2312" w:eastAsia="仿宋_GB2312" w:cs="仿宋_GB2312"/>
          <w:b w:val="0"/>
          <w:bCs/>
          <w:color w:val="auto"/>
          <w:highlight w:val="none"/>
          <w:lang w:val="en-US" w:eastAsia="zh-CN" w:bidi="ar-SA"/>
        </w:rPr>
        <w:t>”</w:t>
      </w:r>
      <w:r>
        <w:rPr>
          <w:rFonts w:hint="default" w:ascii="仿宋_GB2312" w:eastAsia="仿宋_GB2312" w:cs="仿宋_GB2312"/>
          <w:b w:val="0"/>
          <w:bCs/>
          <w:color w:val="auto"/>
          <w:highlight w:val="none"/>
          <w:lang w:val="en-US" w:eastAsia="zh-CN" w:bidi="ar-SA"/>
        </w:rPr>
        <w:t>非遗宣传展示主场活动暨第四届湖南非遗购物节成功举办</w:t>
      </w:r>
      <w:r>
        <w:rPr>
          <w:rFonts w:hint="eastAsia" w:ascii="仿宋_GB2312" w:eastAsia="仿宋_GB2312" w:cs="仿宋_GB2312"/>
          <w:b w:val="0"/>
          <w:bCs/>
          <w:color w:val="auto"/>
          <w:highlight w:val="none"/>
          <w:lang w:val="en-US" w:eastAsia="zh-CN" w:bidi="ar-SA"/>
        </w:rPr>
        <w:t>，</w:t>
      </w:r>
      <w:r>
        <w:rPr>
          <w:rFonts w:hint="eastAsia" w:ascii="仿宋_GB2312" w:eastAsia="仿宋_GB2312" w:cs="仿宋_GB2312"/>
          <w:color w:val="auto"/>
          <w:highlight w:val="none"/>
          <w:lang w:bidi="ar-SA"/>
        </w:rPr>
        <w:t>全省非遗购物节中非遗工坊、老字号企业覆盖量达389家，创经济效益近2300万元</w:t>
      </w:r>
      <w:r>
        <w:rPr>
          <w:rFonts w:hint="eastAsia" w:ascii="仿宋_GB2312" w:eastAsia="仿宋_GB2312" w:cs="仿宋_GB2312"/>
          <w:color w:val="auto"/>
          <w:sz w:val="32"/>
          <w:szCs w:val="32"/>
          <w:highlight w:val="none"/>
          <w:lang w:bidi="ar-SA"/>
        </w:rPr>
        <w:t>。</w:t>
      </w:r>
    </w:p>
    <w:p>
      <w:pPr>
        <w:pStyle w:val="3"/>
        <w:pageBreakBefore w:val="0"/>
        <w:numPr>
          <w:ilvl w:val="0"/>
          <w:numId w:val="0"/>
        </w:numPr>
        <w:shd w:val="clear"/>
        <w:kinsoku/>
        <w:wordWrap/>
        <w:topLinePunct w:val="0"/>
        <w:autoSpaceDE/>
        <w:autoSpaceDN/>
        <w:bidi w:val="0"/>
        <w:spacing w:line="560" w:lineRule="exact"/>
        <w:ind w:firstLine="642" w:firstLineChars="200"/>
        <w:rPr>
          <w:rFonts w:hint="default" w:ascii="Times New Roman" w:hAnsi="Times New Roman" w:eastAsia="楷体_GB2312" w:cs="Times New Roman"/>
          <w:color w:val="auto"/>
          <w:sz w:val="32"/>
          <w:szCs w:val="32"/>
          <w:highlight w:val="none"/>
          <w:lang w:val="en-US" w:eastAsia="zh-CN"/>
        </w:rPr>
      </w:pPr>
      <w:bookmarkStart w:id="40" w:name="_Toc17424"/>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四</w:t>
      </w:r>
      <w:r>
        <w:rPr>
          <w:rFonts w:hint="eastAsia" w:ascii="Times New Roman" w:hAnsi="Times New Roman" w:cs="Times New Roman"/>
          <w:b/>
          <w:bCs/>
          <w:color w:val="auto"/>
          <w:highlight w:val="none"/>
          <w:lang w:eastAsia="zh-CN"/>
        </w:rPr>
        <w:t>）推动融合发展，新型业态不断涌现</w:t>
      </w:r>
      <w:bookmarkEnd w:id="40"/>
    </w:p>
    <w:p>
      <w:pPr>
        <w:keepNext w:val="0"/>
        <w:keepLines w:val="0"/>
        <w:pageBreakBefore w:val="0"/>
        <w:widowControl w:val="0"/>
        <w:shd w:val="clear"/>
        <w:kinsoku/>
        <w:wordWrap/>
        <w:overflowPunct/>
        <w:topLinePunct w:val="0"/>
        <w:autoSpaceDE/>
        <w:autoSpaceDN/>
        <w:adjustRightInd w:val="0"/>
        <w:snapToGrid w:val="0"/>
        <w:spacing w:line="600" w:lineRule="exact"/>
        <w:ind w:firstLine="642" w:firstLineChars="200"/>
        <w:rPr>
          <w:rFonts w:hint="eastAsia" w:ascii="仿宋_GB2312" w:eastAsia="仿宋_GB2312" w:cs="仿宋_GB2312"/>
          <w:b w:val="0"/>
          <w:bCs w:val="0"/>
          <w:color w:val="auto"/>
          <w:sz w:val="32"/>
          <w:szCs w:val="32"/>
          <w:highlight w:val="none"/>
          <w:u w:val="none"/>
          <w:lang w:val="en-US" w:eastAsia="zh-CN"/>
        </w:rPr>
      </w:pPr>
      <w:r>
        <w:rPr>
          <w:rFonts w:hint="eastAsia" w:ascii="楷体" w:hAnsi="Calibri" w:eastAsia="楷体" w:cs="仿宋_GB2312"/>
          <w:b/>
          <w:bCs/>
          <w:color w:val="auto"/>
          <w:kern w:val="2"/>
          <w:sz w:val="32"/>
          <w:szCs w:val="32"/>
          <w:highlight w:val="none"/>
          <w:lang w:val="en-US" w:eastAsia="zh-CN" w:bidi="ar-SA"/>
        </w:rPr>
        <w:t>1.着力打造融合业态。</w:t>
      </w:r>
      <w:r>
        <w:rPr>
          <w:rFonts w:hint="eastAsia" w:ascii="仿宋_GB2312" w:eastAsia="仿宋_GB2312" w:cs="仿宋_GB2312"/>
          <w:b w:val="0"/>
          <w:bCs w:val="0"/>
          <w:color w:val="auto"/>
          <w:sz w:val="32"/>
          <w:szCs w:val="32"/>
          <w:highlight w:val="none"/>
          <w:u w:val="none"/>
          <w:lang w:val="en-US" w:eastAsia="zh-CN"/>
        </w:rPr>
        <w:t>推进文旅与工业、农业、教育、体育、康养等产业深度融合，抓好抓实</w:t>
      </w:r>
      <w:r>
        <w:rPr>
          <w:rFonts w:hint="eastAsia" w:ascii="仿宋_GB2312" w:eastAsia="仿宋_GB2312" w:cs="仿宋_GB2312"/>
          <w:b w:val="0"/>
          <w:bCs w:val="0"/>
          <w:color w:val="auto"/>
          <w:sz w:val="32"/>
          <w:szCs w:val="32"/>
          <w:highlight w:val="none"/>
          <w:u w:val="none"/>
          <w:lang w:val="en-US"/>
        </w:rPr>
        <w:t>国家文化产业和旅游产业融合发展示范区</w:t>
      </w:r>
      <w:r>
        <w:rPr>
          <w:rFonts w:hint="eastAsia" w:ascii="仿宋_GB2312" w:eastAsia="仿宋_GB2312" w:cs="仿宋_GB2312"/>
          <w:b w:val="0"/>
          <w:bCs w:val="0"/>
          <w:color w:val="auto"/>
          <w:sz w:val="32"/>
          <w:szCs w:val="32"/>
          <w:highlight w:val="none"/>
          <w:u w:val="none"/>
          <w:lang w:val="en-US" w:eastAsia="zh-CN"/>
        </w:rPr>
        <w:t>创建，</w:t>
      </w:r>
      <w:r>
        <w:rPr>
          <w:rFonts w:hint="eastAsia" w:ascii="仿宋_GB2312" w:eastAsia="仿宋_GB2312"/>
          <w:b w:val="0"/>
          <w:bCs w:val="0"/>
          <w:color w:val="auto"/>
          <w:sz w:val="32"/>
          <w:szCs w:val="32"/>
          <w:highlight w:val="none"/>
        </w:rPr>
        <w:t>推动文化产业赋能乡村振兴，</w:t>
      </w:r>
      <w:r>
        <w:rPr>
          <w:rFonts w:hint="eastAsia" w:ascii="仿宋_GB2312" w:eastAsia="仿宋_GB2312" w:cs="仿宋_GB2312"/>
          <w:b w:val="0"/>
          <w:bCs w:val="0"/>
          <w:color w:val="auto"/>
          <w:sz w:val="32"/>
          <w:szCs w:val="32"/>
          <w:highlight w:val="none"/>
          <w:u w:val="none"/>
          <w:lang w:val="en-US" w:eastAsia="zh-CN"/>
        </w:rPr>
        <w:t>联合19部门出台《关于进一步推动文化和旅游赋能乡村振兴的若干措施》，</w:t>
      </w:r>
      <w:r>
        <w:rPr>
          <w:rFonts w:hint="eastAsia" w:ascii="仿宋_GB2312" w:eastAsia="仿宋_GB2312" w:cs="Times New Roman"/>
          <w:color w:val="auto"/>
          <w:sz w:val="32"/>
          <w:szCs w:val="32"/>
          <w:highlight w:val="none"/>
        </w:rPr>
        <w:t>推动文化产业人才、资金、项目、消费下乡，促进创意、设计、音乐、美术、动漫、科技等融入乡村经济社会发展，积极组织开展了国家文化产业赋能乡村振兴试点工作，</w:t>
      </w:r>
      <w:r>
        <w:rPr>
          <w:rFonts w:hint="eastAsia" w:ascii="仿宋_GB2312" w:eastAsia="仿宋_GB2312" w:cs="仿宋_GB2312"/>
          <w:b w:val="0"/>
          <w:bCs w:val="0"/>
          <w:color w:val="auto"/>
          <w:sz w:val="32"/>
          <w:szCs w:val="32"/>
          <w:highlight w:val="none"/>
          <w:u w:val="none"/>
          <w:lang w:val="en-US" w:eastAsia="zh-CN"/>
        </w:rPr>
        <w:t>岳阳市平江县等3地入选国家文化产业赋能乡村振兴试点单位。</w:t>
      </w:r>
      <w:r>
        <w:rPr>
          <w:rFonts w:hint="eastAsia" w:ascii="仿宋_GB2312" w:eastAsia="仿宋_GB2312" w:cs="Times New Roman"/>
          <w:color w:val="auto"/>
          <w:sz w:val="32"/>
          <w:szCs w:val="32"/>
          <w:highlight w:val="none"/>
        </w:rPr>
        <w:t>加强特色文旅小镇规范管理，发布综合评价排名，</w:t>
      </w:r>
      <w:r>
        <w:rPr>
          <w:rFonts w:hint="eastAsia" w:ascii="仿宋_GB2312" w:cs="Times New Roman"/>
          <w:color w:val="auto"/>
          <w:sz w:val="32"/>
          <w:szCs w:val="32"/>
          <w:highlight w:val="none"/>
          <w:lang w:val="en-US" w:eastAsia="zh-CN"/>
        </w:rPr>
        <w:t>推先督后</w:t>
      </w:r>
      <w:r>
        <w:rPr>
          <w:rFonts w:hint="eastAsia" w:ascii="仿宋_GB2312" w:eastAsia="仿宋_GB2312" w:cs="Times New Roman"/>
          <w:color w:val="auto"/>
          <w:sz w:val="32"/>
          <w:szCs w:val="32"/>
          <w:highlight w:val="none"/>
        </w:rPr>
        <w:t>，</w:t>
      </w:r>
      <w:r>
        <w:rPr>
          <w:rFonts w:hint="eastAsia" w:ascii="仿宋_GB2312" w:eastAsia="仿宋_GB2312" w:cs="仿宋_GB2312"/>
          <w:b w:val="0"/>
          <w:bCs w:val="0"/>
          <w:color w:val="auto"/>
          <w:sz w:val="32"/>
          <w:szCs w:val="32"/>
          <w:highlight w:val="none"/>
          <w:u w:val="none"/>
          <w:lang w:val="en-US" w:eastAsia="zh-CN"/>
        </w:rPr>
        <w:t>23家省级特色文旅小镇上半年</w:t>
      </w:r>
      <w:r>
        <w:rPr>
          <w:rFonts w:hint="eastAsia" w:ascii="仿宋_GB2312" w:eastAsia="仿宋_GB2312" w:cs="仿宋_GB2312"/>
          <w:b w:val="0"/>
          <w:bCs w:val="0"/>
          <w:color w:val="auto"/>
          <w:sz w:val="32"/>
          <w:szCs w:val="32"/>
          <w:highlight w:val="none"/>
          <w:u w:val="none"/>
          <w:lang w:val="en-US"/>
        </w:rPr>
        <w:t>总产值同比增长</w:t>
      </w:r>
      <w:r>
        <w:rPr>
          <w:rFonts w:hint="eastAsia" w:ascii="仿宋_GB2312" w:eastAsia="仿宋_GB2312" w:cs="仿宋_GB2312"/>
          <w:b w:val="0"/>
          <w:bCs w:val="0"/>
          <w:color w:val="auto"/>
          <w:sz w:val="32"/>
          <w:szCs w:val="32"/>
          <w:highlight w:val="none"/>
          <w:u w:val="none"/>
          <w:lang w:val="en-US" w:eastAsia="zh-CN"/>
        </w:rPr>
        <w:t>119</w:t>
      </w:r>
      <w:r>
        <w:rPr>
          <w:rFonts w:hint="eastAsia" w:ascii="仿宋_GB2312" w:eastAsia="仿宋_GB2312" w:cs="仿宋_GB2312"/>
          <w:b w:val="0"/>
          <w:bCs w:val="0"/>
          <w:color w:val="auto"/>
          <w:sz w:val="32"/>
          <w:szCs w:val="32"/>
          <w:highlight w:val="none"/>
          <w:u w:val="none"/>
          <w:lang w:val="en-US"/>
        </w:rPr>
        <w:t>%</w:t>
      </w:r>
      <w:r>
        <w:rPr>
          <w:rFonts w:hint="eastAsia" w:ascii="仿宋_GB2312" w:eastAsia="仿宋_GB2312" w:cs="仿宋_GB2312"/>
          <w:b w:val="0"/>
          <w:bCs w:val="0"/>
          <w:color w:val="auto"/>
          <w:sz w:val="32"/>
          <w:szCs w:val="32"/>
          <w:highlight w:val="none"/>
          <w:u w:val="none"/>
          <w:lang w:val="en-US" w:eastAsia="zh-CN"/>
        </w:rPr>
        <w:t>。</w:t>
      </w:r>
    </w:p>
    <w:p>
      <w:pPr>
        <w:keepNext w:val="0"/>
        <w:keepLines w:val="0"/>
        <w:pageBreakBefore w:val="0"/>
        <w:widowControl w:val="0"/>
        <w:shd w:val="clear"/>
        <w:kinsoku/>
        <w:wordWrap/>
        <w:overflowPunct/>
        <w:topLinePunct w:val="0"/>
        <w:autoSpaceDE/>
        <w:autoSpaceDN/>
        <w:adjustRightInd w:val="0"/>
        <w:snapToGrid w:val="0"/>
        <w:spacing w:line="600" w:lineRule="exact"/>
        <w:ind w:firstLine="642" w:firstLineChars="200"/>
        <w:rPr>
          <w:rFonts w:hint="eastAsia" w:ascii="仿宋_GB2312" w:eastAsia="仿宋_GB2312" w:cs="仿宋_GB2312"/>
          <w:color w:val="auto"/>
          <w:sz w:val="32"/>
          <w:szCs w:val="32"/>
          <w:highlight w:val="none"/>
          <w:lang w:val="en-US" w:eastAsia="zh-CN"/>
        </w:rPr>
      </w:pPr>
      <w:r>
        <w:rPr>
          <w:rFonts w:hint="eastAsia" w:ascii="楷体" w:hAnsi="Calibri" w:eastAsia="楷体" w:cs="仿宋_GB2312"/>
          <w:b/>
          <w:bCs/>
          <w:color w:val="auto"/>
          <w:kern w:val="2"/>
          <w:sz w:val="32"/>
          <w:szCs w:val="32"/>
          <w:highlight w:val="none"/>
          <w:lang w:val="en-US" w:eastAsia="zh-CN" w:bidi="ar-SA"/>
        </w:rPr>
        <w:t>2.大力培育湖南文旅新业态。</w:t>
      </w:r>
      <w:r>
        <w:rPr>
          <w:rFonts w:hint="eastAsia" w:ascii="仿宋_GB2312" w:eastAsia="仿宋_GB2312" w:cs="仿宋_GB2312"/>
          <w:b w:val="0"/>
          <w:bCs w:val="0"/>
          <w:color w:val="auto"/>
          <w:sz w:val="32"/>
          <w:szCs w:val="32"/>
          <w:highlight w:val="none"/>
          <w:u w:val="none"/>
          <w:lang w:val="en-US" w:eastAsia="zh-CN"/>
        </w:rPr>
        <w:t>加快起草《湖南文旅新业态培育发展三年行动计划》（2023-2025）（简称《计划》），鼓励引导文旅业与优秀文化、森林康养、体育运动、高新技术制造、数字创意等特色资源、产业融合发展，培育引导国风潮玩、森林康养、低空飞行、数字创意、冰雪旅游、沉浸体验等12类文旅新业态项目400家左右，评定新业态示范基地项目200家左右</w:t>
      </w:r>
      <w:r>
        <w:rPr>
          <w:rFonts w:hint="eastAsia" w:ascii="仿宋_GB2312" w:cs="仿宋_GB2312"/>
          <w:b w:val="0"/>
          <w:bCs w:val="0"/>
          <w:color w:val="auto"/>
          <w:sz w:val="32"/>
          <w:szCs w:val="32"/>
          <w:highlight w:val="none"/>
          <w:u w:val="none"/>
          <w:lang w:val="en-US" w:eastAsia="zh-CN"/>
        </w:rPr>
        <w:t>，</w:t>
      </w:r>
      <w:r>
        <w:rPr>
          <w:rFonts w:hint="eastAsia" w:ascii="仿宋_GB2312" w:eastAsia="仿宋_GB2312" w:cs="仿宋_GB2312"/>
          <w:color w:val="auto"/>
          <w:sz w:val="32"/>
          <w:szCs w:val="32"/>
          <w:highlight w:val="none"/>
        </w:rPr>
        <w:t>评定首批新业态示范基地</w:t>
      </w:r>
      <w:r>
        <w:rPr>
          <w:rFonts w:hint="eastAsia" w:ascii="仿宋_GB2312" w:eastAsia="仿宋_GB2312" w:cs="仿宋_GB2312"/>
          <w:color w:val="auto"/>
          <w:sz w:val="32"/>
          <w:szCs w:val="32"/>
          <w:highlight w:val="none"/>
          <w:lang w:val="en-US" w:eastAsia="zh-CN"/>
        </w:rPr>
        <w:t>68</w:t>
      </w:r>
      <w:r>
        <w:rPr>
          <w:rFonts w:hint="eastAsia" w:ascii="仿宋_GB2312" w:eastAsia="仿宋_GB2312" w:cs="仿宋_GB2312"/>
          <w:color w:val="auto"/>
          <w:sz w:val="32"/>
          <w:szCs w:val="32"/>
          <w:highlight w:val="none"/>
        </w:rPr>
        <w:t>家，</w:t>
      </w:r>
      <w:r>
        <w:rPr>
          <w:rFonts w:hint="eastAsia" w:ascii="仿宋_GB2312" w:eastAsia="仿宋_GB2312" w:cs="仿宋_GB2312"/>
          <w:color w:val="auto"/>
          <w:sz w:val="32"/>
          <w:szCs w:val="32"/>
          <w:highlight w:val="none"/>
          <w:lang w:val="en-US" w:eastAsia="zh-CN"/>
        </w:rPr>
        <w:t>支持</w:t>
      </w:r>
      <w:r>
        <w:rPr>
          <w:rFonts w:hint="eastAsia" w:ascii="仿宋_GB2312" w:eastAsia="仿宋_GB2312"/>
          <w:color w:val="auto"/>
          <w:sz w:val="32"/>
          <w:szCs w:val="32"/>
          <w:highlight w:val="none"/>
        </w:rPr>
        <w:t>融合创新</w:t>
      </w:r>
      <w:r>
        <w:rPr>
          <w:rFonts w:hint="eastAsia" w:ascii="仿宋_GB2312" w:eastAsia="仿宋_GB2312"/>
          <w:color w:val="auto"/>
          <w:sz w:val="32"/>
          <w:szCs w:val="32"/>
          <w:highlight w:val="none"/>
          <w:lang w:eastAsia="zh-CN"/>
        </w:rPr>
        <w:t>项目</w:t>
      </w:r>
      <w:r>
        <w:rPr>
          <w:rFonts w:hint="eastAsia" w:ascii="仿宋_GB2312" w:eastAsia="仿宋_GB2312" w:cs="仿宋_GB2312"/>
          <w:color w:val="auto"/>
          <w:sz w:val="32"/>
          <w:szCs w:val="32"/>
          <w:highlight w:val="none"/>
          <w:lang w:val="en-US"/>
        </w:rPr>
        <w:t>26个</w:t>
      </w:r>
      <w:r>
        <w:rPr>
          <w:rFonts w:hint="eastAsia" w:ascii="仿宋_GB2312" w:eastAsia="仿宋_GB2312" w:cs="仿宋_GB2312"/>
          <w:color w:val="auto"/>
          <w:sz w:val="32"/>
          <w:szCs w:val="32"/>
          <w:highlight w:val="none"/>
          <w:lang w:val="en-US" w:eastAsia="zh-CN"/>
        </w:rPr>
        <w:t>，推出方特东方神画等首批20个湖南文旅沉浸式体验新空间，张家界的实景剧《遇见大庸》获评文旅部首批文旅新业态示范案例。</w:t>
      </w:r>
    </w:p>
    <w:p>
      <w:pPr>
        <w:keepNext w:val="0"/>
        <w:keepLines w:val="0"/>
        <w:pageBreakBefore w:val="0"/>
        <w:widowControl w:val="0"/>
        <w:shd w:val="clear"/>
        <w:kinsoku/>
        <w:wordWrap/>
        <w:overflowPunct/>
        <w:topLinePunct w:val="0"/>
        <w:autoSpaceDE/>
        <w:autoSpaceDN/>
        <w:adjustRightInd w:val="0"/>
        <w:snapToGrid w:val="0"/>
        <w:spacing w:line="600" w:lineRule="exact"/>
        <w:ind w:firstLine="642" w:firstLineChars="200"/>
        <w:rPr>
          <w:rFonts w:hint="eastAsia" w:ascii="仿宋_GB2312" w:eastAsia="仿宋_GB2312" w:cs="仿宋_GB2312"/>
          <w:i w:val="0"/>
          <w:iCs w:val="0"/>
          <w:caps w:val="0"/>
          <w:smallCaps w:val="0"/>
          <w:color w:val="auto"/>
          <w:spacing w:val="0"/>
          <w:sz w:val="32"/>
          <w:szCs w:val="32"/>
          <w:highlight w:val="none"/>
          <w:shd w:val="clear" w:color="auto" w:fill="FFFFFF"/>
          <w:lang w:val="en-US" w:eastAsia="zh-CN"/>
        </w:rPr>
      </w:pPr>
      <w:r>
        <w:rPr>
          <w:rFonts w:hint="eastAsia" w:ascii="楷体" w:hAnsi="Calibri" w:eastAsia="楷体" w:cs="仿宋_GB2312"/>
          <w:b/>
          <w:bCs/>
          <w:color w:val="auto"/>
          <w:kern w:val="2"/>
          <w:sz w:val="32"/>
          <w:szCs w:val="32"/>
          <w:highlight w:val="none"/>
          <w:lang w:val="en-US" w:eastAsia="zh-CN" w:bidi="ar-SA"/>
        </w:rPr>
        <w:t>3.强化金融支持文旅消费创新发展。</w:t>
      </w:r>
      <w:r>
        <w:rPr>
          <w:rFonts w:hint="eastAsia" w:ascii="仿宋_GB2312" w:cs="仿宋_GB2312"/>
          <w:b/>
          <w:bCs/>
          <w:color w:val="auto"/>
          <w:sz w:val="32"/>
          <w:szCs w:val="32"/>
          <w:highlight w:val="none"/>
          <w:lang w:val="en-US" w:eastAsia="zh-CN"/>
        </w:rPr>
        <w:t>为</w:t>
      </w:r>
      <w:r>
        <w:rPr>
          <w:rFonts w:hint="eastAsia" w:ascii="仿宋_GB2312" w:eastAsia="仿宋_GB2312" w:cs="仿宋_GB2312"/>
          <w:color w:val="auto"/>
          <w:sz w:val="32"/>
          <w:szCs w:val="32"/>
          <w:highlight w:val="none"/>
        </w:rPr>
        <w:t>释放文旅消费新潜力，推动文旅消费提质升级，促进文旅产业高质量发展，2023湖南文旅产业投融资大会</w:t>
      </w:r>
      <w:r>
        <w:rPr>
          <w:rFonts w:hint="eastAsia" w:ascii="仿宋_GB2312" w:eastAsia="仿宋_GB2312" w:cs="仿宋_GB2312"/>
          <w:bCs/>
          <w:color w:val="auto"/>
          <w:sz w:val="32"/>
          <w:szCs w:val="32"/>
          <w:highlight w:val="none"/>
        </w:rPr>
        <w:t>发布了</w:t>
      </w:r>
      <w:r>
        <w:rPr>
          <w:rFonts w:hint="eastAsia" w:ascii="仿宋_GB2312" w:eastAsia="仿宋_GB2312" w:cs="仿宋_GB2312"/>
          <w:color w:val="auto"/>
          <w:sz w:val="32"/>
          <w:szCs w:val="32"/>
          <w:highlight w:val="none"/>
        </w:rPr>
        <w:t>长沙县乐运魔方等</w:t>
      </w:r>
      <w:r>
        <w:rPr>
          <w:rFonts w:hint="eastAsia" w:ascii="仿宋_GB2312" w:eastAsia="仿宋_GB2312" w:cs="仿宋_GB2312"/>
          <w:bCs/>
          <w:color w:val="auto"/>
          <w:sz w:val="32"/>
          <w:szCs w:val="32"/>
          <w:highlight w:val="none"/>
        </w:rPr>
        <w:t>200个湖南文旅消费“新生代·新场景”名单，</w:t>
      </w:r>
      <w:r>
        <w:rPr>
          <w:rFonts w:hint="eastAsia" w:ascii="仿宋_GB2312" w:eastAsia="仿宋_GB2312" w:cs="仿宋_GB2312"/>
          <w:color w:val="auto"/>
          <w:sz w:val="32"/>
          <w:szCs w:val="32"/>
          <w:highlight w:val="none"/>
        </w:rPr>
        <w:t>并遴选20个“新生代·新场景”</w:t>
      </w:r>
      <w:r>
        <w:rPr>
          <w:rFonts w:hint="eastAsia" w:ascii="仿宋_GB2312" w:eastAsia="仿宋_GB2312" w:cs="仿宋_GB2312"/>
          <w:color w:val="auto"/>
          <w:sz w:val="32"/>
          <w:szCs w:val="32"/>
          <w:highlight w:val="none"/>
        </w:rPr>
        <w:t>进行现场授牌</w:t>
      </w:r>
      <w:r>
        <w:rPr>
          <w:rFonts w:hint="eastAsia" w:ascii="仿宋_GB2312" w:eastAsia="仿宋_GB2312" w:cs="仿宋_GB2312"/>
          <w:b w:val="0"/>
          <w:bCs w:val="0"/>
          <w:color w:val="auto"/>
          <w:sz w:val="32"/>
          <w:szCs w:val="32"/>
          <w:highlight w:val="none"/>
        </w:rPr>
        <w:t>。</w:t>
      </w:r>
      <w:r>
        <w:rPr>
          <w:rFonts w:hint="eastAsia" w:ascii="仿宋_GB2312" w:eastAsia="仿宋_GB2312" w:cs="仿宋_GB2312"/>
          <w:b w:val="0"/>
          <w:bCs w:val="0"/>
          <w:i w:val="0"/>
          <w:iCs w:val="0"/>
          <w:caps w:val="0"/>
          <w:smallCaps w:val="0"/>
          <w:color w:val="auto"/>
          <w:spacing w:val="0"/>
          <w:sz w:val="32"/>
          <w:szCs w:val="32"/>
          <w:highlight w:val="none"/>
          <w:shd w:val="clear" w:color="auto" w:fill="FFFFFF"/>
        </w:rPr>
        <w:t>省文旅厅</w:t>
      </w:r>
      <w:r>
        <w:rPr>
          <w:rFonts w:hint="eastAsia" w:ascii="仿宋_GB2312" w:eastAsia="仿宋_GB2312" w:cs="仿宋_GB2312"/>
          <w:b w:val="0"/>
          <w:bCs w:val="0"/>
          <w:i w:val="0"/>
          <w:iCs w:val="0"/>
          <w:caps w:val="0"/>
          <w:smallCaps w:val="0"/>
          <w:color w:val="auto"/>
          <w:spacing w:val="0"/>
          <w:sz w:val="32"/>
          <w:szCs w:val="32"/>
          <w:highlight w:val="none"/>
          <w:shd w:val="clear" w:color="auto" w:fill="FFFFFF"/>
        </w:rPr>
        <w:t>、长沙银行、北京银行长沙分行联合出台</w:t>
      </w:r>
      <w:r>
        <w:rPr>
          <w:rFonts w:hint="eastAsia" w:ascii="仿宋_GB2312" w:eastAsia="仿宋_GB2312" w:cs="仿宋_GB2312"/>
          <w:b w:val="0"/>
          <w:bCs w:val="0"/>
          <w:i w:val="0"/>
          <w:iCs w:val="0"/>
          <w:caps w:val="0"/>
          <w:smallCaps w:val="0"/>
          <w:color w:val="auto"/>
          <w:spacing w:val="0"/>
          <w:sz w:val="32"/>
          <w:szCs w:val="32"/>
          <w:highlight w:val="none"/>
          <w:shd w:val="clear" w:color="auto" w:fill="FFFFFF"/>
          <w:lang w:val="en-US" w:eastAsia="zh-CN"/>
        </w:rPr>
        <w:t>了《金融支持文旅消费“新生代·新场景”创新发展》文件，两家银行将针对名单内相关企业推出系列金融产品，并在未来三年内新发放贷款各不低于100亿元，支持湖南文旅消费新场景创新发展</w:t>
      </w:r>
      <w:r>
        <w:rPr>
          <w:rFonts w:hint="eastAsia" w:ascii="仿宋_GB2312" w:eastAsia="仿宋_GB2312" w:cs="仿宋_GB2312"/>
          <w:i w:val="0"/>
          <w:iCs w:val="0"/>
          <w:caps w:val="0"/>
          <w:smallCaps w:val="0"/>
          <w:color w:val="auto"/>
          <w:spacing w:val="0"/>
          <w:sz w:val="32"/>
          <w:szCs w:val="32"/>
          <w:highlight w:val="none"/>
          <w:shd w:val="clear" w:color="auto" w:fill="FFFFFF"/>
          <w:lang w:val="en-US" w:eastAsia="zh-CN"/>
        </w:rPr>
        <w:t>。</w:t>
      </w:r>
    </w:p>
    <w:p>
      <w:pPr>
        <w:pStyle w:val="2"/>
        <w:shd w:val="clear"/>
        <w:bidi w:val="0"/>
        <w:rPr>
          <w:rFonts w:hint="default" w:ascii="Times New Roman" w:hAnsi="Times New Roman" w:cs="Times New Roman"/>
          <w:color w:val="auto"/>
          <w:highlight w:val="none"/>
          <w:lang w:val="en-US" w:eastAsia="zh-CN"/>
        </w:rPr>
      </w:pPr>
      <w:bookmarkStart w:id="41" w:name="_Toc17291"/>
      <w:r>
        <w:rPr>
          <w:rFonts w:hint="eastAsia" w:ascii="Times New Roman" w:hAnsi="Times New Roman" w:cs="Times New Roman"/>
          <w:color w:val="auto"/>
          <w:highlight w:val="none"/>
          <w:lang w:val="en-US" w:eastAsia="zh-CN"/>
        </w:rPr>
        <w:t>八</w:t>
      </w:r>
      <w:r>
        <w:rPr>
          <w:rFonts w:hint="default" w:ascii="Times New Roman" w:hAnsi="Times New Roman" w:cs="Times New Roman"/>
          <w:color w:val="auto"/>
          <w:highlight w:val="none"/>
          <w:lang w:val="en-US" w:eastAsia="zh-CN"/>
        </w:rPr>
        <w:t>、存在的问题及原因分析</w:t>
      </w:r>
      <w:bookmarkEnd w:id="41"/>
    </w:p>
    <w:p>
      <w:pPr>
        <w:pStyle w:val="2"/>
        <w:shd w:val="clear"/>
        <w:bidi w:val="0"/>
        <w:rPr>
          <w:rFonts w:hint="default" w:ascii="Times New Roman" w:hAnsi="Times New Roman" w:cs="Times New Roman"/>
          <w:color w:val="auto"/>
          <w:highlight w:val="none"/>
          <w:lang w:val="en" w:eastAsia="zh-CN"/>
        </w:rPr>
      </w:pPr>
      <w:r>
        <w:rPr>
          <w:rFonts w:hint="default" w:ascii="Times New Roman" w:hAnsi="Times New Roman" w:cs="Times New Roman"/>
          <w:color w:val="auto"/>
          <w:highlight w:val="none"/>
          <w:lang w:val="en" w:eastAsia="zh-CN"/>
        </w:rPr>
        <w:t>(</w:t>
      </w:r>
      <w:r>
        <w:rPr>
          <w:rFonts w:hint="eastAsia" w:ascii="Times New Roman" w:hAnsi="Times New Roman" w:cs="Times New Roman"/>
          <w:color w:val="auto"/>
          <w:highlight w:val="none"/>
          <w:lang w:val="en" w:eastAsia="zh-CN"/>
        </w:rPr>
        <w:t>略</w:t>
      </w:r>
      <w:r>
        <w:rPr>
          <w:rFonts w:hint="default" w:ascii="Times New Roman" w:hAnsi="Times New Roman" w:cs="Times New Roman"/>
          <w:color w:val="auto"/>
          <w:highlight w:val="none"/>
          <w:lang w:val="en" w:eastAsia="zh-CN"/>
        </w:rPr>
        <w:t>)</w:t>
      </w:r>
    </w:p>
    <w:p>
      <w:pPr>
        <w:pStyle w:val="2"/>
        <w:shd w:val="clear"/>
        <w:bidi w:val="0"/>
        <w:rPr>
          <w:rFonts w:hint="default" w:ascii="Times New Roman" w:hAnsi="Times New Roman" w:cs="Times New Roman"/>
          <w:color w:val="auto"/>
          <w:highlight w:val="none"/>
          <w:lang w:val="en-US" w:eastAsia="zh-CN"/>
        </w:rPr>
      </w:pPr>
      <w:bookmarkStart w:id="42" w:name="_Toc17232"/>
      <w:r>
        <w:rPr>
          <w:rFonts w:hint="eastAsia" w:ascii="Times New Roman" w:hAnsi="Times New Roman" w:cs="Times New Roman"/>
          <w:color w:val="auto"/>
          <w:highlight w:val="none"/>
          <w:lang w:val="en-US" w:eastAsia="zh-CN"/>
        </w:rPr>
        <w:t>九</w:t>
      </w:r>
      <w:r>
        <w:rPr>
          <w:rFonts w:hint="default" w:ascii="Times New Roman" w:hAnsi="Times New Roman" w:cs="Times New Roman"/>
          <w:color w:val="auto"/>
          <w:highlight w:val="none"/>
          <w:lang w:val="en-US" w:eastAsia="zh-CN"/>
        </w:rPr>
        <w:t>、下一步</w:t>
      </w:r>
      <w:r>
        <w:rPr>
          <w:rFonts w:hint="eastAsia" w:ascii="Times New Roman" w:hAnsi="Times New Roman" w:cs="Times New Roman"/>
          <w:color w:val="auto"/>
          <w:highlight w:val="none"/>
          <w:lang w:val="en-US" w:eastAsia="zh-CN"/>
        </w:rPr>
        <w:t>改进措施</w:t>
      </w:r>
      <w:bookmarkEnd w:id="42"/>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基于上述问题和不足，我</w:t>
      </w:r>
      <w:r>
        <w:rPr>
          <w:rFonts w:hint="eastAsia" w:ascii="Times New Roman" w:hAnsi="Times New Roman" w:cs="Times New Roman"/>
          <w:b w:val="0"/>
          <w:bCs w:val="0"/>
          <w:color w:val="auto"/>
          <w:highlight w:val="none"/>
          <w:lang w:val="en-US" w:eastAsia="zh-CN"/>
        </w:rPr>
        <w:t>厅</w:t>
      </w:r>
      <w:r>
        <w:rPr>
          <w:rFonts w:hint="default" w:ascii="Times New Roman" w:hAnsi="Times New Roman" w:cs="Times New Roman"/>
          <w:b w:val="0"/>
          <w:bCs w:val="0"/>
          <w:color w:val="auto"/>
          <w:highlight w:val="none"/>
          <w:lang w:val="en-US" w:eastAsia="zh-CN"/>
        </w:rPr>
        <w:t>计划从以下方面进行工作规范、完善管理：</w:t>
      </w:r>
    </w:p>
    <w:p>
      <w:pPr>
        <w:pStyle w:val="3"/>
        <w:shd w:val="clear"/>
        <w:bidi w:val="0"/>
        <w:spacing w:line="360" w:lineRule="auto"/>
        <w:rPr>
          <w:rFonts w:hint="default" w:ascii="仿宋_GB2312" w:eastAsia="仿宋_GB2312"/>
          <w:b w:val="0"/>
          <w:bCs/>
          <w:color w:val="auto"/>
          <w:sz w:val="32"/>
          <w:szCs w:val="32"/>
          <w:highlight w:val="none"/>
          <w:lang w:val="en-US"/>
        </w:rPr>
      </w:pPr>
      <w:bookmarkStart w:id="43" w:name="_Toc32725"/>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val="en-US" w:eastAsia="zh-CN"/>
        </w:rPr>
        <w:t>）加强绩效管理体系建设，</w:t>
      </w:r>
      <w:r>
        <w:rPr>
          <w:rFonts w:hint="eastAsia" w:ascii="Times New Roman" w:hAnsi="Times New Roman" w:cs="Times New Roman"/>
          <w:color w:val="auto"/>
          <w:highlight w:val="none"/>
          <w:lang w:val="en-US" w:eastAsia="zh-CN"/>
        </w:rPr>
        <w:t>夯实绩效</w:t>
      </w:r>
      <w:r>
        <w:rPr>
          <w:rFonts w:hint="default" w:ascii="Times New Roman" w:hAnsi="Times New Roman" w:cs="Times New Roman"/>
          <w:color w:val="auto"/>
          <w:highlight w:val="none"/>
          <w:lang w:val="en-US" w:eastAsia="zh-CN"/>
        </w:rPr>
        <w:t>管理</w:t>
      </w:r>
      <w:r>
        <w:rPr>
          <w:rFonts w:hint="eastAsia" w:ascii="Times New Roman" w:hAnsi="Times New Roman" w:cs="Times New Roman"/>
          <w:color w:val="auto"/>
          <w:highlight w:val="none"/>
          <w:lang w:val="en-US" w:eastAsia="zh-CN"/>
        </w:rPr>
        <w:t>工作基础</w:t>
      </w:r>
      <w:bookmarkEnd w:id="43"/>
    </w:p>
    <w:p>
      <w:pPr>
        <w:shd w:val="clear"/>
        <w:spacing w:line="360" w:lineRule="auto"/>
        <w:ind w:firstLine="643"/>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一是建立预算绩效管理组织机制，夯实预算绩效管理工作基础。结合部门的职能特性，对系统内各单位、各处室预算绩效管理职责分工予以明确和细化，将绩效管理流程有机融合到预算管理和业务管理流程中、将绩效管理责任落实到具体预算管理单位和业务部门，有效实现预算绩效管理在预算编报、预算执行、预算监督等各环节的无缝对接。</w:t>
      </w:r>
    </w:p>
    <w:p>
      <w:pPr>
        <w:shd w:val="clear"/>
        <w:spacing w:line="360" w:lineRule="auto"/>
        <w:ind w:firstLine="643"/>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二是开展业务指导和培训，增强预算绩效管理意识。</w:t>
      </w:r>
      <w:r>
        <w:rPr>
          <w:rFonts w:ascii="仿宋_GB2312" w:hAnsi="仿宋_GB2312" w:eastAsia="仿宋_GB2312" w:cs="仿宋_GB2312"/>
          <w:color w:val="auto"/>
          <w:kern w:val="0"/>
          <w:sz w:val="31"/>
          <w:szCs w:val="31"/>
          <w:highlight w:val="none"/>
          <w:lang w:val="en-US" w:eastAsia="zh-CN" w:bidi="ar"/>
        </w:rPr>
        <w:t>加大宣传培训力度，通过工作会议、专题培训、政策宣贯、制定指</w:t>
      </w:r>
      <w:r>
        <w:rPr>
          <w:rFonts w:hint="eastAsia" w:ascii="仿宋_GB2312" w:hAnsi="仿宋_GB2312" w:eastAsia="仿宋_GB2312" w:cs="仿宋_GB2312"/>
          <w:color w:val="auto"/>
          <w:kern w:val="0"/>
          <w:sz w:val="31"/>
          <w:szCs w:val="31"/>
          <w:highlight w:val="none"/>
          <w:lang w:val="en-US" w:eastAsia="zh-CN" w:bidi="ar"/>
        </w:rPr>
        <w:t>南</w:t>
      </w:r>
      <w:r>
        <w:rPr>
          <w:rFonts w:ascii="仿宋_GB2312" w:hAnsi="仿宋_GB2312" w:eastAsia="仿宋_GB2312" w:cs="仿宋_GB2312"/>
          <w:color w:val="auto"/>
          <w:kern w:val="0"/>
          <w:sz w:val="31"/>
          <w:szCs w:val="31"/>
          <w:highlight w:val="none"/>
          <w:lang w:val="en-US" w:eastAsia="zh-CN" w:bidi="ar"/>
        </w:rPr>
        <w:t>等多种形式，引导</w:t>
      </w:r>
      <w:r>
        <w:rPr>
          <w:rFonts w:hint="eastAsia" w:ascii="仿宋_GB2312" w:hAnsi="仿宋_GB2312" w:eastAsia="仿宋_GB2312" w:cs="仿宋_GB2312"/>
          <w:color w:val="auto"/>
          <w:kern w:val="0"/>
          <w:sz w:val="31"/>
          <w:szCs w:val="31"/>
          <w:highlight w:val="none"/>
          <w:lang w:val="en-US" w:eastAsia="zh-CN" w:bidi="ar"/>
        </w:rPr>
        <w:t>厅业务处室</w:t>
      </w:r>
      <w:r>
        <w:rPr>
          <w:rFonts w:ascii="仿宋_GB2312" w:hAnsi="仿宋_GB2312" w:eastAsia="仿宋_GB2312" w:cs="仿宋_GB2312"/>
          <w:color w:val="auto"/>
          <w:kern w:val="0"/>
          <w:sz w:val="31"/>
          <w:szCs w:val="31"/>
          <w:highlight w:val="none"/>
          <w:lang w:val="en-US" w:eastAsia="zh-CN" w:bidi="ar"/>
        </w:rPr>
        <w:t>及</w:t>
      </w:r>
      <w:r>
        <w:rPr>
          <w:rFonts w:hint="eastAsia" w:ascii="仿宋_GB2312" w:hAnsi="仿宋_GB2312" w:eastAsia="仿宋_GB2312" w:cs="仿宋_GB2312"/>
          <w:color w:val="auto"/>
          <w:kern w:val="0"/>
          <w:sz w:val="31"/>
          <w:szCs w:val="31"/>
          <w:highlight w:val="none"/>
          <w:lang w:val="en-US" w:eastAsia="zh-CN" w:bidi="ar"/>
        </w:rPr>
        <w:t>所属二级预算单位</w:t>
      </w:r>
      <w:r>
        <w:rPr>
          <w:rFonts w:ascii="仿宋_GB2312" w:hAnsi="仿宋_GB2312" w:eastAsia="仿宋_GB2312" w:cs="仿宋_GB2312"/>
          <w:color w:val="auto"/>
          <w:kern w:val="0"/>
          <w:sz w:val="31"/>
          <w:szCs w:val="31"/>
          <w:highlight w:val="none"/>
          <w:lang w:val="en-US" w:eastAsia="zh-CN" w:bidi="ar"/>
        </w:rPr>
        <w:t>牢固树立正确的预算和绩效管理观，</w:t>
      </w:r>
      <w:r>
        <w:rPr>
          <w:rFonts w:hint="eastAsia" w:ascii="仿宋_GB2312" w:hAnsi="仿宋_GB2312" w:eastAsia="仿宋_GB2312" w:cs="仿宋_GB2312"/>
          <w:color w:val="auto"/>
          <w:kern w:val="0"/>
          <w:sz w:val="31"/>
          <w:szCs w:val="31"/>
          <w:highlight w:val="none"/>
          <w:lang w:val="en-US" w:eastAsia="zh-CN" w:bidi="ar"/>
        </w:rPr>
        <w:t>深刻理解产出、效益指标的内涵及设置方法、</w:t>
      </w:r>
      <w:r>
        <w:rPr>
          <w:rFonts w:ascii="仿宋_GB2312" w:hAnsi="仿宋_GB2312" w:eastAsia="仿宋_GB2312" w:cs="仿宋_GB2312"/>
          <w:color w:val="auto"/>
          <w:kern w:val="0"/>
          <w:sz w:val="31"/>
          <w:szCs w:val="31"/>
          <w:highlight w:val="none"/>
          <w:lang w:val="en-US" w:eastAsia="zh-CN" w:bidi="ar"/>
        </w:rPr>
        <w:t>熟练掌握预算和绩效管理工作要求和</w:t>
      </w:r>
      <w:r>
        <w:rPr>
          <w:rFonts w:hint="eastAsia" w:ascii="仿宋_GB2312" w:hAnsi="仿宋_GB2312" w:eastAsia="仿宋_GB2312" w:cs="仿宋_GB2312"/>
          <w:color w:val="auto"/>
          <w:kern w:val="0"/>
          <w:sz w:val="31"/>
          <w:szCs w:val="31"/>
          <w:highlight w:val="none"/>
          <w:lang w:val="en-US" w:eastAsia="zh-CN" w:bidi="ar"/>
        </w:rPr>
        <w:t>各类绩效评价表格的</w:t>
      </w:r>
      <w:r>
        <w:rPr>
          <w:rFonts w:ascii="仿宋_GB2312" w:hAnsi="仿宋_GB2312" w:eastAsia="仿宋_GB2312" w:cs="仿宋_GB2312"/>
          <w:color w:val="auto"/>
          <w:kern w:val="0"/>
          <w:sz w:val="31"/>
          <w:szCs w:val="31"/>
          <w:highlight w:val="none"/>
          <w:lang w:val="en-US" w:eastAsia="zh-CN" w:bidi="ar"/>
        </w:rPr>
        <w:t>填报规范</w:t>
      </w:r>
      <w:r>
        <w:rPr>
          <w:rFonts w:hint="eastAsia" w:ascii="仿宋_GB2312" w:hAnsi="仿宋_GB2312" w:eastAsia="仿宋_GB2312" w:cs="仿宋_GB2312"/>
          <w:color w:val="auto"/>
          <w:kern w:val="0"/>
          <w:sz w:val="31"/>
          <w:szCs w:val="31"/>
          <w:highlight w:val="none"/>
          <w:lang w:val="en-US" w:eastAsia="zh-CN" w:bidi="ar"/>
        </w:rPr>
        <w:t>、预算数据筛选路径</w:t>
      </w:r>
      <w:r>
        <w:rPr>
          <w:rFonts w:hint="eastAsia" w:ascii="仿宋_GB2312" w:hAnsi="仿宋_GB2312" w:cs="仿宋_GB2312"/>
          <w:color w:val="auto"/>
          <w:kern w:val="0"/>
          <w:sz w:val="31"/>
          <w:szCs w:val="31"/>
          <w:highlight w:val="none"/>
          <w:lang w:val="en-US" w:eastAsia="zh-CN" w:bidi="ar"/>
        </w:rPr>
        <w:t>以及</w:t>
      </w:r>
      <w:r>
        <w:rPr>
          <w:rFonts w:hint="eastAsia" w:ascii="仿宋_GB2312" w:hAnsi="仿宋_GB2312" w:eastAsia="仿宋_GB2312" w:cs="仿宋_GB2312"/>
          <w:color w:val="auto"/>
          <w:kern w:val="0"/>
          <w:sz w:val="31"/>
          <w:szCs w:val="31"/>
          <w:highlight w:val="none"/>
          <w:lang w:val="en-US" w:eastAsia="zh-CN" w:bidi="ar"/>
        </w:rPr>
        <w:t>如何提供有效的绩效佐证材料</w:t>
      </w:r>
      <w:r>
        <w:rPr>
          <w:rFonts w:ascii="仿宋_GB2312" w:hAnsi="仿宋_GB2312" w:eastAsia="仿宋_GB2312" w:cs="仿宋_GB2312"/>
          <w:color w:val="auto"/>
          <w:kern w:val="0"/>
          <w:sz w:val="31"/>
          <w:szCs w:val="31"/>
          <w:highlight w:val="none"/>
          <w:lang w:val="en-US" w:eastAsia="zh-CN" w:bidi="ar"/>
        </w:rPr>
        <w:t>等，持续提高本部门及</w:t>
      </w:r>
      <w:r>
        <w:rPr>
          <w:rFonts w:hint="eastAsia" w:ascii="仿宋_GB2312" w:hAnsi="仿宋_GB2312" w:eastAsia="仿宋_GB2312" w:cs="仿宋_GB2312"/>
          <w:color w:val="auto"/>
          <w:kern w:val="0"/>
          <w:sz w:val="31"/>
          <w:szCs w:val="31"/>
          <w:highlight w:val="none"/>
          <w:lang w:val="en-US" w:eastAsia="zh-CN" w:bidi="ar"/>
        </w:rPr>
        <w:t>二级预算单位</w:t>
      </w:r>
      <w:r>
        <w:rPr>
          <w:rFonts w:ascii="仿宋_GB2312" w:hAnsi="仿宋_GB2312" w:eastAsia="仿宋_GB2312" w:cs="仿宋_GB2312"/>
          <w:color w:val="auto"/>
          <w:kern w:val="0"/>
          <w:sz w:val="31"/>
          <w:szCs w:val="31"/>
          <w:highlight w:val="none"/>
          <w:lang w:val="en-US" w:eastAsia="zh-CN" w:bidi="ar"/>
        </w:rPr>
        <w:t>人员的绩效目标管理意识和工作能力水平</w:t>
      </w:r>
      <w:r>
        <w:rPr>
          <w:rFonts w:hint="eastAsia" w:ascii="Times New Roman" w:hAnsi="Times New Roman" w:cs="Times New Roman"/>
          <w:b w:val="0"/>
          <w:bCs w:val="0"/>
          <w:color w:val="auto"/>
          <w:highlight w:val="none"/>
          <w:lang w:val="en-US" w:eastAsia="zh-CN"/>
        </w:rPr>
        <w:t>。</w:t>
      </w:r>
    </w:p>
    <w:p>
      <w:pPr>
        <w:shd w:val="clear"/>
        <w:spacing w:line="360" w:lineRule="auto"/>
        <w:ind w:firstLine="643"/>
        <w:rPr>
          <w:color w:val="auto"/>
          <w:highlight w:val="none"/>
        </w:rPr>
      </w:pPr>
      <w:r>
        <w:rPr>
          <w:rFonts w:hint="eastAsia" w:ascii="Times New Roman" w:hAnsi="Times New Roman" w:cs="Times New Roman"/>
          <w:b w:val="0"/>
          <w:bCs w:val="0"/>
          <w:color w:val="auto"/>
          <w:highlight w:val="none"/>
          <w:lang w:val="en-US" w:eastAsia="zh-CN"/>
        </w:rPr>
        <w:t>三是</w:t>
      </w:r>
      <w:r>
        <w:rPr>
          <w:rFonts w:hint="default" w:ascii="Times New Roman" w:hAnsi="Times New Roman" w:cs="Times New Roman"/>
          <w:b w:val="0"/>
          <w:bCs w:val="0"/>
          <w:color w:val="auto"/>
          <w:highlight w:val="none"/>
          <w:lang w:val="en-US" w:eastAsia="zh-CN"/>
        </w:rPr>
        <w:t>重视绩</w:t>
      </w:r>
      <w:r>
        <w:rPr>
          <w:rFonts w:hint="default" w:ascii="Times New Roman" w:hAnsi="Times New Roman" w:cs="Times New Roman"/>
          <w:b w:val="0"/>
          <w:bCs/>
          <w:color w:val="auto"/>
          <w:szCs w:val="28"/>
          <w:highlight w:val="none"/>
        </w:rPr>
        <w:t>效评价</w:t>
      </w:r>
      <w:r>
        <w:rPr>
          <w:rFonts w:hint="default" w:ascii="Times New Roman" w:hAnsi="Times New Roman" w:cs="Times New Roman"/>
          <w:b w:val="0"/>
          <w:bCs/>
          <w:color w:val="auto"/>
          <w:szCs w:val="28"/>
          <w:highlight w:val="none"/>
          <w:lang w:val="en-US" w:eastAsia="zh-CN"/>
        </w:rPr>
        <w:t>结果运用</w:t>
      </w:r>
      <w:r>
        <w:rPr>
          <w:rFonts w:hint="default" w:ascii="Times New Roman" w:hAnsi="Times New Roman" w:cs="Times New Roman"/>
          <w:b w:val="0"/>
          <w:bCs/>
          <w:color w:val="auto"/>
          <w:szCs w:val="28"/>
          <w:highlight w:val="none"/>
        </w:rPr>
        <w:t>。</w:t>
      </w:r>
      <w:r>
        <w:rPr>
          <w:rFonts w:hint="default" w:ascii="Times New Roman" w:hAnsi="Times New Roman" w:cs="Times New Roman"/>
          <w:bCs/>
          <w:color w:val="auto"/>
          <w:szCs w:val="28"/>
          <w:highlight w:val="none"/>
        </w:rPr>
        <w:t>预算年度终了及项目执行结束后，选取适用于当期建设任务和预期目标的评价指标，及时开展绩效评价</w:t>
      </w:r>
      <w:r>
        <w:rPr>
          <w:rFonts w:hint="eastAsia" w:ascii="Times New Roman" w:hAnsi="Times New Roman" w:cs="Times New Roman"/>
          <w:bCs/>
          <w:color w:val="auto"/>
          <w:szCs w:val="28"/>
          <w:highlight w:val="none"/>
          <w:lang w:eastAsia="zh-CN"/>
        </w:rPr>
        <w:t>，</w:t>
      </w:r>
      <w:r>
        <w:rPr>
          <w:rFonts w:hint="eastAsia" w:ascii="Times New Roman" w:hAnsi="Times New Roman" w:cs="Times New Roman"/>
          <w:bCs/>
          <w:color w:val="auto"/>
          <w:szCs w:val="28"/>
          <w:highlight w:val="none"/>
          <w:lang w:val="en-US" w:eastAsia="zh-CN"/>
        </w:rPr>
        <w:t>并</w:t>
      </w:r>
      <w:r>
        <w:rPr>
          <w:rFonts w:hint="default" w:ascii="Times New Roman" w:hAnsi="Times New Roman" w:cs="Times New Roman"/>
          <w:bCs/>
          <w:color w:val="auto"/>
          <w:szCs w:val="28"/>
          <w:highlight w:val="none"/>
        </w:rPr>
        <w:t>将预算绩效评价的结果作为预算资源分配的依据，实现预算绩效“闭环”管理。</w:t>
      </w:r>
    </w:p>
    <w:p>
      <w:pPr>
        <w:pStyle w:val="3"/>
        <w:shd w:val="clear"/>
        <w:bidi w:val="0"/>
        <w:rPr>
          <w:rFonts w:hint="default" w:ascii="Times New Roman" w:hAnsi="Times New Roman" w:cs="Times New Roman"/>
          <w:color w:val="auto"/>
          <w:highlight w:val="none"/>
          <w:lang w:val="en-US" w:eastAsia="zh-CN"/>
        </w:rPr>
      </w:pPr>
      <w:bookmarkStart w:id="44" w:name="_Toc15639"/>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二</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强化</w:t>
      </w:r>
      <w:r>
        <w:rPr>
          <w:rFonts w:hint="default" w:ascii="Times New Roman" w:hAnsi="Times New Roman" w:cs="Times New Roman"/>
          <w:color w:val="auto"/>
          <w:highlight w:val="none"/>
          <w:lang w:val="en-US" w:eastAsia="zh-CN"/>
        </w:rPr>
        <w:t>预算编制精细化管理，提高预算资金使用效益</w:t>
      </w:r>
      <w:bookmarkEnd w:id="44"/>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一是部门编制年初预算要根据自身职能目标拟定，综合考虑上年度预算执行情况、相关项目支出绩效评价结果</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上年度各项目资金的结余结转、实际完成情况，梳理测算常年项目实际支出规模，合理配置资源，提高预算的科学合理性。收入预算编制应当依据充分，科学合理，真实完整；支出预算编制应当统筹兼顾、保证重点、勤俭节约。</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二是</w:t>
      </w:r>
      <w:r>
        <w:rPr>
          <w:rFonts w:hint="eastAsia" w:ascii="Times New Roman" w:hAnsi="Times New Roman" w:cs="Times New Roman"/>
          <w:color w:val="auto"/>
          <w:highlight w:val="none"/>
          <w:lang w:val="en-US" w:eastAsia="zh-CN"/>
        </w:rPr>
        <w:t>在尽量消化前期结转项目的基础上申报新项目，</w:t>
      </w:r>
      <w:r>
        <w:rPr>
          <w:rFonts w:hint="default" w:ascii="Times New Roman" w:hAnsi="Times New Roman" w:cs="Times New Roman"/>
          <w:color w:val="auto"/>
          <w:highlight w:val="none"/>
          <w:lang w:val="en-US" w:eastAsia="zh-CN"/>
        </w:rPr>
        <w:t>项目申报前期要进行充分的准备调研论证，提供足够的测算依据合理测算所需财政资金，准确评估财政资金投入使用的效益，提高预算编制的合理性。</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val="0"/>
          <w:bCs w:val="0"/>
          <w:color w:val="auto"/>
          <w:highlight w:val="none"/>
          <w:lang w:val="en-US" w:eastAsia="zh-CN"/>
        </w:rPr>
        <w:t>三是</w:t>
      </w:r>
      <w:r>
        <w:rPr>
          <w:rFonts w:hint="default" w:ascii="Times New Roman" w:hAnsi="Times New Roman" w:cs="Times New Roman"/>
          <w:b w:val="0"/>
          <w:bCs w:val="0"/>
          <w:color w:val="auto"/>
          <w:szCs w:val="28"/>
          <w:highlight w:val="none"/>
          <w:lang w:val="en-US" w:eastAsia="zh-CN"/>
        </w:rPr>
        <w:t>强化预算责任和绩效责任“双约束”意识，</w:t>
      </w:r>
      <w:r>
        <w:rPr>
          <w:rFonts w:hint="eastAsia" w:ascii="Times New Roman" w:hAnsi="Times New Roman" w:cs="Times New Roman"/>
          <w:b w:val="0"/>
          <w:bCs w:val="0"/>
          <w:color w:val="auto"/>
          <w:szCs w:val="28"/>
          <w:highlight w:val="none"/>
          <w:lang w:val="en-US" w:eastAsia="zh-CN"/>
        </w:rPr>
        <w:t>对于</w:t>
      </w:r>
      <w:r>
        <w:rPr>
          <w:rFonts w:hint="default" w:ascii="Times New Roman" w:hAnsi="Times New Roman" w:cs="Times New Roman"/>
          <w:b w:val="0"/>
          <w:bCs w:val="0"/>
          <w:color w:val="auto"/>
          <w:szCs w:val="28"/>
          <w:highlight w:val="none"/>
          <w:lang w:val="en-US" w:eastAsia="zh-CN"/>
        </w:rPr>
        <w:t>定性指标应设</w:t>
      </w:r>
      <w:r>
        <w:rPr>
          <w:rFonts w:hint="default" w:ascii="Times New Roman" w:hAnsi="Times New Roman" w:cs="Times New Roman"/>
          <w:bCs/>
          <w:color w:val="auto"/>
          <w:szCs w:val="28"/>
          <w:highlight w:val="none"/>
          <w:lang w:val="en-US" w:eastAsia="zh-CN"/>
        </w:rPr>
        <w:t>置一套严谨的</w:t>
      </w:r>
      <w:r>
        <w:rPr>
          <w:rFonts w:hint="eastAsia" w:ascii="Times New Roman" w:hAnsi="Times New Roman" w:cs="Times New Roman"/>
          <w:bCs/>
          <w:color w:val="auto"/>
          <w:szCs w:val="28"/>
          <w:highlight w:val="none"/>
          <w:lang w:val="en-US" w:eastAsia="zh-CN"/>
        </w:rPr>
        <w:t>评价</w:t>
      </w:r>
      <w:r>
        <w:rPr>
          <w:rFonts w:hint="default" w:ascii="Times New Roman" w:hAnsi="Times New Roman" w:cs="Times New Roman"/>
          <w:bCs/>
          <w:color w:val="auto"/>
          <w:szCs w:val="28"/>
          <w:highlight w:val="none"/>
          <w:lang w:val="en-US" w:eastAsia="zh-CN"/>
        </w:rPr>
        <w:t>方式、程序和定期评判机制，量化指标应明确其计算方式和统计口径，同时避免指标值设置过低或过高，以便真实客观体现资金投入产生绩效，并作为后续开展绩效监控、绩效评价等工作的有效依据。</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b w:val="0"/>
          <w:bCs w:val="0"/>
          <w:color w:val="auto"/>
          <w:highlight w:val="none"/>
          <w:lang w:val="en-US" w:eastAsia="zh-CN"/>
        </w:rPr>
        <w:t>四是</w:t>
      </w:r>
      <w:r>
        <w:rPr>
          <w:rFonts w:hint="default" w:ascii="Times New Roman" w:hAnsi="Times New Roman" w:cs="Times New Roman"/>
          <w:b w:val="0"/>
          <w:bCs w:val="0"/>
          <w:color w:val="auto"/>
          <w:highlight w:val="none"/>
          <w:lang w:val="en-US" w:eastAsia="zh-CN"/>
        </w:rPr>
        <w:t>加</w:t>
      </w:r>
      <w:r>
        <w:rPr>
          <w:rFonts w:hint="default" w:ascii="Times New Roman" w:hAnsi="Times New Roman" w:cs="Times New Roman"/>
          <w:color w:val="auto"/>
          <w:highlight w:val="none"/>
          <w:lang w:val="en-US" w:eastAsia="zh-CN"/>
        </w:rPr>
        <w:t>快预算执行进度，加强项目进度跟踪，对执行进度较慢的</w:t>
      </w:r>
      <w:r>
        <w:rPr>
          <w:rFonts w:hint="eastAsia" w:ascii="Times New Roman" w:hAnsi="Times New Roman" w:cs="Times New Roman"/>
          <w:color w:val="auto"/>
          <w:highlight w:val="none"/>
          <w:lang w:val="en-US" w:eastAsia="zh-CN"/>
        </w:rPr>
        <w:t>项目</w:t>
      </w:r>
      <w:r>
        <w:rPr>
          <w:rFonts w:hint="default" w:ascii="Times New Roman" w:hAnsi="Times New Roman" w:cs="Times New Roman"/>
          <w:color w:val="auto"/>
          <w:highlight w:val="none"/>
          <w:lang w:val="en-US" w:eastAsia="zh-CN"/>
        </w:rPr>
        <w:t>要分析原因，及时解决存在的问题</w:t>
      </w:r>
      <w:r>
        <w:rPr>
          <w:rFonts w:hint="eastAsia" w:ascii="Times New Roman" w:hAnsi="Times New Roman" w:cs="Times New Roman"/>
          <w:color w:val="auto"/>
          <w:highlight w:val="none"/>
          <w:lang w:val="en-US" w:eastAsia="zh-CN"/>
        </w:rPr>
        <w:t>，并</w:t>
      </w:r>
      <w:r>
        <w:rPr>
          <w:rFonts w:hint="default" w:ascii="Times New Roman" w:hAnsi="Times New Roman" w:cs="Times New Roman"/>
          <w:color w:val="auto"/>
          <w:highlight w:val="none"/>
          <w:lang w:val="en-US" w:eastAsia="zh-CN"/>
        </w:rPr>
        <w:t>及时督促，提高预算完成率。</w:t>
      </w:r>
    </w:p>
    <w:p>
      <w:pPr>
        <w:pStyle w:val="3"/>
        <w:shd w:val="clear"/>
        <w:bidi w:val="0"/>
        <w:rPr>
          <w:rFonts w:hint="default" w:ascii="Times New Roman" w:hAnsi="Times New Roman" w:cs="Times New Roman"/>
          <w:color w:val="auto"/>
          <w:highlight w:val="none"/>
          <w:lang w:val="en-US" w:eastAsia="zh-CN"/>
        </w:rPr>
      </w:pPr>
      <w:bookmarkStart w:id="45" w:name="_Toc11154"/>
      <w:r>
        <w:rPr>
          <w:rFonts w:hint="default" w:ascii="Times New Roman" w:hAnsi="Times New Roman" w:cs="Times New Roman"/>
          <w:color w:val="auto"/>
          <w:highlight w:val="none"/>
          <w:lang w:val="en-US" w:eastAsia="zh-CN"/>
        </w:rPr>
        <w:t>（三）</w:t>
      </w:r>
      <w:r>
        <w:rPr>
          <w:rFonts w:hint="eastAsia" w:ascii="Times New Roman" w:hAnsi="Times New Roman" w:cs="Times New Roman"/>
          <w:color w:val="auto"/>
          <w:highlight w:val="none"/>
          <w:lang w:val="en-US" w:eastAsia="zh-CN"/>
        </w:rPr>
        <w:t>压实项目管理责任</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提升动态化监管效能</w:t>
      </w:r>
      <w:bookmarkEnd w:id="45"/>
    </w:p>
    <w:p>
      <w:pPr>
        <w:shd w:val="clear"/>
        <w:spacing w:line="560" w:lineRule="exact"/>
        <w:ind w:firstLine="643"/>
        <w:rPr>
          <w:rFonts w:hint="default" w:ascii="Times New Roman" w:hAnsi="Times New Roman" w:cs="Times New Roman"/>
          <w:color w:val="auto"/>
          <w:highlight w:val="none"/>
          <w:lang w:val="en-US" w:eastAsia="zh-CN"/>
        </w:rPr>
      </w:pPr>
      <w:r>
        <w:rPr>
          <w:rFonts w:hint="eastAsia" w:ascii="仿宋_GB2312"/>
          <w:b/>
          <w:bCs/>
          <w:color w:val="auto"/>
          <w:sz w:val="32"/>
          <w:szCs w:val="32"/>
          <w:highlight w:val="none"/>
          <w:lang w:val="en-US" w:eastAsia="zh-CN"/>
        </w:rPr>
        <w:t>一</w:t>
      </w:r>
      <w:r>
        <w:rPr>
          <w:rFonts w:hint="eastAsia" w:ascii="仿宋_GB2312" w:eastAsia="仿宋_GB2312"/>
          <w:b/>
          <w:bCs/>
          <w:color w:val="auto"/>
          <w:sz w:val="32"/>
          <w:szCs w:val="32"/>
          <w:highlight w:val="none"/>
          <w:lang w:val="en-US" w:eastAsia="zh-CN"/>
        </w:rPr>
        <w:t>是</w:t>
      </w:r>
      <w:r>
        <w:rPr>
          <w:rFonts w:hint="eastAsia" w:ascii="仿宋_GB2312" w:eastAsia="仿宋_GB2312"/>
          <w:color w:val="auto"/>
          <w:sz w:val="32"/>
          <w:szCs w:val="32"/>
          <w:highlight w:val="none"/>
          <w:lang w:val="en-US" w:eastAsia="zh-CN"/>
        </w:rPr>
        <w:t>加强部门绩效目标执行的跟踪反馈。在资金分配之后，在预算执行期间，各业务经办处室要加强对预算执行的监控，特别是购买服务或对下转移资金，从项目管理及资金管理方面，加以跟踪监控，确保预算执行的效益及效率。</w:t>
      </w:r>
    </w:p>
    <w:p>
      <w:pPr>
        <w:shd w:val="clear"/>
        <w:spacing w:line="560" w:lineRule="exact"/>
        <w:ind w:firstLine="643"/>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sz w:val="32"/>
          <w:highlight w:val="none"/>
          <w:lang w:val="en-US" w:eastAsia="zh-CN"/>
        </w:rPr>
        <w:t>二是</w:t>
      </w:r>
      <w:r>
        <w:rPr>
          <w:rFonts w:hint="eastAsia" w:ascii="Times New Roman" w:hAnsi="Times New Roman" w:cs="Times New Roman"/>
          <w:b w:val="0"/>
          <w:bCs w:val="0"/>
          <w:color w:val="auto"/>
          <w:highlight w:val="none"/>
          <w:lang w:val="en-US" w:eastAsia="zh-CN"/>
        </w:rPr>
        <w:t>项目实施</w:t>
      </w:r>
      <w:r>
        <w:rPr>
          <w:rFonts w:hint="default" w:ascii="Times New Roman" w:hAnsi="Times New Roman" w:cs="Times New Roman"/>
          <w:b w:val="0"/>
          <w:bCs w:val="0"/>
          <w:color w:val="auto"/>
          <w:highlight w:val="none"/>
          <w:lang w:val="en-US" w:eastAsia="zh-CN"/>
        </w:rPr>
        <w:t>单位</w:t>
      </w:r>
      <w:r>
        <w:rPr>
          <w:rFonts w:ascii="Times New Roman" w:hAnsi="Times New Roman" w:cs="Times New Roman"/>
          <w:color w:val="auto"/>
          <w:highlight w:val="none"/>
        </w:rPr>
        <w:t>应对项目实施和资金使用进行合理规划，确保项目推进和资金使用有序推进，避免资金沉淀。</w:t>
      </w:r>
      <w:r>
        <w:rPr>
          <w:rFonts w:hint="default" w:ascii="Times New Roman" w:hAnsi="Times New Roman" w:cs="Times New Roman"/>
          <w:color w:val="auto"/>
          <w:highlight w:val="none"/>
          <w:lang w:val="en-US" w:eastAsia="zh-CN"/>
        </w:rPr>
        <w:t>对于项目重大变更的情况应及时上报并采取解决措施；对于实施进度、实施质量不符合要求的单位或项目，应尽快敦促其整改。</w:t>
      </w:r>
    </w:p>
    <w:p>
      <w:pPr>
        <w:shd w:val="clear"/>
        <w:spacing w:line="560" w:lineRule="exact"/>
        <w:ind w:firstLine="643"/>
        <w:rPr>
          <w:rFonts w:hint="default" w:ascii="Times New Roman" w:hAnsi="Times New Roman" w:cs="Times New Roman"/>
          <w:color w:val="auto"/>
          <w:highlight w:val="none"/>
          <w:lang w:val="en-US" w:eastAsia="zh-CN"/>
        </w:rPr>
      </w:pPr>
      <w:r>
        <w:rPr>
          <w:rFonts w:hint="eastAsia" w:ascii="Times New Roman" w:hAnsi="Times New Roman" w:cs="Times New Roman"/>
          <w:b/>
          <w:bCs/>
          <w:color w:val="auto"/>
          <w:highlight w:val="none"/>
          <w:lang w:val="en-US" w:eastAsia="zh-CN"/>
        </w:rPr>
        <w:t>三</w:t>
      </w:r>
      <w:r>
        <w:rPr>
          <w:rFonts w:hint="default" w:ascii="Times New Roman" w:hAnsi="Times New Roman" w:cs="Times New Roman"/>
          <w:b/>
          <w:bCs/>
          <w:color w:val="auto"/>
          <w:highlight w:val="none"/>
          <w:lang w:val="en-US" w:eastAsia="zh-CN"/>
        </w:rPr>
        <w:t>是</w:t>
      </w:r>
      <w:r>
        <w:rPr>
          <w:rFonts w:ascii="Times New Roman" w:hAnsi="Times New Roman" w:eastAsia="仿宋_GB2312" w:cs="Times New Roman"/>
          <w:color w:val="auto"/>
          <w:sz w:val="32"/>
          <w:highlight w:val="none"/>
          <w:lang w:val="en-US" w:eastAsia="zh-CN"/>
        </w:rPr>
        <w:t>建议对滞后项目建立项目监管台账，落实责任人和职责分工，明确推进计划和完成时间，按清单定期跟进并督促实施。加强对项目的动态监管，强化部门之间的联动，通过定期督查与不定期抽查，及时发现问题、通报情况和督促整改，推进项目建设、验收和及时投入运营，不断提高资金使用管理的水平和效率。</w:t>
      </w:r>
    </w:p>
    <w:p>
      <w:pPr>
        <w:pStyle w:val="3"/>
        <w:shd w:val="clear"/>
        <w:bidi w:val="0"/>
        <w:rPr>
          <w:rFonts w:hint="default" w:ascii="Times New Roman" w:hAnsi="Times New Roman" w:cs="Times New Roman"/>
          <w:color w:val="auto"/>
          <w:highlight w:val="none"/>
          <w:lang w:val="en-US" w:eastAsia="zh-CN"/>
        </w:rPr>
      </w:pPr>
      <w:bookmarkStart w:id="46" w:name="_Toc12624"/>
      <w:r>
        <w:rPr>
          <w:rFonts w:hint="default" w:ascii="Times New Roman" w:hAnsi="Times New Roman" w:cs="Times New Roman"/>
          <w:color w:val="auto"/>
          <w:highlight w:val="none"/>
          <w:lang w:val="en-US" w:eastAsia="zh-CN"/>
        </w:rPr>
        <w:t>（四）</w:t>
      </w:r>
      <w:r>
        <w:rPr>
          <w:rFonts w:hint="eastAsia" w:ascii="Times New Roman" w:hAnsi="Times New Roman" w:cs="Times New Roman"/>
          <w:color w:val="auto"/>
          <w:highlight w:val="none"/>
          <w:lang w:val="en-US" w:eastAsia="zh-CN"/>
        </w:rPr>
        <w:t>理顺政府采购管理机制</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提升政采管理水平</w:t>
      </w:r>
      <w:bookmarkEnd w:id="46"/>
    </w:p>
    <w:p>
      <w:pPr>
        <w:shd w:val="clear"/>
        <w:bidi w:val="0"/>
        <w:outlineLvl w:val="9"/>
        <w:rPr>
          <w:rFonts w:hint="default" w:ascii="Times New Roman" w:hAnsi="Times New Roman" w:eastAsia="仿宋_GB2312" w:cs="Times New Roman"/>
          <w:b w:val="0"/>
          <w:bCs w:val="0"/>
          <w:color w:val="auto"/>
          <w:kern w:val="2"/>
          <w:sz w:val="32"/>
          <w:szCs w:val="24"/>
          <w:highlight w:val="none"/>
          <w:lang w:val="en-US" w:eastAsia="zh-CN" w:bidi="ar-SA"/>
        </w:rPr>
      </w:pPr>
      <w:bookmarkStart w:id="47" w:name="_Toc21042"/>
      <w:bookmarkStart w:id="48" w:name="_Toc26235"/>
      <w:r>
        <w:rPr>
          <w:rFonts w:hint="default" w:ascii="Times New Roman" w:hAnsi="Times New Roman" w:eastAsia="仿宋_GB2312" w:cs="Times New Roman"/>
          <w:b w:val="0"/>
          <w:bCs w:val="0"/>
          <w:color w:val="auto"/>
          <w:kern w:val="2"/>
          <w:sz w:val="32"/>
          <w:szCs w:val="24"/>
          <w:highlight w:val="none"/>
          <w:lang w:val="en-US" w:eastAsia="zh-CN" w:bidi="ar-SA"/>
        </w:rPr>
        <w:t>一是严格执行政府采购预算，遵循“先有预算，后购买服务”的原则。严格验收货物和服务，按照要求填写合同验收时间，加强对验收程序的控制。二是</w:t>
      </w:r>
      <w:r>
        <w:rPr>
          <w:rFonts w:hint="eastAsia" w:ascii="Times New Roman" w:hAnsi="Times New Roman" w:eastAsia="仿宋_GB2312" w:cs="Times New Roman"/>
          <w:b w:val="0"/>
          <w:bCs w:val="0"/>
          <w:color w:val="auto"/>
          <w:kern w:val="2"/>
          <w:sz w:val="32"/>
          <w:szCs w:val="24"/>
          <w:highlight w:val="none"/>
          <w:lang w:val="en-US" w:eastAsia="zh-CN" w:bidi="ar-SA"/>
        </w:rPr>
        <w:t>强化绩效评价岗位负责人与业务部门的沟通协调，及时获取政府采购相关信息，了解政府采购预算执行情况，为业务部门提供指引</w:t>
      </w:r>
      <w:r>
        <w:rPr>
          <w:rFonts w:hint="default" w:ascii="Times New Roman" w:hAnsi="Times New Roman" w:eastAsia="仿宋_GB2312" w:cs="Times New Roman"/>
          <w:b w:val="0"/>
          <w:bCs w:val="0"/>
          <w:color w:val="auto"/>
          <w:kern w:val="2"/>
          <w:sz w:val="32"/>
          <w:szCs w:val="24"/>
          <w:highlight w:val="none"/>
          <w:lang w:val="en-US" w:eastAsia="zh-CN" w:bidi="ar-SA"/>
        </w:rPr>
        <w:t>。</w:t>
      </w:r>
      <w:bookmarkEnd w:id="47"/>
      <w:bookmarkEnd w:id="48"/>
    </w:p>
    <w:p>
      <w:pPr>
        <w:pStyle w:val="3"/>
        <w:shd w:val="clear"/>
        <w:bidi w:val="0"/>
        <w:rPr>
          <w:rFonts w:hint="default" w:ascii="Times New Roman" w:hAnsi="Times New Roman" w:cs="Times New Roman"/>
          <w:color w:val="auto"/>
          <w:highlight w:val="none"/>
          <w:lang w:val="en-US" w:eastAsia="zh-CN"/>
        </w:rPr>
      </w:pPr>
      <w:bookmarkStart w:id="49" w:name="_Toc8376"/>
      <w:r>
        <w:rPr>
          <w:rFonts w:hint="default" w:ascii="Times New Roman" w:hAnsi="Times New Roman" w:cs="Times New Roman"/>
          <w:color w:val="auto"/>
          <w:highlight w:val="none"/>
          <w:lang w:val="en-US" w:eastAsia="zh-CN"/>
        </w:rPr>
        <w:t>（五）</w:t>
      </w:r>
      <w:r>
        <w:rPr>
          <w:rFonts w:hint="eastAsia" w:ascii="Times New Roman" w:hAnsi="Times New Roman" w:cs="Times New Roman"/>
          <w:color w:val="auto"/>
          <w:highlight w:val="none"/>
          <w:lang w:val="en-US" w:eastAsia="zh-CN"/>
        </w:rPr>
        <w:t>严格履行复核稽核职责，抓实</w:t>
      </w:r>
      <w:r>
        <w:rPr>
          <w:rFonts w:hint="default" w:ascii="Times New Roman" w:hAnsi="Times New Roman" w:cs="Times New Roman"/>
          <w:color w:val="auto"/>
          <w:highlight w:val="none"/>
          <w:lang w:val="en-US" w:eastAsia="zh-CN"/>
        </w:rPr>
        <w:t>财务管理</w:t>
      </w:r>
      <w:r>
        <w:rPr>
          <w:rFonts w:hint="eastAsia" w:ascii="Times New Roman" w:hAnsi="Times New Roman" w:cs="Times New Roman"/>
          <w:color w:val="auto"/>
          <w:highlight w:val="none"/>
          <w:lang w:val="en-US" w:eastAsia="zh-CN"/>
        </w:rPr>
        <w:t>工作</w:t>
      </w:r>
      <w:bookmarkEnd w:id="49"/>
    </w:p>
    <w:p>
      <w:pPr>
        <w:shd w:val="clear"/>
        <w:bidi w:val="0"/>
        <w:rPr>
          <w:rStyle w:val="48"/>
          <w:rFonts w:hint="default" w:ascii="Times New Roman" w:hAnsi="Times New Roman" w:cs="Times New Roman"/>
          <w:b w:val="0"/>
          <w:bCs w:val="0"/>
          <w:color w:val="auto"/>
          <w:highlight w:val="none"/>
          <w:lang w:val="en-US" w:eastAsia="zh-CN"/>
        </w:rPr>
      </w:pPr>
      <w:r>
        <w:rPr>
          <w:rStyle w:val="48"/>
          <w:rFonts w:hint="eastAsia" w:ascii="Times New Roman" w:hAnsi="Times New Roman" w:cs="Times New Roman"/>
          <w:b/>
          <w:bCs/>
          <w:color w:val="auto"/>
          <w:highlight w:val="none"/>
          <w:lang w:val="en-US" w:eastAsia="zh-CN"/>
        </w:rPr>
        <w:t>一是完善财务管理制度</w:t>
      </w:r>
      <w:r>
        <w:rPr>
          <w:rStyle w:val="48"/>
          <w:rFonts w:hint="eastAsia" w:ascii="Times New Roman" w:hAnsi="Times New Roman" w:cs="Times New Roman"/>
          <w:b w:val="0"/>
          <w:bCs w:val="0"/>
          <w:color w:val="auto"/>
          <w:highlight w:val="none"/>
          <w:lang w:val="en-US" w:eastAsia="zh-CN"/>
        </w:rPr>
        <w:t>。根据二级预算演出劳务费标准不一的现象，拟牵头出台相关制度，统一发放标准、规范支付方式。</w:t>
      </w:r>
      <w:r>
        <w:rPr>
          <w:rStyle w:val="48"/>
          <w:rFonts w:hint="eastAsia" w:ascii="Times New Roman" w:hAnsi="Times New Roman" w:cs="Times New Roman"/>
          <w:b/>
          <w:bCs/>
          <w:color w:val="auto"/>
          <w:highlight w:val="none"/>
          <w:lang w:val="en-US" w:eastAsia="zh-CN"/>
        </w:rPr>
        <w:t>二是</w:t>
      </w:r>
      <w:r>
        <w:rPr>
          <w:rStyle w:val="48"/>
          <w:rFonts w:hint="default" w:ascii="Times New Roman" w:hAnsi="Times New Roman" w:cs="Times New Roman"/>
          <w:b/>
          <w:bCs/>
          <w:color w:val="auto"/>
          <w:highlight w:val="none"/>
          <w:lang w:val="en-US" w:eastAsia="zh-CN"/>
        </w:rPr>
        <w:t>加强基层财务人员的培训</w:t>
      </w:r>
      <w:r>
        <w:rPr>
          <w:rStyle w:val="48"/>
          <w:rFonts w:hint="eastAsia" w:ascii="Times New Roman" w:hAnsi="Times New Roman" w:cs="Times New Roman"/>
          <w:b w:val="0"/>
          <w:bCs w:val="0"/>
          <w:color w:val="auto"/>
          <w:highlight w:val="none"/>
          <w:lang w:val="en-US" w:eastAsia="zh-CN"/>
        </w:rPr>
        <w:t>。</w:t>
      </w:r>
      <w:r>
        <w:rPr>
          <w:rStyle w:val="48"/>
          <w:rFonts w:hint="default" w:ascii="Times New Roman" w:hAnsi="Times New Roman" w:cs="Times New Roman"/>
          <w:b w:val="0"/>
          <w:bCs w:val="0"/>
          <w:color w:val="auto"/>
          <w:highlight w:val="none"/>
          <w:lang w:val="en-US" w:eastAsia="zh-CN"/>
        </w:rPr>
        <w:t>强化财政法规纪律和财务知识的学习，提高财会人员的专业性，提升财务人员整体素质，促进整体财务管理水平提升</w:t>
      </w:r>
      <w:r>
        <w:rPr>
          <w:rStyle w:val="48"/>
          <w:rFonts w:hint="eastAsia" w:ascii="Times New Roman" w:hAnsi="Times New Roman" w:cs="Times New Roman"/>
          <w:b w:val="0"/>
          <w:bCs w:val="0"/>
          <w:color w:val="auto"/>
          <w:highlight w:val="none"/>
          <w:lang w:val="en-US" w:eastAsia="zh-CN"/>
        </w:rPr>
        <w:t>。</w:t>
      </w:r>
      <w:r>
        <w:rPr>
          <w:rStyle w:val="48"/>
          <w:rFonts w:hint="eastAsia" w:ascii="Times New Roman" w:hAnsi="Times New Roman" w:cs="Times New Roman"/>
          <w:b/>
          <w:bCs/>
          <w:color w:val="auto"/>
          <w:highlight w:val="none"/>
          <w:lang w:val="en-US" w:eastAsia="zh-CN"/>
        </w:rPr>
        <w:t>三</w:t>
      </w:r>
      <w:r>
        <w:rPr>
          <w:rStyle w:val="48"/>
          <w:rFonts w:hint="default" w:ascii="Times New Roman" w:hAnsi="Times New Roman" w:cs="Times New Roman"/>
          <w:b/>
          <w:bCs/>
          <w:color w:val="auto"/>
          <w:highlight w:val="none"/>
          <w:lang w:val="en-US" w:eastAsia="zh-CN"/>
        </w:rPr>
        <w:t>是规范财务核算。</w:t>
      </w:r>
      <w:r>
        <w:rPr>
          <w:rStyle w:val="48"/>
          <w:rFonts w:hint="eastAsia" w:ascii="Times New Roman" w:hAnsi="Times New Roman" w:cs="Times New Roman"/>
          <w:b w:val="0"/>
          <w:bCs w:val="0"/>
          <w:color w:val="auto"/>
          <w:highlight w:val="none"/>
          <w:lang w:val="en-US" w:eastAsia="zh-CN"/>
        </w:rPr>
        <w:t>各预算单位</w:t>
      </w:r>
      <w:r>
        <w:rPr>
          <w:rStyle w:val="48"/>
          <w:rFonts w:hint="default" w:ascii="Times New Roman" w:hAnsi="Times New Roman" w:cs="Times New Roman"/>
          <w:b w:val="0"/>
          <w:bCs w:val="0"/>
          <w:color w:val="auto"/>
          <w:highlight w:val="none"/>
          <w:lang w:val="en-US" w:eastAsia="zh-CN"/>
        </w:rPr>
        <w:t>按最新政府会计制度要求进行专账核算或规范辅助核算，按要求详细、准确反映支出情况；严格按下达预算指标执行支付，做到会计核算的经济分类科目与支付申请单、年初部门下达预算指标的经济分类科目的款级完全一致，避免出现专项经费实际使用和国库执行进度不一致的情况。</w:t>
      </w:r>
      <w:r>
        <w:rPr>
          <w:rStyle w:val="48"/>
          <w:rFonts w:hint="eastAsia" w:ascii="Times New Roman" w:hAnsi="Times New Roman" w:cs="Times New Roman"/>
          <w:b/>
          <w:bCs/>
          <w:color w:val="auto"/>
          <w:highlight w:val="none"/>
          <w:lang w:val="en-US" w:eastAsia="zh-CN"/>
        </w:rPr>
        <w:t>三</w:t>
      </w:r>
      <w:r>
        <w:rPr>
          <w:rStyle w:val="48"/>
          <w:rFonts w:hint="default" w:ascii="Times New Roman" w:hAnsi="Times New Roman" w:cs="Times New Roman"/>
          <w:b/>
          <w:bCs/>
          <w:color w:val="auto"/>
          <w:highlight w:val="none"/>
          <w:lang w:val="en-US" w:eastAsia="zh-CN"/>
        </w:rPr>
        <w:t>是加强</w:t>
      </w:r>
      <w:r>
        <w:rPr>
          <w:rStyle w:val="48"/>
          <w:rFonts w:hint="eastAsia" w:ascii="Times New Roman" w:hAnsi="Times New Roman" w:cs="Times New Roman"/>
          <w:b/>
          <w:bCs/>
          <w:color w:val="auto"/>
          <w:highlight w:val="none"/>
          <w:lang w:val="en-US" w:eastAsia="zh-CN"/>
        </w:rPr>
        <w:t>财务管理基础工作</w:t>
      </w:r>
      <w:r>
        <w:rPr>
          <w:rStyle w:val="48"/>
          <w:rFonts w:hint="default" w:ascii="Times New Roman" w:hAnsi="Times New Roman" w:cs="Times New Roman"/>
          <w:b/>
          <w:bCs/>
          <w:color w:val="auto"/>
          <w:highlight w:val="none"/>
          <w:lang w:val="en-US" w:eastAsia="zh-CN"/>
        </w:rPr>
        <w:t>。</w:t>
      </w:r>
      <w:r>
        <w:rPr>
          <w:rStyle w:val="48"/>
          <w:rFonts w:hint="default" w:ascii="Times New Roman" w:hAnsi="Times New Roman" w:cs="Times New Roman"/>
          <w:b w:val="0"/>
          <w:bCs w:val="0"/>
          <w:color w:val="auto"/>
          <w:highlight w:val="none"/>
          <w:lang w:val="en-US" w:eastAsia="zh-CN"/>
        </w:rPr>
        <w:t>财务严格审核经办人提供的报销材料，关注报销材料是否齐全、完整，报销事项是否在预算额度控制内，报销单据是否合法合规，并核算报销金额。</w:t>
      </w:r>
    </w:p>
    <w:p>
      <w:pPr>
        <w:shd w:val="clear"/>
        <w:bidi w:val="0"/>
        <w:rPr>
          <w:rStyle w:val="48"/>
          <w:rFonts w:hint="default" w:ascii="Times New Roman" w:hAnsi="Times New Roman" w:cs="Times New Roman"/>
          <w:b/>
          <w:bCs/>
          <w:color w:val="auto"/>
          <w:highlight w:val="none"/>
          <w:lang w:val="en-US" w:eastAsia="zh-CN"/>
        </w:rPr>
      </w:pPr>
    </w:p>
    <w:p>
      <w:pPr>
        <w:shd w:val="clear"/>
        <w:bidi w:val="0"/>
        <w:rPr>
          <w:rStyle w:val="48"/>
          <w:rFonts w:hint="default" w:ascii="Times New Roman" w:hAnsi="Times New Roman" w:cs="Times New Roman"/>
          <w:b/>
          <w:bCs/>
          <w:color w:val="auto"/>
          <w:highlight w:val="none"/>
          <w:lang w:val="en-US" w:eastAsia="zh-CN"/>
        </w:rPr>
      </w:pPr>
    </w:p>
    <w:p>
      <w:pPr>
        <w:pStyle w:val="3"/>
        <w:shd w:val="clear"/>
        <w:rPr>
          <w:rFonts w:hint="default"/>
          <w:color w:val="auto"/>
          <w:highlight w:val="none"/>
          <w:lang w:val="en-US" w:eastAsia="zh-CN"/>
        </w:rPr>
      </w:pPr>
    </w:p>
    <w:p>
      <w:pPr>
        <w:shd w:val="clear"/>
        <w:rPr>
          <w:rFonts w:hint="default" w:ascii="Times New Roman" w:hAnsi="Times New Roman" w:cs="Times New Roman"/>
          <w:color w:val="auto"/>
          <w:highlight w:val="none"/>
          <w:lang w:val="en-US" w:eastAsia="zh-CN"/>
        </w:rPr>
      </w:pPr>
    </w:p>
    <w:p>
      <w:pPr>
        <w:shd w:val="clear"/>
        <w:ind w:left="0" w:leftChars="0" w:firstLine="0" w:firstLineChars="0"/>
        <w:rPr>
          <w:rFonts w:hint="default" w:ascii="Times New Roman" w:hAnsi="Times New Roman" w:cs="Times New Roman"/>
          <w:color w:val="auto"/>
          <w:highlight w:val="none"/>
        </w:rPr>
      </w:pP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青" w:date="2024-06-26T17:03:36Z" w:initials="">
    <w:p w14:paraId="7D19DB58">
      <w:pPr>
        <w:pStyle w:val="8"/>
        <w:rPr>
          <w:rFonts w:hint="eastAsia" w:eastAsia="仿宋_GB2312"/>
          <w:lang w:eastAsia="zh-CN"/>
        </w:rPr>
      </w:pPr>
      <w:r>
        <w:rPr>
          <w:rFonts w:hint="eastAsia"/>
          <w:lang w:eastAsia="zh-CN"/>
        </w:rPr>
        <w:t>只有这一个算了占比，其他的要算占比吗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19DB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EUDC">
    <w:panose1 w:val="02010600030101010101"/>
    <w:charset w:val="86"/>
    <w:family w:val="auto"/>
    <w:pitch w:val="default"/>
    <w:sig w:usb0="00000003" w:usb1="080E0031"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856EB"/>
    <w:multiLevelType w:val="singleLevel"/>
    <w:tmpl w:val="63B856EB"/>
    <w:lvl w:ilvl="0" w:tentative="0">
      <w:start w:val="1"/>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青">
    <w15:presenceInfo w15:providerId="WPS Office" w15:userId="356198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2U3NWY5YzljOTFiYzdiYTMwNGYzY2Y4NDM3NzkifQ=="/>
  </w:docVars>
  <w:rsids>
    <w:rsidRoot w:val="20501E14"/>
    <w:rsid w:val="00005402"/>
    <w:rsid w:val="00077253"/>
    <w:rsid w:val="000B0E02"/>
    <w:rsid w:val="001540A1"/>
    <w:rsid w:val="00362919"/>
    <w:rsid w:val="003B06F7"/>
    <w:rsid w:val="003C04C5"/>
    <w:rsid w:val="00565BF0"/>
    <w:rsid w:val="00586D6C"/>
    <w:rsid w:val="005958E1"/>
    <w:rsid w:val="0062225F"/>
    <w:rsid w:val="0062247C"/>
    <w:rsid w:val="00623B58"/>
    <w:rsid w:val="006A7A3F"/>
    <w:rsid w:val="006C4E48"/>
    <w:rsid w:val="006E05BE"/>
    <w:rsid w:val="00776C3F"/>
    <w:rsid w:val="00903D43"/>
    <w:rsid w:val="00952A58"/>
    <w:rsid w:val="009A13B3"/>
    <w:rsid w:val="009B105C"/>
    <w:rsid w:val="00AD10E6"/>
    <w:rsid w:val="00C30D7A"/>
    <w:rsid w:val="00CB57C7"/>
    <w:rsid w:val="00E05163"/>
    <w:rsid w:val="00EA67F7"/>
    <w:rsid w:val="011A24F4"/>
    <w:rsid w:val="01357D71"/>
    <w:rsid w:val="01405C9D"/>
    <w:rsid w:val="01507EDE"/>
    <w:rsid w:val="01583123"/>
    <w:rsid w:val="017165B7"/>
    <w:rsid w:val="018E53A9"/>
    <w:rsid w:val="01BA25E8"/>
    <w:rsid w:val="01C65847"/>
    <w:rsid w:val="01C83A87"/>
    <w:rsid w:val="020411DA"/>
    <w:rsid w:val="020921DB"/>
    <w:rsid w:val="02196F4F"/>
    <w:rsid w:val="021F4102"/>
    <w:rsid w:val="02293BB5"/>
    <w:rsid w:val="02363EB8"/>
    <w:rsid w:val="0236787D"/>
    <w:rsid w:val="023767C0"/>
    <w:rsid w:val="02386533"/>
    <w:rsid w:val="023C4651"/>
    <w:rsid w:val="02462E0B"/>
    <w:rsid w:val="025D5EA3"/>
    <w:rsid w:val="025E13FA"/>
    <w:rsid w:val="02864D3E"/>
    <w:rsid w:val="028A5150"/>
    <w:rsid w:val="028B1983"/>
    <w:rsid w:val="02A750A4"/>
    <w:rsid w:val="02CB4AA3"/>
    <w:rsid w:val="02DB7802"/>
    <w:rsid w:val="02DE6B4C"/>
    <w:rsid w:val="03034482"/>
    <w:rsid w:val="03060627"/>
    <w:rsid w:val="030F15AB"/>
    <w:rsid w:val="03124F12"/>
    <w:rsid w:val="03233832"/>
    <w:rsid w:val="03404FE8"/>
    <w:rsid w:val="0372187A"/>
    <w:rsid w:val="039029F8"/>
    <w:rsid w:val="039C75FF"/>
    <w:rsid w:val="03A467F2"/>
    <w:rsid w:val="03B403AB"/>
    <w:rsid w:val="03C319A1"/>
    <w:rsid w:val="03C5329A"/>
    <w:rsid w:val="03D04C3C"/>
    <w:rsid w:val="03F605D5"/>
    <w:rsid w:val="04021749"/>
    <w:rsid w:val="04156891"/>
    <w:rsid w:val="041B0A5C"/>
    <w:rsid w:val="04251FEE"/>
    <w:rsid w:val="043438CC"/>
    <w:rsid w:val="044163B3"/>
    <w:rsid w:val="04531FA4"/>
    <w:rsid w:val="04595087"/>
    <w:rsid w:val="048605CC"/>
    <w:rsid w:val="04E30EFB"/>
    <w:rsid w:val="05131330"/>
    <w:rsid w:val="051554AC"/>
    <w:rsid w:val="051C101F"/>
    <w:rsid w:val="052D0810"/>
    <w:rsid w:val="05401B5B"/>
    <w:rsid w:val="05467463"/>
    <w:rsid w:val="05477860"/>
    <w:rsid w:val="054C2F2E"/>
    <w:rsid w:val="055162BB"/>
    <w:rsid w:val="05544920"/>
    <w:rsid w:val="05584912"/>
    <w:rsid w:val="055B5F72"/>
    <w:rsid w:val="05657698"/>
    <w:rsid w:val="059E1945"/>
    <w:rsid w:val="05A266C9"/>
    <w:rsid w:val="05A30BE6"/>
    <w:rsid w:val="05B15F70"/>
    <w:rsid w:val="05BA6372"/>
    <w:rsid w:val="05BE3C8B"/>
    <w:rsid w:val="05D464F7"/>
    <w:rsid w:val="05DD21B2"/>
    <w:rsid w:val="05F13921"/>
    <w:rsid w:val="064F3CCA"/>
    <w:rsid w:val="06533CFB"/>
    <w:rsid w:val="067032E2"/>
    <w:rsid w:val="06711236"/>
    <w:rsid w:val="06797E31"/>
    <w:rsid w:val="067B57E2"/>
    <w:rsid w:val="0684067E"/>
    <w:rsid w:val="068558D5"/>
    <w:rsid w:val="06BD404D"/>
    <w:rsid w:val="06C07699"/>
    <w:rsid w:val="06C44581"/>
    <w:rsid w:val="06C4690C"/>
    <w:rsid w:val="06CB1A10"/>
    <w:rsid w:val="06CF3461"/>
    <w:rsid w:val="06E84E1C"/>
    <w:rsid w:val="06EF599D"/>
    <w:rsid w:val="06F21187"/>
    <w:rsid w:val="070A48E2"/>
    <w:rsid w:val="070A779F"/>
    <w:rsid w:val="070B4E4E"/>
    <w:rsid w:val="07246EE5"/>
    <w:rsid w:val="07253784"/>
    <w:rsid w:val="072E7715"/>
    <w:rsid w:val="07300F19"/>
    <w:rsid w:val="074C7FD7"/>
    <w:rsid w:val="075C3866"/>
    <w:rsid w:val="075D027F"/>
    <w:rsid w:val="07687E22"/>
    <w:rsid w:val="076E0366"/>
    <w:rsid w:val="077961C6"/>
    <w:rsid w:val="079337C6"/>
    <w:rsid w:val="07976154"/>
    <w:rsid w:val="07AF0D12"/>
    <w:rsid w:val="07BB0198"/>
    <w:rsid w:val="07CD6512"/>
    <w:rsid w:val="07D17DB0"/>
    <w:rsid w:val="07E31387"/>
    <w:rsid w:val="07ED0962"/>
    <w:rsid w:val="08085F82"/>
    <w:rsid w:val="0833641D"/>
    <w:rsid w:val="083C2648"/>
    <w:rsid w:val="08545C8E"/>
    <w:rsid w:val="0869623A"/>
    <w:rsid w:val="086F75C9"/>
    <w:rsid w:val="087150EF"/>
    <w:rsid w:val="087E4839"/>
    <w:rsid w:val="08850B9A"/>
    <w:rsid w:val="08B400C5"/>
    <w:rsid w:val="08C05347"/>
    <w:rsid w:val="08C338A4"/>
    <w:rsid w:val="08DC4C5E"/>
    <w:rsid w:val="08E2615B"/>
    <w:rsid w:val="091422AE"/>
    <w:rsid w:val="09143080"/>
    <w:rsid w:val="0914599C"/>
    <w:rsid w:val="092D5748"/>
    <w:rsid w:val="09366FA2"/>
    <w:rsid w:val="093C56FD"/>
    <w:rsid w:val="09410F65"/>
    <w:rsid w:val="0945515F"/>
    <w:rsid w:val="095156FB"/>
    <w:rsid w:val="09751892"/>
    <w:rsid w:val="097C164F"/>
    <w:rsid w:val="098333B9"/>
    <w:rsid w:val="098D0921"/>
    <w:rsid w:val="09A12FD2"/>
    <w:rsid w:val="09A3752A"/>
    <w:rsid w:val="09A478E5"/>
    <w:rsid w:val="09AC118D"/>
    <w:rsid w:val="09C15C02"/>
    <w:rsid w:val="09C3197A"/>
    <w:rsid w:val="09CA26FE"/>
    <w:rsid w:val="09F14F0B"/>
    <w:rsid w:val="09F226B6"/>
    <w:rsid w:val="09F63AFE"/>
    <w:rsid w:val="09F66F8D"/>
    <w:rsid w:val="09FD48F8"/>
    <w:rsid w:val="0A0F1333"/>
    <w:rsid w:val="0A1774B0"/>
    <w:rsid w:val="0A2649D7"/>
    <w:rsid w:val="0A36490C"/>
    <w:rsid w:val="0A8729A8"/>
    <w:rsid w:val="0A8A06EA"/>
    <w:rsid w:val="0A8E2EF7"/>
    <w:rsid w:val="0A93759F"/>
    <w:rsid w:val="0ABC54DE"/>
    <w:rsid w:val="0AD61B81"/>
    <w:rsid w:val="0AD75FB3"/>
    <w:rsid w:val="0ADB220D"/>
    <w:rsid w:val="0AE2372F"/>
    <w:rsid w:val="0AF65AE4"/>
    <w:rsid w:val="0B08583F"/>
    <w:rsid w:val="0B0E2A57"/>
    <w:rsid w:val="0B1A7CC0"/>
    <w:rsid w:val="0B2D22F3"/>
    <w:rsid w:val="0B440C0B"/>
    <w:rsid w:val="0B511CC0"/>
    <w:rsid w:val="0B6405F6"/>
    <w:rsid w:val="0B7D2C3D"/>
    <w:rsid w:val="0BE22823"/>
    <w:rsid w:val="0C066CC4"/>
    <w:rsid w:val="0C31553C"/>
    <w:rsid w:val="0C430B50"/>
    <w:rsid w:val="0C4C376E"/>
    <w:rsid w:val="0C5A59D9"/>
    <w:rsid w:val="0C6E02C3"/>
    <w:rsid w:val="0C7D0506"/>
    <w:rsid w:val="0C92221D"/>
    <w:rsid w:val="0C9A5CDF"/>
    <w:rsid w:val="0CB41170"/>
    <w:rsid w:val="0CCA74C4"/>
    <w:rsid w:val="0CCF0636"/>
    <w:rsid w:val="0CE830B1"/>
    <w:rsid w:val="0CEC743A"/>
    <w:rsid w:val="0CF956B3"/>
    <w:rsid w:val="0CFF129D"/>
    <w:rsid w:val="0CFF66D0"/>
    <w:rsid w:val="0D032581"/>
    <w:rsid w:val="0D0C398A"/>
    <w:rsid w:val="0D20037A"/>
    <w:rsid w:val="0D344056"/>
    <w:rsid w:val="0D376FC4"/>
    <w:rsid w:val="0D3E0024"/>
    <w:rsid w:val="0D474D13"/>
    <w:rsid w:val="0D49663A"/>
    <w:rsid w:val="0D555344"/>
    <w:rsid w:val="0D6F2B77"/>
    <w:rsid w:val="0D775417"/>
    <w:rsid w:val="0D866BB0"/>
    <w:rsid w:val="0D9F66C5"/>
    <w:rsid w:val="0DA9267F"/>
    <w:rsid w:val="0DCF4D92"/>
    <w:rsid w:val="0DDB2BED"/>
    <w:rsid w:val="0DF85EAA"/>
    <w:rsid w:val="0DF9462F"/>
    <w:rsid w:val="0E034839"/>
    <w:rsid w:val="0E0412FF"/>
    <w:rsid w:val="0E0553F4"/>
    <w:rsid w:val="0E0D6B02"/>
    <w:rsid w:val="0E26697C"/>
    <w:rsid w:val="0E2C4AAC"/>
    <w:rsid w:val="0E416194"/>
    <w:rsid w:val="0E41629B"/>
    <w:rsid w:val="0E5C7729"/>
    <w:rsid w:val="0E6C3627"/>
    <w:rsid w:val="0E856EB6"/>
    <w:rsid w:val="0E89379A"/>
    <w:rsid w:val="0E9323A9"/>
    <w:rsid w:val="0EA300C1"/>
    <w:rsid w:val="0EAC6E81"/>
    <w:rsid w:val="0EC10D9D"/>
    <w:rsid w:val="0EC31627"/>
    <w:rsid w:val="0ED80F04"/>
    <w:rsid w:val="0EF13C13"/>
    <w:rsid w:val="0EFB5712"/>
    <w:rsid w:val="0EFE7B4E"/>
    <w:rsid w:val="0F013F56"/>
    <w:rsid w:val="0F0A7C8B"/>
    <w:rsid w:val="0F0C7B3B"/>
    <w:rsid w:val="0F1401B8"/>
    <w:rsid w:val="0F1503B4"/>
    <w:rsid w:val="0F1D15D5"/>
    <w:rsid w:val="0F1E0B07"/>
    <w:rsid w:val="0F2C0B8D"/>
    <w:rsid w:val="0F2C3639"/>
    <w:rsid w:val="0F3D5128"/>
    <w:rsid w:val="0F5277DE"/>
    <w:rsid w:val="0F735BF1"/>
    <w:rsid w:val="0F7D0AAD"/>
    <w:rsid w:val="0F86672C"/>
    <w:rsid w:val="0FA876AD"/>
    <w:rsid w:val="0FAF547E"/>
    <w:rsid w:val="0FB75ADD"/>
    <w:rsid w:val="0FBF2BE4"/>
    <w:rsid w:val="0FD05FC2"/>
    <w:rsid w:val="0FDD01B4"/>
    <w:rsid w:val="0FE60171"/>
    <w:rsid w:val="0FE70AFF"/>
    <w:rsid w:val="10027A31"/>
    <w:rsid w:val="101A043E"/>
    <w:rsid w:val="102962AF"/>
    <w:rsid w:val="104840AF"/>
    <w:rsid w:val="10535EF0"/>
    <w:rsid w:val="10777538"/>
    <w:rsid w:val="108B6F31"/>
    <w:rsid w:val="10A75C36"/>
    <w:rsid w:val="10B416E8"/>
    <w:rsid w:val="10C65213"/>
    <w:rsid w:val="10D50F32"/>
    <w:rsid w:val="10E142C8"/>
    <w:rsid w:val="10F260A2"/>
    <w:rsid w:val="10FD1228"/>
    <w:rsid w:val="10FE27EE"/>
    <w:rsid w:val="110018B9"/>
    <w:rsid w:val="1123754E"/>
    <w:rsid w:val="11413853"/>
    <w:rsid w:val="114F505F"/>
    <w:rsid w:val="115832F0"/>
    <w:rsid w:val="11A958FA"/>
    <w:rsid w:val="11D40D7C"/>
    <w:rsid w:val="11DD37F5"/>
    <w:rsid w:val="11EE77B0"/>
    <w:rsid w:val="12104913"/>
    <w:rsid w:val="1211524D"/>
    <w:rsid w:val="12272ECB"/>
    <w:rsid w:val="124214FA"/>
    <w:rsid w:val="12440406"/>
    <w:rsid w:val="124E3871"/>
    <w:rsid w:val="124E4E5A"/>
    <w:rsid w:val="12641821"/>
    <w:rsid w:val="12795E40"/>
    <w:rsid w:val="127E50EC"/>
    <w:rsid w:val="129855BF"/>
    <w:rsid w:val="129B3058"/>
    <w:rsid w:val="12C46361"/>
    <w:rsid w:val="12E102FB"/>
    <w:rsid w:val="13054DB2"/>
    <w:rsid w:val="130D3C66"/>
    <w:rsid w:val="130E7BE9"/>
    <w:rsid w:val="13176577"/>
    <w:rsid w:val="13254AB1"/>
    <w:rsid w:val="13540791"/>
    <w:rsid w:val="13571A1D"/>
    <w:rsid w:val="136C6BDF"/>
    <w:rsid w:val="13765CAF"/>
    <w:rsid w:val="137A31EA"/>
    <w:rsid w:val="13872236"/>
    <w:rsid w:val="139F0559"/>
    <w:rsid w:val="13A1358B"/>
    <w:rsid w:val="13AE61F7"/>
    <w:rsid w:val="13B21FCC"/>
    <w:rsid w:val="13CC0FB4"/>
    <w:rsid w:val="13ED41C3"/>
    <w:rsid w:val="141D256E"/>
    <w:rsid w:val="141D45F7"/>
    <w:rsid w:val="142669A3"/>
    <w:rsid w:val="14292D22"/>
    <w:rsid w:val="143C47AE"/>
    <w:rsid w:val="144731A8"/>
    <w:rsid w:val="144D607C"/>
    <w:rsid w:val="148A7C64"/>
    <w:rsid w:val="14900FF3"/>
    <w:rsid w:val="14977E3D"/>
    <w:rsid w:val="14AB5B6F"/>
    <w:rsid w:val="14B1033A"/>
    <w:rsid w:val="14C201BA"/>
    <w:rsid w:val="14DC7D94"/>
    <w:rsid w:val="14E65842"/>
    <w:rsid w:val="14F371D1"/>
    <w:rsid w:val="153115A5"/>
    <w:rsid w:val="15436065"/>
    <w:rsid w:val="15451860"/>
    <w:rsid w:val="15531465"/>
    <w:rsid w:val="15603E37"/>
    <w:rsid w:val="15620DD0"/>
    <w:rsid w:val="156423D0"/>
    <w:rsid w:val="15742709"/>
    <w:rsid w:val="157E7309"/>
    <w:rsid w:val="15891CCA"/>
    <w:rsid w:val="158E1C48"/>
    <w:rsid w:val="158E72E0"/>
    <w:rsid w:val="15915189"/>
    <w:rsid w:val="15A07C84"/>
    <w:rsid w:val="15B23D17"/>
    <w:rsid w:val="15B8610B"/>
    <w:rsid w:val="15C50828"/>
    <w:rsid w:val="15D8610A"/>
    <w:rsid w:val="15E131A4"/>
    <w:rsid w:val="15E14510"/>
    <w:rsid w:val="160A2CFA"/>
    <w:rsid w:val="16161084"/>
    <w:rsid w:val="16334615"/>
    <w:rsid w:val="16357A20"/>
    <w:rsid w:val="163D2298"/>
    <w:rsid w:val="165F6ECF"/>
    <w:rsid w:val="166221AA"/>
    <w:rsid w:val="16626FFB"/>
    <w:rsid w:val="16733BB6"/>
    <w:rsid w:val="167C6321"/>
    <w:rsid w:val="167D5B33"/>
    <w:rsid w:val="168801D3"/>
    <w:rsid w:val="16886814"/>
    <w:rsid w:val="168E5998"/>
    <w:rsid w:val="16930F3A"/>
    <w:rsid w:val="169522A5"/>
    <w:rsid w:val="1698762D"/>
    <w:rsid w:val="169B741F"/>
    <w:rsid w:val="16A81E7F"/>
    <w:rsid w:val="16C9636E"/>
    <w:rsid w:val="16D65AFE"/>
    <w:rsid w:val="16E14DAB"/>
    <w:rsid w:val="16E90D1C"/>
    <w:rsid w:val="16F732A6"/>
    <w:rsid w:val="16F81197"/>
    <w:rsid w:val="16FF5E45"/>
    <w:rsid w:val="1706559C"/>
    <w:rsid w:val="1719672F"/>
    <w:rsid w:val="17207E13"/>
    <w:rsid w:val="17481711"/>
    <w:rsid w:val="175C6F6A"/>
    <w:rsid w:val="17667DE9"/>
    <w:rsid w:val="1781509E"/>
    <w:rsid w:val="17A56B63"/>
    <w:rsid w:val="17C0574B"/>
    <w:rsid w:val="18067BA6"/>
    <w:rsid w:val="1808257E"/>
    <w:rsid w:val="180E64B6"/>
    <w:rsid w:val="1818063A"/>
    <w:rsid w:val="181E50F8"/>
    <w:rsid w:val="183C6FA0"/>
    <w:rsid w:val="183C74C7"/>
    <w:rsid w:val="18427C4A"/>
    <w:rsid w:val="185A16FC"/>
    <w:rsid w:val="1877771D"/>
    <w:rsid w:val="18790342"/>
    <w:rsid w:val="189E26ED"/>
    <w:rsid w:val="18AD2173"/>
    <w:rsid w:val="18BA3933"/>
    <w:rsid w:val="18DB5A75"/>
    <w:rsid w:val="18E13BCB"/>
    <w:rsid w:val="18E40145"/>
    <w:rsid w:val="18FC6C57"/>
    <w:rsid w:val="190241D6"/>
    <w:rsid w:val="193C0560"/>
    <w:rsid w:val="193D0DC4"/>
    <w:rsid w:val="19695385"/>
    <w:rsid w:val="198D6430"/>
    <w:rsid w:val="19A56E1D"/>
    <w:rsid w:val="19A8709D"/>
    <w:rsid w:val="19C151F7"/>
    <w:rsid w:val="19C35A0B"/>
    <w:rsid w:val="19C73D4F"/>
    <w:rsid w:val="19EC47A6"/>
    <w:rsid w:val="19F339F5"/>
    <w:rsid w:val="1A075174"/>
    <w:rsid w:val="1A4408B5"/>
    <w:rsid w:val="1A4B3542"/>
    <w:rsid w:val="1A4C07A0"/>
    <w:rsid w:val="1A4C2061"/>
    <w:rsid w:val="1A5417E0"/>
    <w:rsid w:val="1A615731"/>
    <w:rsid w:val="1A8F0243"/>
    <w:rsid w:val="1AA40168"/>
    <w:rsid w:val="1ADD3FD4"/>
    <w:rsid w:val="1AE138EA"/>
    <w:rsid w:val="1AE73EC4"/>
    <w:rsid w:val="1B0D17E8"/>
    <w:rsid w:val="1B293607"/>
    <w:rsid w:val="1B70595D"/>
    <w:rsid w:val="1B7B7127"/>
    <w:rsid w:val="1B9C202B"/>
    <w:rsid w:val="1BA10454"/>
    <w:rsid w:val="1BA509C5"/>
    <w:rsid w:val="1BAD5FE6"/>
    <w:rsid w:val="1BF03704"/>
    <w:rsid w:val="1C1566B0"/>
    <w:rsid w:val="1C1A4486"/>
    <w:rsid w:val="1C280A6A"/>
    <w:rsid w:val="1C281B11"/>
    <w:rsid w:val="1C471EA8"/>
    <w:rsid w:val="1C5320E4"/>
    <w:rsid w:val="1C6D5127"/>
    <w:rsid w:val="1C79701B"/>
    <w:rsid w:val="1C8036FB"/>
    <w:rsid w:val="1C841499"/>
    <w:rsid w:val="1C86116E"/>
    <w:rsid w:val="1CB46593"/>
    <w:rsid w:val="1CBE089B"/>
    <w:rsid w:val="1CCF50C0"/>
    <w:rsid w:val="1D0165EA"/>
    <w:rsid w:val="1D0E11A5"/>
    <w:rsid w:val="1D360AF2"/>
    <w:rsid w:val="1D3F59EC"/>
    <w:rsid w:val="1D501BC7"/>
    <w:rsid w:val="1D586DB4"/>
    <w:rsid w:val="1D806020"/>
    <w:rsid w:val="1D8D358E"/>
    <w:rsid w:val="1DBD3111"/>
    <w:rsid w:val="1DD160A6"/>
    <w:rsid w:val="1DE06B47"/>
    <w:rsid w:val="1E073588"/>
    <w:rsid w:val="1E1B5C63"/>
    <w:rsid w:val="1E227AAF"/>
    <w:rsid w:val="1E2C12F5"/>
    <w:rsid w:val="1E3B1FCF"/>
    <w:rsid w:val="1E4337F7"/>
    <w:rsid w:val="1E616D7F"/>
    <w:rsid w:val="1E6908EA"/>
    <w:rsid w:val="1E7D4396"/>
    <w:rsid w:val="1E8C45D9"/>
    <w:rsid w:val="1E931754"/>
    <w:rsid w:val="1E956F6F"/>
    <w:rsid w:val="1EB124DC"/>
    <w:rsid w:val="1EB76E64"/>
    <w:rsid w:val="1EBA7324"/>
    <w:rsid w:val="1EC46EC0"/>
    <w:rsid w:val="1EC91169"/>
    <w:rsid w:val="1EDB4A9C"/>
    <w:rsid w:val="1EE47F71"/>
    <w:rsid w:val="1EE9607B"/>
    <w:rsid w:val="1EF64177"/>
    <w:rsid w:val="1EFF3D83"/>
    <w:rsid w:val="1F042065"/>
    <w:rsid w:val="1F0E411B"/>
    <w:rsid w:val="1F374545"/>
    <w:rsid w:val="1F470500"/>
    <w:rsid w:val="1F59095F"/>
    <w:rsid w:val="1F912144"/>
    <w:rsid w:val="1FA61CF3"/>
    <w:rsid w:val="1FB35D6F"/>
    <w:rsid w:val="1FBC1863"/>
    <w:rsid w:val="1FC86093"/>
    <w:rsid w:val="1FD410D9"/>
    <w:rsid w:val="1FE852AF"/>
    <w:rsid w:val="1FF50E64"/>
    <w:rsid w:val="1FF5797D"/>
    <w:rsid w:val="20004415"/>
    <w:rsid w:val="2000527E"/>
    <w:rsid w:val="20120B0E"/>
    <w:rsid w:val="20220105"/>
    <w:rsid w:val="203065B4"/>
    <w:rsid w:val="203266D2"/>
    <w:rsid w:val="203E0CAE"/>
    <w:rsid w:val="20501E14"/>
    <w:rsid w:val="206670F5"/>
    <w:rsid w:val="207375C5"/>
    <w:rsid w:val="208321FA"/>
    <w:rsid w:val="208A2593"/>
    <w:rsid w:val="209634ED"/>
    <w:rsid w:val="20995346"/>
    <w:rsid w:val="209A3545"/>
    <w:rsid w:val="20DD0D4E"/>
    <w:rsid w:val="20F621DE"/>
    <w:rsid w:val="20FA1203"/>
    <w:rsid w:val="20FA12D6"/>
    <w:rsid w:val="21155548"/>
    <w:rsid w:val="212F20CD"/>
    <w:rsid w:val="2135272A"/>
    <w:rsid w:val="213C27B6"/>
    <w:rsid w:val="214321EF"/>
    <w:rsid w:val="216E446A"/>
    <w:rsid w:val="2198392D"/>
    <w:rsid w:val="21D75D4E"/>
    <w:rsid w:val="21DD726A"/>
    <w:rsid w:val="22017085"/>
    <w:rsid w:val="22065EE4"/>
    <w:rsid w:val="2207059A"/>
    <w:rsid w:val="221E7F8E"/>
    <w:rsid w:val="22200CCA"/>
    <w:rsid w:val="22226615"/>
    <w:rsid w:val="226543FA"/>
    <w:rsid w:val="22764D91"/>
    <w:rsid w:val="227930C6"/>
    <w:rsid w:val="227C4DC1"/>
    <w:rsid w:val="228026A7"/>
    <w:rsid w:val="229E48DB"/>
    <w:rsid w:val="22AE14E8"/>
    <w:rsid w:val="22B06264"/>
    <w:rsid w:val="22B75CA4"/>
    <w:rsid w:val="22D84A33"/>
    <w:rsid w:val="22DD5403"/>
    <w:rsid w:val="22E4635B"/>
    <w:rsid w:val="22ED455F"/>
    <w:rsid w:val="231943FB"/>
    <w:rsid w:val="23203542"/>
    <w:rsid w:val="2326682E"/>
    <w:rsid w:val="232E5A00"/>
    <w:rsid w:val="234C3850"/>
    <w:rsid w:val="23551F5B"/>
    <w:rsid w:val="23B733DB"/>
    <w:rsid w:val="2403533D"/>
    <w:rsid w:val="24082954"/>
    <w:rsid w:val="240B1AF9"/>
    <w:rsid w:val="240D1599"/>
    <w:rsid w:val="240E1497"/>
    <w:rsid w:val="24257F76"/>
    <w:rsid w:val="242B6B92"/>
    <w:rsid w:val="242C1EC9"/>
    <w:rsid w:val="2437006A"/>
    <w:rsid w:val="243B06A4"/>
    <w:rsid w:val="2442432B"/>
    <w:rsid w:val="245931AF"/>
    <w:rsid w:val="24712974"/>
    <w:rsid w:val="247C60EA"/>
    <w:rsid w:val="247E6772"/>
    <w:rsid w:val="24976248"/>
    <w:rsid w:val="24AE2179"/>
    <w:rsid w:val="24D11632"/>
    <w:rsid w:val="24D528C8"/>
    <w:rsid w:val="24D66E91"/>
    <w:rsid w:val="25021BBD"/>
    <w:rsid w:val="250363A4"/>
    <w:rsid w:val="25147A2B"/>
    <w:rsid w:val="25201F1F"/>
    <w:rsid w:val="2524184E"/>
    <w:rsid w:val="25355D17"/>
    <w:rsid w:val="25411B13"/>
    <w:rsid w:val="255120D8"/>
    <w:rsid w:val="255D365C"/>
    <w:rsid w:val="25641899"/>
    <w:rsid w:val="256916EF"/>
    <w:rsid w:val="25706A02"/>
    <w:rsid w:val="257D66F0"/>
    <w:rsid w:val="258233EC"/>
    <w:rsid w:val="258728EE"/>
    <w:rsid w:val="258B4AE4"/>
    <w:rsid w:val="25A065C2"/>
    <w:rsid w:val="25A6587B"/>
    <w:rsid w:val="25B04DD3"/>
    <w:rsid w:val="25B6173A"/>
    <w:rsid w:val="25B85CB3"/>
    <w:rsid w:val="25D368EF"/>
    <w:rsid w:val="25D66AED"/>
    <w:rsid w:val="25E85B97"/>
    <w:rsid w:val="25EA2A0E"/>
    <w:rsid w:val="25EB7E37"/>
    <w:rsid w:val="260929B3"/>
    <w:rsid w:val="26286395"/>
    <w:rsid w:val="263479D8"/>
    <w:rsid w:val="263520B5"/>
    <w:rsid w:val="26415CA9"/>
    <w:rsid w:val="26491447"/>
    <w:rsid w:val="265C6B0D"/>
    <w:rsid w:val="26613237"/>
    <w:rsid w:val="266A5D57"/>
    <w:rsid w:val="266B71CA"/>
    <w:rsid w:val="26720558"/>
    <w:rsid w:val="26751205"/>
    <w:rsid w:val="267E0B7B"/>
    <w:rsid w:val="26891E4C"/>
    <w:rsid w:val="268C7BEB"/>
    <w:rsid w:val="26933DAC"/>
    <w:rsid w:val="26A41541"/>
    <w:rsid w:val="26DC2F3D"/>
    <w:rsid w:val="26EE1644"/>
    <w:rsid w:val="26FE0A65"/>
    <w:rsid w:val="27225ADA"/>
    <w:rsid w:val="27242217"/>
    <w:rsid w:val="272A498F"/>
    <w:rsid w:val="27470A7C"/>
    <w:rsid w:val="27487E1C"/>
    <w:rsid w:val="277A5916"/>
    <w:rsid w:val="27D35027"/>
    <w:rsid w:val="28090A48"/>
    <w:rsid w:val="283C17D4"/>
    <w:rsid w:val="28996B80"/>
    <w:rsid w:val="28BF4190"/>
    <w:rsid w:val="28CB21A2"/>
    <w:rsid w:val="28E33D74"/>
    <w:rsid w:val="28EF677E"/>
    <w:rsid w:val="28F3360A"/>
    <w:rsid w:val="28F50017"/>
    <w:rsid w:val="28F964EF"/>
    <w:rsid w:val="290851A4"/>
    <w:rsid w:val="2916166F"/>
    <w:rsid w:val="291C30A7"/>
    <w:rsid w:val="29297118"/>
    <w:rsid w:val="294119AE"/>
    <w:rsid w:val="29595023"/>
    <w:rsid w:val="296857C1"/>
    <w:rsid w:val="296B53A7"/>
    <w:rsid w:val="2976125F"/>
    <w:rsid w:val="29A16A53"/>
    <w:rsid w:val="29B217CA"/>
    <w:rsid w:val="29B71B0E"/>
    <w:rsid w:val="29BF5862"/>
    <w:rsid w:val="29C015DB"/>
    <w:rsid w:val="29C16F63"/>
    <w:rsid w:val="29CA0099"/>
    <w:rsid w:val="29CF1E07"/>
    <w:rsid w:val="29D54FEB"/>
    <w:rsid w:val="29DD2D8E"/>
    <w:rsid w:val="29E520C2"/>
    <w:rsid w:val="29FE173C"/>
    <w:rsid w:val="2A4B0262"/>
    <w:rsid w:val="2A555273"/>
    <w:rsid w:val="2A5B07D1"/>
    <w:rsid w:val="2A6B1334"/>
    <w:rsid w:val="2A81520E"/>
    <w:rsid w:val="2AA65312"/>
    <w:rsid w:val="2AAF123B"/>
    <w:rsid w:val="2ABC3338"/>
    <w:rsid w:val="2AC0095F"/>
    <w:rsid w:val="2AC51D8C"/>
    <w:rsid w:val="2AC72823"/>
    <w:rsid w:val="2AD215C5"/>
    <w:rsid w:val="2AE65071"/>
    <w:rsid w:val="2AEB3910"/>
    <w:rsid w:val="2AF25618"/>
    <w:rsid w:val="2AF7870F"/>
    <w:rsid w:val="2B102DA4"/>
    <w:rsid w:val="2B464ADA"/>
    <w:rsid w:val="2B4744BC"/>
    <w:rsid w:val="2B6E4C1B"/>
    <w:rsid w:val="2B755339"/>
    <w:rsid w:val="2B8E7BE2"/>
    <w:rsid w:val="2B9611D8"/>
    <w:rsid w:val="2BA96DC1"/>
    <w:rsid w:val="2BBC1CA6"/>
    <w:rsid w:val="2BE463A8"/>
    <w:rsid w:val="2BE565BE"/>
    <w:rsid w:val="2BF836CD"/>
    <w:rsid w:val="2C1C12C4"/>
    <w:rsid w:val="2C1D2AEA"/>
    <w:rsid w:val="2C2C4C15"/>
    <w:rsid w:val="2C627A2D"/>
    <w:rsid w:val="2C6674F3"/>
    <w:rsid w:val="2C70332B"/>
    <w:rsid w:val="2C8C6D56"/>
    <w:rsid w:val="2CAB4942"/>
    <w:rsid w:val="2CC754AE"/>
    <w:rsid w:val="2CC81B2B"/>
    <w:rsid w:val="2CD3437C"/>
    <w:rsid w:val="2CF41CC7"/>
    <w:rsid w:val="2D045C82"/>
    <w:rsid w:val="2D115C5D"/>
    <w:rsid w:val="2D46629B"/>
    <w:rsid w:val="2D577564"/>
    <w:rsid w:val="2D5D142F"/>
    <w:rsid w:val="2D6A07AF"/>
    <w:rsid w:val="2D847639"/>
    <w:rsid w:val="2D922480"/>
    <w:rsid w:val="2DAB754C"/>
    <w:rsid w:val="2DAE33BE"/>
    <w:rsid w:val="2DAF4226"/>
    <w:rsid w:val="2DB11966"/>
    <w:rsid w:val="2DB9755B"/>
    <w:rsid w:val="2DC51DD9"/>
    <w:rsid w:val="2DC81FAC"/>
    <w:rsid w:val="2DCB0B7F"/>
    <w:rsid w:val="2DD07A55"/>
    <w:rsid w:val="2DD90EBD"/>
    <w:rsid w:val="2DDC10A9"/>
    <w:rsid w:val="2DEC6E42"/>
    <w:rsid w:val="2E151BCF"/>
    <w:rsid w:val="2E1D7064"/>
    <w:rsid w:val="2E2F409D"/>
    <w:rsid w:val="2E3031D3"/>
    <w:rsid w:val="2E4C05D9"/>
    <w:rsid w:val="2E6469D8"/>
    <w:rsid w:val="2E887CE3"/>
    <w:rsid w:val="2E980856"/>
    <w:rsid w:val="2EAB4607"/>
    <w:rsid w:val="2EF31E53"/>
    <w:rsid w:val="2EFD7252"/>
    <w:rsid w:val="2F0B154A"/>
    <w:rsid w:val="2F285C58"/>
    <w:rsid w:val="2F4B77D8"/>
    <w:rsid w:val="2F571B68"/>
    <w:rsid w:val="2F5E1C39"/>
    <w:rsid w:val="2F7113CC"/>
    <w:rsid w:val="2F8A1299"/>
    <w:rsid w:val="2FB8323B"/>
    <w:rsid w:val="2FB90FA6"/>
    <w:rsid w:val="2FDF6FFB"/>
    <w:rsid w:val="2FFFC392"/>
    <w:rsid w:val="3005190A"/>
    <w:rsid w:val="30162084"/>
    <w:rsid w:val="302400EF"/>
    <w:rsid w:val="302967AC"/>
    <w:rsid w:val="30321580"/>
    <w:rsid w:val="305052B8"/>
    <w:rsid w:val="307C34D6"/>
    <w:rsid w:val="307D0225"/>
    <w:rsid w:val="30803872"/>
    <w:rsid w:val="309537C1"/>
    <w:rsid w:val="30AD0515"/>
    <w:rsid w:val="30B3638F"/>
    <w:rsid w:val="30D43636"/>
    <w:rsid w:val="30F34D99"/>
    <w:rsid w:val="31097D0B"/>
    <w:rsid w:val="3127060C"/>
    <w:rsid w:val="31403E6B"/>
    <w:rsid w:val="315A5338"/>
    <w:rsid w:val="31727625"/>
    <w:rsid w:val="317A69E9"/>
    <w:rsid w:val="319332C6"/>
    <w:rsid w:val="3198323D"/>
    <w:rsid w:val="31990CAE"/>
    <w:rsid w:val="319E5F52"/>
    <w:rsid w:val="31B02ECD"/>
    <w:rsid w:val="31B41A25"/>
    <w:rsid w:val="31BD643B"/>
    <w:rsid w:val="31C125FC"/>
    <w:rsid w:val="3206362A"/>
    <w:rsid w:val="320824BE"/>
    <w:rsid w:val="320A110C"/>
    <w:rsid w:val="322E543B"/>
    <w:rsid w:val="323A2CC6"/>
    <w:rsid w:val="325574F5"/>
    <w:rsid w:val="32566604"/>
    <w:rsid w:val="32573730"/>
    <w:rsid w:val="32686768"/>
    <w:rsid w:val="327F0285"/>
    <w:rsid w:val="32843E49"/>
    <w:rsid w:val="32861F84"/>
    <w:rsid w:val="328E470C"/>
    <w:rsid w:val="32941FF8"/>
    <w:rsid w:val="32A73A7A"/>
    <w:rsid w:val="32B2245C"/>
    <w:rsid w:val="32CE3F9C"/>
    <w:rsid w:val="32DE5D96"/>
    <w:rsid w:val="32FB4B83"/>
    <w:rsid w:val="32FD564D"/>
    <w:rsid w:val="330E4FCE"/>
    <w:rsid w:val="33254432"/>
    <w:rsid w:val="3334735F"/>
    <w:rsid w:val="333746BC"/>
    <w:rsid w:val="335A2AA0"/>
    <w:rsid w:val="336A2681"/>
    <w:rsid w:val="336A2CE3"/>
    <w:rsid w:val="338335F8"/>
    <w:rsid w:val="33864E71"/>
    <w:rsid w:val="339A4D58"/>
    <w:rsid w:val="33C06DA7"/>
    <w:rsid w:val="33D30C40"/>
    <w:rsid w:val="33D83A1C"/>
    <w:rsid w:val="33EB2603"/>
    <w:rsid w:val="33F64577"/>
    <w:rsid w:val="33FB4AD5"/>
    <w:rsid w:val="34034EE6"/>
    <w:rsid w:val="340824FC"/>
    <w:rsid w:val="340E057A"/>
    <w:rsid w:val="34325D54"/>
    <w:rsid w:val="34410A4B"/>
    <w:rsid w:val="34473776"/>
    <w:rsid w:val="344A1390"/>
    <w:rsid w:val="3460718C"/>
    <w:rsid w:val="346C2A8B"/>
    <w:rsid w:val="34777CF6"/>
    <w:rsid w:val="347C47B1"/>
    <w:rsid w:val="34894B8C"/>
    <w:rsid w:val="34903968"/>
    <w:rsid w:val="34923771"/>
    <w:rsid w:val="349A0495"/>
    <w:rsid w:val="34A52E51"/>
    <w:rsid w:val="34A55F9D"/>
    <w:rsid w:val="34A706BD"/>
    <w:rsid w:val="34BE0BC1"/>
    <w:rsid w:val="34E31A34"/>
    <w:rsid w:val="34E83C50"/>
    <w:rsid w:val="34F04198"/>
    <w:rsid w:val="34F56AE5"/>
    <w:rsid w:val="350607E9"/>
    <w:rsid w:val="350C1B78"/>
    <w:rsid w:val="35441312"/>
    <w:rsid w:val="355A1CB2"/>
    <w:rsid w:val="356A1FBE"/>
    <w:rsid w:val="356F676E"/>
    <w:rsid w:val="357A6B39"/>
    <w:rsid w:val="357F3457"/>
    <w:rsid w:val="35A24AD9"/>
    <w:rsid w:val="35CA3FB2"/>
    <w:rsid w:val="35DA3008"/>
    <w:rsid w:val="35FC27E8"/>
    <w:rsid w:val="36097C53"/>
    <w:rsid w:val="360F65B5"/>
    <w:rsid w:val="3628478F"/>
    <w:rsid w:val="3675010D"/>
    <w:rsid w:val="367D2D2D"/>
    <w:rsid w:val="36801E8C"/>
    <w:rsid w:val="369A3364"/>
    <w:rsid w:val="36AE6EE6"/>
    <w:rsid w:val="36E06AAA"/>
    <w:rsid w:val="36E24DC0"/>
    <w:rsid w:val="36E557DC"/>
    <w:rsid w:val="36E83F0E"/>
    <w:rsid w:val="371716F3"/>
    <w:rsid w:val="37296A11"/>
    <w:rsid w:val="372F33FC"/>
    <w:rsid w:val="373D426B"/>
    <w:rsid w:val="373DDEF6"/>
    <w:rsid w:val="374229F3"/>
    <w:rsid w:val="374C2646"/>
    <w:rsid w:val="375417BF"/>
    <w:rsid w:val="375608F7"/>
    <w:rsid w:val="377F6768"/>
    <w:rsid w:val="37893954"/>
    <w:rsid w:val="37AC1E3A"/>
    <w:rsid w:val="37B913B0"/>
    <w:rsid w:val="37C17BEF"/>
    <w:rsid w:val="37E9569C"/>
    <w:rsid w:val="37EE0534"/>
    <w:rsid w:val="37FE1C4C"/>
    <w:rsid w:val="380F05BF"/>
    <w:rsid w:val="38230014"/>
    <w:rsid w:val="382300B7"/>
    <w:rsid w:val="3836588A"/>
    <w:rsid w:val="38524F93"/>
    <w:rsid w:val="3872263A"/>
    <w:rsid w:val="388B48BE"/>
    <w:rsid w:val="388F3B0F"/>
    <w:rsid w:val="38AC3A4C"/>
    <w:rsid w:val="38B95946"/>
    <w:rsid w:val="38D47C61"/>
    <w:rsid w:val="38DA5679"/>
    <w:rsid w:val="38E555A6"/>
    <w:rsid w:val="390B164A"/>
    <w:rsid w:val="3916287D"/>
    <w:rsid w:val="39186B07"/>
    <w:rsid w:val="391A0D07"/>
    <w:rsid w:val="3926047C"/>
    <w:rsid w:val="3942200C"/>
    <w:rsid w:val="396D0E93"/>
    <w:rsid w:val="39747612"/>
    <w:rsid w:val="39913BDD"/>
    <w:rsid w:val="39A46823"/>
    <w:rsid w:val="39AF5127"/>
    <w:rsid w:val="39B94FB2"/>
    <w:rsid w:val="39CB1BC4"/>
    <w:rsid w:val="39CD11B7"/>
    <w:rsid w:val="39E300E6"/>
    <w:rsid w:val="39F454BD"/>
    <w:rsid w:val="39FD0947"/>
    <w:rsid w:val="3A212FEA"/>
    <w:rsid w:val="3A2B5891"/>
    <w:rsid w:val="3A424D58"/>
    <w:rsid w:val="3A932313"/>
    <w:rsid w:val="3A9B5A2A"/>
    <w:rsid w:val="3AA74255"/>
    <w:rsid w:val="3ADF02A4"/>
    <w:rsid w:val="3AEE6F7D"/>
    <w:rsid w:val="3AFD3C5D"/>
    <w:rsid w:val="3B024367"/>
    <w:rsid w:val="3B222EE7"/>
    <w:rsid w:val="3B230320"/>
    <w:rsid w:val="3B3667C9"/>
    <w:rsid w:val="3B4045A4"/>
    <w:rsid w:val="3B476103"/>
    <w:rsid w:val="3B56343D"/>
    <w:rsid w:val="3B5B1163"/>
    <w:rsid w:val="3B683AB9"/>
    <w:rsid w:val="3B830048"/>
    <w:rsid w:val="3BAE5737"/>
    <w:rsid w:val="3BB07701"/>
    <w:rsid w:val="3BB07BA1"/>
    <w:rsid w:val="3BBF5B96"/>
    <w:rsid w:val="3BC35722"/>
    <w:rsid w:val="3BC8725F"/>
    <w:rsid w:val="3BD204C6"/>
    <w:rsid w:val="3BE70B67"/>
    <w:rsid w:val="3BED1310"/>
    <w:rsid w:val="3BF33A92"/>
    <w:rsid w:val="3BF744AF"/>
    <w:rsid w:val="3C21415B"/>
    <w:rsid w:val="3C306E85"/>
    <w:rsid w:val="3C32335B"/>
    <w:rsid w:val="3C3B1125"/>
    <w:rsid w:val="3C4336D4"/>
    <w:rsid w:val="3C4507D2"/>
    <w:rsid w:val="3C4F1A68"/>
    <w:rsid w:val="3C745C93"/>
    <w:rsid w:val="3CA82F0A"/>
    <w:rsid w:val="3CBDD32E"/>
    <w:rsid w:val="3CC354EE"/>
    <w:rsid w:val="3CD1792F"/>
    <w:rsid w:val="3CEB269D"/>
    <w:rsid w:val="3D0A5D46"/>
    <w:rsid w:val="3D0F48FB"/>
    <w:rsid w:val="3D204187"/>
    <w:rsid w:val="3D2914CB"/>
    <w:rsid w:val="3D3B56F0"/>
    <w:rsid w:val="3D477BF1"/>
    <w:rsid w:val="3D483D08"/>
    <w:rsid w:val="3D4B7F55"/>
    <w:rsid w:val="3D626594"/>
    <w:rsid w:val="3D6558EF"/>
    <w:rsid w:val="3D6E3334"/>
    <w:rsid w:val="3D7C1AF8"/>
    <w:rsid w:val="3D7E4729"/>
    <w:rsid w:val="3D943ABF"/>
    <w:rsid w:val="3DA16634"/>
    <w:rsid w:val="3DAA0CF8"/>
    <w:rsid w:val="3DD551FD"/>
    <w:rsid w:val="3DD721DE"/>
    <w:rsid w:val="3DDC3FCA"/>
    <w:rsid w:val="3DE036D4"/>
    <w:rsid w:val="3E054C78"/>
    <w:rsid w:val="3E113CB1"/>
    <w:rsid w:val="3E2622A3"/>
    <w:rsid w:val="3E417572"/>
    <w:rsid w:val="3E4405D4"/>
    <w:rsid w:val="3E4A5EBE"/>
    <w:rsid w:val="3E5C1851"/>
    <w:rsid w:val="3E6362AC"/>
    <w:rsid w:val="3E6B6B73"/>
    <w:rsid w:val="3E8135D7"/>
    <w:rsid w:val="3E84375B"/>
    <w:rsid w:val="3E8B490A"/>
    <w:rsid w:val="3EA572C5"/>
    <w:rsid w:val="3EAF2CE6"/>
    <w:rsid w:val="3EBE4E17"/>
    <w:rsid w:val="3ED90A97"/>
    <w:rsid w:val="3EDC080D"/>
    <w:rsid w:val="3EE9437C"/>
    <w:rsid w:val="3EF66B94"/>
    <w:rsid w:val="3F137010"/>
    <w:rsid w:val="3F1814A5"/>
    <w:rsid w:val="3F2C7AA7"/>
    <w:rsid w:val="3F5B39FD"/>
    <w:rsid w:val="3F6F56BD"/>
    <w:rsid w:val="3F7E3CE4"/>
    <w:rsid w:val="3F9143F7"/>
    <w:rsid w:val="3FB41253"/>
    <w:rsid w:val="3FBE7F13"/>
    <w:rsid w:val="3FC90D91"/>
    <w:rsid w:val="3FC9267A"/>
    <w:rsid w:val="3FEB599B"/>
    <w:rsid w:val="3FFF3124"/>
    <w:rsid w:val="40091A13"/>
    <w:rsid w:val="401263EB"/>
    <w:rsid w:val="40183AC7"/>
    <w:rsid w:val="402E01EB"/>
    <w:rsid w:val="403F44BE"/>
    <w:rsid w:val="403F4720"/>
    <w:rsid w:val="404B50CB"/>
    <w:rsid w:val="40611C38"/>
    <w:rsid w:val="40621819"/>
    <w:rsid w:val="406960D0"/>
    <w:rsid w:val="406D04EC"/>
    <w:rsid w:val="4071000B"/>
    <w:rsid w:val="40747DF6"/>
    <w:rsid w:val="407B25E4"/>
    <w:rsid w:val="408353E4"/>
    <w:rsid w:val="40996B28"/>
    <w:rsid w:val="40AF10F4"/>
    <w:rsid w:val="40C069D2"/>
    <w:rsid w:val="40CB44E0"/>
    <w:rsid w:val="40D0241B"/>
    <w:rsid w:val="40D2705F"/>
    <w:rsid w:val="40D644E1"/>
    <w:rsid w:val="40D727E9"/>
    <w:rsid w:val="40D847A6"/>
    <w:rsid w:val="40E0668A"/>
    <w:rsid w:val="40EA4D92"/>
    <w:rsid w:val="410A029E"/>
    <w:rsid w:val="41233657"/>
    <w:rsid w:val="412D25B6"/>
    <w:rsid w:val="41314BE3"/>
    <w:rsid w:val="415E7BFF"/>
    <w:rsid w:val="41656898"/>
    <w:rsid w:val="416C6617"/>
    <w:rsid w:val="416D0841"/>
    <w:rsid w:val="416D1571"/>
    <w:rsid w:val="41766110"/>
    <w:rsid w:val="4183757C"/>
    <w:rsid w:val="41970A1B"/>
    <w:rsid w:val="41A43845"/>
    <w:rsid w:val="41C763DA"/>
    <w:rsid w:val="41CB2901"/>
    <w:rsid w:val="4203479A"/>
    <w:rsid w:val="423954ED"/>
    <w:rsid w:val="42420F25"/>
    <w:rsid w:val="424448C1"/>
    <w:rsid w:val="4249440B"/>
    <w:rsid w:val="424E6CC2"/>
    <w:rsid w:val="42AE59C8"/>
    <w:rsid w:val="42B42DF9"/>
    <w:rsid w:val="42BA2C13"/>
    <w:rsid w:val="42C85A7D"/>
    <w:rsid w:val="42EB101F"/>
    <w:rsid w:val="42F24C1D"/>
    <w:rsid w:val="43377835"/>
    <w:rsid w:val="43680126"/>
    <w:rsid w:val="43784FA8"/>
    <w:rsid w:val="438B196C"/>
    <w:rsid w:val="439517E0"/>
    <w:rsid w:val="43A71BC9"/>
    <w:rsid w:val="43A86F90"/>
    <w:rsid w:val="43AB606D"/>
    <w:rsid w:val="43B64C47"/>
    <w:rsid w:val="43BF2BD7"/>
    <w:rsid w:val="43C875B2"/>
    <w:rsid w:val="43CC0E50"/>
    <w:rsid w:val="43E964A0"/>
    <w:rsid w:val="440A1978"/>
    <w:rsid w:val="441133CA"/>
    <w:rsid w:val="441A3B05"/>
    <w:rsid w:val="441B36B2"/>
    <w:rsid w:val="44333D5B"/>
    <w:rsid w:val="443B3088"/>
    <w:rsid w:val="44610145"/>
    <w:rsid w:val="446B0669"/>
    <w:rsid w:val="44727721"/>
    <w:rsid w:val="447B6004"/>
    <w:rsid w:val="448B0D0B"/>
    <w:rsid w:val="449750E1"/>
    <w:rsid w:val="44B83F02"/>
    <w:rsid w:val="44BE2B61"/>
    <w:rsid w:val="44C56964"/>
    <w:rsid w:val="44D14E2E"/>
    <w:rsid w:val="44E623E5"/>
    <w:rsid w:val="44E952AA"/>
    <w:rsid w:val="44EE0EBC"/>
    <w:rsid w:val="45132AAF"/>
    <w:rsid w:val="451A3CCB"/>
    <w:rsid w:val="45284162"/>
    <w:rsid w:val="45321526"/>
    <w:rsid w:val="454A2974"/>
    <w:rsid w:val="45500A52"/>
    <w:rsid w:val="456A4DC4"/>
    <w:rsid w:val="456C47D6"/>
    <w:rsid w:val="45780C04"/>
    <w:rsid w:val="459508FA"/>
    <w:rsid w:val="4599319D"/>
    <w:rsid w:val="45996676"/>
    <w:rsid w:val="45B20519"/>
    <w:rsid w:val="45F5148B"/>
    <w:rsid w:val="45FC571B"/>
    <w:rsid w:val="4609333E"/>
    <w:rsid w:val="46280068"/>
    <w:rsid w:val="46303A7D"/>
    <w:rsid w:val="464374ED"/>
    <w:rsid w:val="46591A9C"/>
    <w:rsid w:val="465B10BB"/>
    <w:rsid w:val="46727275"/>
    <w:rsid w:val="467557CF"/>
    <w:rsid w:val="467A1461"/>
    <w:rsid w:val="4681050D"/>
    <w:rsid w:val="468367EA"/>
    <w:rsid w:val="46C2653A"/>
    <w:rsid w:val="46DA56D2"/>
    <w:rsid w:val="46DC3416"/>
    <w:rsid w:val="46E110B6"/>
    <w:rsid w:val="46EF15F6"/>
    <w:rsid w:val="470D6E20"/>
    <w:rsid w:val="47372A84"/>
    <w:rsid w:val="473A3A0F"/>
    <w:rsid w:val="47941C85"/>
    <w:rsid w:val="47AF2A28"/>
    <w:rsid w:val="47B50F9C"/>
    <w:rsid w:val="47C479A8"/>
    <w:rsid w:val="47CF53B3"/>
    <w:rsid w:val="47D502C0"/>
    <w:rsid w:val="47DE7578"/>
    <w:rsid w:val="47EE47C7"/>
    <w:rsid w:val="47EE47EB"/>
    <w:rsid w:val="480B57A8"/>
    <w:rsid w:val="481B5E95"/>
    <w:rsid w:val="4841431A"/>
    <w:rsid w:val="484B37B1"/>
    <w:rsid w:val="484D43A0"/>
    <w:rsid w:val="486A50DB"/>
    <w:rsid w:val="48721D89"/>
    <w:rsid w:val="48855A71"/>
    <w:rsid w:val="48C13853"/>
    <w:rsid w:val="48C833E2"/>
    <w:rsid w:val="48E35C7E"/>
    <w:rsid w:val="490111AF"/>
    <w:rsid w:val="490F10EB"/>
    <w:rsid w:val="491164F6"/>
    <w:rsid w:val="491237A9"/>
    <w:rsid w:val="49153716"/>
    <w:rsid w:val="49231388"/>
    <w:rsid w:val="493C02E2"/>
    <w:rsid w:val="493F3E72"/>
    <w:rsid w:val="49444740"/>
    <w:rsid w:val="49634005"/>
    <w:rsid w:val="4984543A"/>
    <w:rsid w:val="4991304E"/>
    <w:rsid w:val="49974B97"/>
    <w:rsid w:val="499C7517"/>
    <w:rsid w:val="49C17AB9"/>
    <w:rsid w:val="49EA0082"/>
    <w:rsid w:val="4A131C44"/>
    <w:rsid w:val="4A176732"/>
    <w:rsid w:val="4A1C0152"/>
    <w:rsid w:val="4A27508B"/>
    <w:rsid w:val="4A295377"/>
    <w:rsid w:val="4A2A4C9D"/>
    <w:rsid w:val="4A481A41"/>
    <w:rsid w:val="4A5F1684"/>
    <w:rsid w:val="4A822E7B"/>
    <w:rsid w:val="4A9503BE"/>
    <w:rsid w:val="4AA56125"/>
    <w:rsid w:val="4AC62A9D"/>
    <w:rsid w:val="4ADC27DB"/>
    <w:rsid w:val="4AE76614"/>
    <w:rsid w:val="4AEF7FC6"/>
    <w:rsid w:val="4B1732F9"/>
    <w:rsid w:val="4B294BFA"/>
    <w:rsid w:val="4B335C59"/>
    <w:rsid w:val="4B3C3022"/>
    <w:rsid w:val="4B6057DD"/>
    <w:rsid w:val="4B716AAE"/>
    <w:rsid w:val="4BA61A6D"/>
    <w:rsid w:val="4BB9342C"/>
    <w:rsid w:val="4BBB1787"/>
    <w:rsid w:val="4BBC2164"/>
    <w:rsid w:val="4BBD7DAF"/>
    <w:rsid w:val="4BC30D8B"/>
    <w:rsid w:val="4BC468B1"/>
    <w:rsid w:val="4BC60241"/>
    <w:rsid w:val="4BEC30A0"/>
    <w:rsid w:val="4BFC604B"/>
    <w:rsid w:val="4C0B7D79"/>
    <w:rsid w:val="4C1465E4"/>
    <w:rsid w:val="4C256F65"/>
    <w:rsid w:val="4C2C2C38"/>
    <w:rsid w:val="4C465518"/>
    <w:rsid w:val="4C5477B7"/>
    <w:rsid w:val="4C575977"/>
    <w:rsid w:val="4C5955F3"/>
    <w:rsid w:val="4C714C8A"/>
    <w:rsid w:val="4C7402D7"/>
    <w:rsid w:val="4C7E2F03"/>
    <w:rsid w:val="4C9B3AB5"/>
    <w:rsid w:val="4CA033CA"/>
    <w:rsid w:val="4CA17BEF"/>
    <w:rsid w:val="4CB31496"/>
    <w:rsid w:val="4CC96179"/>
    <w:rsid w:val="4CD65475"/>
    <w:rsid w:val="4CE14FF2"/>
    <w:rsid w:val="4D115B26"/>
    <w:rsid w:val="4D16630D"/>
    <w:rsid w:val="4D36558C"/>
    <w:rsid w:val="4D3719BC"/>
    <w:rsid w:val="4D4A4E7C"/>
    <w:rsid w:val="4D5325E2"/>
    <w:rsid w:val="4D5601E6"/>
    <w:rsid w:val="4D6C7659"/>
    <w:rsid w:val="4D76326C"/>
    <w:rsid w:val="4D7D0258"/>
    <w:rsid w:val="4D8137DC"/>
    <w:rsid w:val="4D882A2E"/>
    <w:rsid w:val="4D8D7B58"/>
    <w:rsid w:val="4D991688"/>
    <w:rsid w:val="4D9E1ACB"/>
    <w:rsid w:val="4DB20B35"/>
    <w:rsid w:val="4DD543C5"/>
    <w:rsid w:val="4DEE1C7F"/>
    <w:rsid w:val="4DFA0CB0"/>
    <w:rsid w:val="4E103BB7"/>
    <w:rsid w:val="4E1313F6"/>
    <w:rsid w:val="4E1B5A64"/>
    <w:rsid w:val="4E1E3790"/>
    <w:rsid w:val="4E3E7ABD"/>
    <w:rsid w:val="4E41068C"/>
    <w:rsid w:val="4E471216"/>
    <w:rsid w:val="4E5B79A0"/>
    <w:rsid w:val="4E94790E"/>
    <w:rsid w:val="4E95018F"/>
    <w:rsid w:val="4EA63818"/>
    <w:rsid w:val="4EBA63D8"/>
    <w:rsid w:val="4EBE1CD8"/>
    <w:rsid w:val="4ED37071"/>
    <w:rsid w:val="4EF42362"/>
    <w:rsid w:val="4F0B2046"/>
    <w:rsid w:val="4F361E61"/>
    <w:rsid w:val="4F6153C0"/>
    <w:rsid w:val="4F742107"/>
    <w:rsid w:val="4F8F2591"/>
    <w:rsid w:val="4FA17635"/>
    <w:rsid w:val="4FA44741"/>
    <w:rsid w:val="4FA84831"/>
    <w:rsid w:val="4FB355BA"/>
    <w:rsid w:val="4FC0263A"/>
    <w:rsid w:val="4FC47E91"/>
    <w:rsid w:val="4FCE1399"/>
    <w:rsid w:val="4FD05390"/>
    <w:rsid w:val="4FD620C8"/>
    <w:rsid w:val="4FE139E1"/>
    <w:rsid w:val="4FFA6D45"/>
    <w:rsid w:val="4FFC486B"/>
    <w:rsid w:val="50027C2E"/>
    <w:rsid w:val="50097DCA"/>
    <w:rsid w:val="50487AB0"/>
    <w:rsid w:val="504D35C4"/>
    <w:rsid w:val="50A2672D"/>
    <w:rsid w:val="50A9203E"/>
    <w:rsid w:val="50AD434A"/>
    <w:rsid w:val="50E7551B"/>
    <w:rsid w:val="50F43794"/>
    <w:rsid w:val="50F46845"/>
    <w:rsid w:val="50F945BD"/>
    <w:rsid w:val="50FE0AB7"/>
    <w:rsid w:val="51031C29"/>
    <w:rsid w:val="510324B6"/>
    <w:rsid w:val="510C47A6"/>
    <w:rsid w:val="511C2DB0"/>
    <w:rsid w:val="51214753"/>
    <w:rsid w:val="51501312"/>
    <w:rsid w:val="515F72D3"/>
    <w:rsid w:val="51757670"/>
    <w:rsid w:val="51783D18"/>
    <w:rsid w:val="517F171C"/>
    <w:rsid w:val="51887260"/>
    <w:rsid w:val="518C60C3"/>
    <w:rsid w:val="51A16977"/>
    <w:rsid w:val="51A96C75"/>
    <w:rsid w:val="51AD7254"/>
    <w:rsid w:val="51C821FB"/>
    <w:rsid w:val="51D56ACC"/>
    <w:rsid w:val="51D80BC2"/>
    <w:rsid w:val="51DA6ECC"/>
    <w:rsid w:val="51DC0810"/>
    <w:rsid w:val="51E876ED"/>
    <w:rsid w:val="51FA4041"/>
    <w:rsid w:val="51FE25E7"/>
    <w:rsid w:val="51FE6928"/>
    <w:rsid w:val="520659B5"/>
    <w:rsid w:val="52162AE8"/>
    <w:rsid w:val="521851FB"/>
    <w:rsid w:val="522C1839"/>
    <w:rsid w:val="524E37F1"/>
    <w:rsid w:val="525B0222"/>
    <w:rsid w:val="525C5A95"/>
    <w:rsid w:val="528B616D"/>
    <w:rsid w:val="528F321F"/>
    <w:rsid w:val="528F4626"/>
    <w:rsid w:val="529349EF"/>
    <w:rsid w:val="52A62E39"/>
    <w:rsid w:val="52A755B4"/>
    <w:rsid w:val="52E20728"/>
    <w:rsid w:val="531C490D"/>
    <w:rsid w:val="532D64BA"/>
    <w:rsid w:val="53342AA8"/>
    <w:rsid w:val="5334431C"/>
    <w:rsid w:val="53441756"/>
    <w:rsid w:val="534E487F"/>
    <w:rsid w:val="53511372"/>
    <w:rsid w:val="535E583D"/>
    <w:rsid w:val="535F501E"/>
    <w:rsid w:val="536A6329"/>
    <w:rsid w:val="537A0922"/>
    <w:rsid w:val="538D1507"/>
    <w:rsid w:val="53A042C7"/>
    <w:rsid w:val="53A32785"/>
    <w:rsid w:val="53AA4301"/>
    <w:rsid w:val="53AE2320"/>
    <w:rsid w:val="53B13BBE"/>
    <w:rsid w:val="53BE6F23"/>
    <w:rsid w:val="53C25DCC"/>
    <w:rsid w:val="53C40496"/>
    <w:rsid w:val="53C86EC7"/>
    <w:rsid w:val="53DE61DE"/>
    <w:rsid w:val="53FA5565"/>
    <w:rsid w:val="54065CB8"/>
    <w:rsid w:val="54093709"/>
    <w:rsid w:val="541A1764"/>
    <w:rsid w:val="541F6D7A"/>
    <w:rsid w:val="5440557B"/>
    <w:rsid w:val="544922B2"/>
    <w:rsid w:val="5472334E"/>
    <w:rsid w:val="54753CB1"/>
    <w:rsid w:val="5475464C"/>
    <w:rsid w:val="54956B25"/>
    <w:rsid w:val="54964D0C"/>
    <w:rsid w:val="549C661D"/>
    <w:rsid w:val="54AC14AF"/>
    <w:rsid w:val="54AE6894"/>
    <w:rsid w:val="54D013A5"/>
    <w:rsid w:val="54E34DD2"/>
    <w:rsid w:val="54ED0C26"/>
    <w:rsid w:val="55022203"/>
    <w:rsid w:val="550D751A"/>
    <w:rsid w:val="55125964"/>
    <w:rsid w:val="55241313"/>
    <w:rsid w:val="553920BD"/>
    <w:rsid w:val="5539480A"/>
    <w:rsid w:val="553F4386"/>
    <w:rsid w:val="555850FB"/>
    <w:rsid w:val="55623C99"/>
    <w:rsid w:val="55711857"/>
    <w:rsid w:val="558A2919"/>
    <w:rsid w:val="55973112"/>
    <w:rsid w:val="559E4158"/>
    <w:rsid w:val="55B36146"/>
    <w:rsid w:val="55D43B94"/>
    <w:rsid w:val="55DB1188"/>
    <w:rsid w:val="55F06F67"/>
    <w:rsid w:val="56177B8E"/>
    <w:rsid w:val="562077D1"/>
    <w:rsid w:val="562468CA"/>
    <w:rsid w:val="562543F0"/>
    <w:rsid w:val="563E61DD"/>
    <w:rsid w:val="56436530"/>
    <w:rsid w:val="565A22EB"/>
    <w:rsid w:val="56661FDE"/>
    <w:rsid w:val="569533E6"/>
    <w:rsid w:val="56CA1CA8"/>
    <w:rsid w:val="56D76D1D"/>
    <w:rsid w:val="571649DB"/>
    <w:rsid w:val="571F5C9C"/>
    <w:rsid w:val="57212E09"/>
    <w:rsid w:val="5729315F"/>
    <w:rsid w:val="572FDFFB"/>
    <w:rsid w:val="57873868"/>
    <w:rsid w:val="57A557E8"/>
    <w:rsid w:val="57B1532A"/>
    <w:rsid w:val="57BA0EE9"/>
    <w:rsid w:val="57C11A2E"/>
    <w:rsid w:val="57C66325"/>
    <w:rsid w:val="57D52012"/>
    <w:rsid w:val="57DD1426"/>
    <w:rsid w:val="57E00F16"/>
    <w:rsid w:val="5806097D"/>
    <w:rsid w:val="581A68D6"/>
    <w:rsid w:val="58205F30"/>
    <w:rsid w:val="582E3A30"/>
    <w:rsid w:val="583B503A"/>
    <w:rsid w:val="5847689F"/>
    <w:rsid w:val="58615BB3"/>
    <w:rsid w:val="586424C6"/>
    <w:rsid w:val="5881407B"/>
    <w:rsid w:val="58A77CC7"/>
    <w:rsid w:val="58B27605"/>
    <w:rsid w:val="58B54EB4"/>
    <w:rsid w:val="58CE61B8"/>
    <w:rsid w:val="58E42460"/>
    <w:rsid w:val="58FC5D11"/>
    <w:rsid w:val="59092A13"/>
    <w:rsid w:val="591E004A"/>
    <w:rsid w:val="592150AB"/>
    <w:rsid w:val="592C0019"/>
    <w:rsid w:val="594A2AEB"/>
    <w:rsid w:val="595C79E9"/>
    <w:rsid w:val="597523AC"/>
    <w:rsid w:val="5982454D"/>
    <w:rsid w:val="59853B23"/>
    <w:rsid w:val="5991301D"/>
    <w:rsid w:val="599E0B89"/>
    <w:rsid w:val="59AC021F"/>
    <w:rsid w:val="59AC5554"/>
    <w:rsid w:val="59AE7975"/>
    <w:rsid w:val="59E4701D"/>
    <w:rsid w:val="59FE4108"/>
    <w:rsid w:val="5A167F69"/>
    <w:rsid w:val="5A6146D4"/>
    <w:rsid w:val="5A690D4F"/>
    <w:rsid w:val="5A72070E"/>
    <w:rsid w:val="5A7E2423"/>
    <w:rsid w:val="5A9E1782"/>
    <w:rsid w:val="5AA1673B"/>
    <w:rsid w:val="5AA17965"/>
    <w:rsid w:val="5AA343DE"/>
    <w:rsid w:val="5AA72548"/>
    <w:rsid w:val="5AB41688"/>
    <w:rsid w:val="5AD15852"/>
    <w:rsid w:val="5AE0542B"/>
    <w:rsid w:val="5AE8436A"/>
    <w:rsid w:val="5B024F63"/>
    <w:rsid w:val="5B1A473F"/>
    <w:rsid w:val="5B474B17"/>
    <w:rsid w:val="5B4D0671"/>
    <w:rsid w:val="5B5C30D9"/>
    <w:rsid w:val="5B5D1377"/>
    <w:rsid w:val="5B74135F"/>
    <w:rsid w:val="5B7C23AD"/>
    <w:rsid w:val="5B842AFA"/>
    <w:rsid w:val="5B8E6262"/>
    <w:rsid w:val="5BB65462"/>
    <w:rsid w:val="5BC0166E"/>
    <w:rsid w:val="5BC873AD"/>
    <w:rsid w:val="5BCC5A39"/>
    <w:rsid w:val="5BE54DD4"/>
    <w:rsid w:val="5BEE0A0C"/>
    <w:rsid w:val="5BEF2C47"/>
    <w:rsid w:val="5BF65F0E"/>
    <w:rsid w:val="5C0056E3"/>
    <w:rsid w:val="5C157C3D"/>
    <w:rsid w:val="5C264C6B"/>
    <w:rsid w:val="5C511472"/>
    <w:rsid w:val="5C5D0D87"/>
    <w:rsid w:val="5C69772C"/>
    <w:rsid w:val="5C6A06F9"/>
    <w:rsid w:val="5CDA7375"/>
    <w:rsid w:val="5D1256CE"/>
    <w:rsid w:val="5D12706A"/>
    <w:rsid w:val="5D184CAE"/>
    <w:rsid w:val="5D286001"/>
    <w:rsid w:val="5D3C2CA3"/>
    <w:rsid w:val="5D611C19"/>
    <w:rsid w:val="5D717AD4"/>
    <w:rsid w:val="5D8D2FA6"/>
    <w:rsid w:val="5D9B1B67"/>
    <w:rsid w:val="5DA12EF6"/>
    <w:rsid w:val="5DB7560A"/>
    <w:rsid w:val="5DC436B8"/>
    <w:rsid w:val="5DDC7A8A"/>
    <w:rsid w:val="5E1004D4"/>
    <w:rsid w:val="5E224037"/>
    <w:rsid w:val="5E374CC4"/>
    <w:rsid w:val="5E4D7439"/>
    <w:rsid w:val="5E513A14"/>
    <w:rsid w:val="5E6072E2"/>
    <w:rsid w:val="5E7423B8"/>
    <w:rsid w:val="5E7F0087"/>
    <w:rsid w:val="5EAA5DDA"/>
    <w:rsid w:val="5F052720"/>
    <w:rsid w:val="5F1143CA"/>
    <w:rsid w:val="5F182D44"/>
    <w:rsid w:val="5F1D2CC5"/>
    <w:rsid w:val="5F3B2EE0"/>
    <w:rsid w:val="5F412CCB"/>
    <w:rsid w:val="5F4A37BA"/>
    <w:rsid w:val="5F4B1D33"/>
    <w:rsid w:val="5F602F3B"/>
    <w:rsid w:val="5F696909"/>
    <w:rsid w:val="5F8B5C0B"/>
    <w:rsid w:val="5FA0016C"/>
    <w:rsid w:val="5FA95D98"/>
    <w:rsid w:val="5FB87DC0"/>
    <w:rsid w:val="5FDB1B85"/>
    <w:rsid w:val="5FF12110"/>
    <w:rsid w:val="5FFA1A80"/>
    <w:rsid w:val="6026216E"/>
    <w:rsid w:val="60384BB0"/>
    <w:rsid w:val="6048306A"/>
    <w:rsid w:val="60551AE8"/>
    <w:rsid w:val="60812073"/>
    <w:rsid w:val="608B2891"/>
    <w:rsid w:val="60CE65D8"/>
    <w:rsid w:val="60D8177D"/>
    <w:rsid w:val="60E26F17"/>
    <w:rsid w:val="60E530F9"/>
    <w:rsid w:val="60FE1DAC"/>
    <w:rsid w:val="610C0686"/>
    <w:rsid w:val="611814CD"/>
    <w:rsid w:val="61227EAA"/>
    <w:rsid w:val="61237BDA"/>
    <w:rsid w:val="61373626"/>
    <w:rsid w:val="613D702D"/>
    <w:rsid w:val="61564616"/>
    <w:rsid w:val="615A3AE7"/>
    <w:rsid w:val="616FA822"/>
    <w:rsid w:val="61700C15"/>
    <w:rsid w:val="61931CFF"/>
    <w:rsid w:val="61A51198"/>
    <w:rsid w:val="61A61ABC"/>
    <w:rsid w:val="61AA57FD"/>
    <w:rsid w:val="61C3608D"/>
    <w:rsid w:val="61D449FD"/>
    <w:rsid w:val="61EA6C19"/>
    <w:rsid w:val="61FF47EB"/>
    <w:rsid w:val="62010476"/>
    <w:rsid w:val="621912AD"/>
    <w:rsid w:val="623C577D"/>
    <w:rsid w:val="62431DEB"/>
    <w:rsid w:val="626563AE"/>
    <w:rsid w:val="627D7A8D"/>
    <w:rsid w:val="628F6AB4"/>
    <w:rsid w:val="629B4A3A"/>
    <w:rsid w:val="62A4517E"/>
    <w:rsid w:val="62C35261"/>
    <w:rsid w:val="62CE653B"/>
    <w:rsid w:val="62DB7699"/>
    <w:rsid w:val="63141A74"/>
    <w:rsid w:val="631C21EA"/>
    <w:rsid w:val="632A031D"/>
    <w:rsid w:val="6335070C"/>
    <w:rsid w:val="63417B21"/>
    <w:rsid w:val="634B193A"/>
    <w:rsid w:val="634D1C25"/>
    <w:rsid w:val="635051A2"/>
    <w:rsid w:val="63743970"/>
    <w:rsid w:val="637D2EA8"/>
    <w:rsid w:val="6398386E"/>
    <w:rsid w:val="63A6328D"/>
    <w:rsid w:val="63BF5BFD"/>
    <w:rsid w:val="63D12ED6"/>
    <w:rsid w:val="64002A47"/>
    <w:rsid w:val="64C360B1"/>
    <w:rsid w:val="64C83E3F"/>
    <w:rsid w:val="64CD50E0"/>
    <w:rsid w:val="64DE67DD"/>
    <w:rsid w:val="64E262CE"/>
    <w:rsid w:val="65150451"/>
    <w:rsid w:val="651A129D"/>
    <w:rsid w:val="654835A2"/>
    <w:rsid w:val="654F24CC"/>
    <w:rsid w:val="6568776F"/>
    <w:rsid w:val="6570115F"/>
    <w:rsid w:val="658B0713"/>
    <w:rsid w:val="658F7A95"/>
    <w:rsid w:val="6597202D"/>
    <w:rsid w:val="65C23A09"/>
    <w:rsid w:val="660109D5"/>
    <w:rsid w:val="660B04C3"/>
    <w:rsid w:val="66424A71"/>
    <w:rsid w:val="66657281"/>
    <w:rsid w:val="66666A8A"/>
    <w:rsid w:val="66747AEA"/>
    <w:rsid w:val="668C57A5"/>
    <w:rsid w:val="66933D39"/>
    <w:rsid w:val="66A80C71"/>
    <w:rsid w:val="66B34B1A"/>
    <w:rsid w:val="66CA0DC7"/>
    <w:rsid w:val="66F4087B"/>
    <w:rsid w:val="66FC4BB5"/>
    <w:rsid w:val="67025CDB"/>
    <w:rsid w:val="671250BE"/>
    <w:rsid w:val="67304209"/>
    <w:rsid w:val="67502CED"/>
    <w:rsid w:val="67507DFE"/>
    <w:rsid w:val="678101D3"/>
    <w:rsid w:val="679748F4"/>
    <w:rsid w:val="679B1A07"/>
    <w:rsid w:val="67B101D9"/>
    <w:rsid w:val="67B43A32"/>
    <w:rsid w:val="67C021CA"/>
    <w:rsid w:val="67CC5FEE"/>
    <w:rsid w:val="67D86D97"/>
    <w:rsid w:val="67E03CF7"/>
    <w:rsid w:val="67ED0393"/>
    <w:rsid w:val="67F34DB9"/>
    <w:rsid w:val="67FC6EC0"/>
    <w:rsid w:val="683354A5"/>
    <w:rsid w:val="6847760C"/>
    <w:rsid w:val="685B3037"/>
    <w:rsid w:val="68607B04"/>
    <w:rsid w:val="68695928"/>
    <w:rsid w:val="686A4292"/>
    <w:rsid w:val="68925915"/>
    <w:rsid w:val="68A35D74"/>
    <w:rsid w:val="68B206F2"/>
    <w:rsid w:val="68B271EF"/>
    <w:rsid w:val="68B41D2F"/>
    <w:rsid w:val="68D979E8"/>
    <w:rsid w:val="68F46F92"/>
    <w:rsid w:val="68FC5484"/>
    <w:rsid w:val="6908207B"/>
    <w:rsid w:val="69241D36"/>
    <w:rsid w:val="69356425"/>
    <w:rsid w:val="693B41FE"/>
    <w:rsid w:val="6951757E"/>
    <w:rsid w:val="698121E1"/>
    <w:rsid w:val="698767DA"/>
    <w:rsid w:val="698A6990"/>
    <w:rsid w:val="698C4A5A"/>
    <w:rsid w:val="69A93E3A"/>
    <w:rsid w:val="69B0699A"/>
    <w:rsid w:val="69C24906"/>
    <w:rsid w:val="69C50153"/>
    <w:rsid w:val="69C62E4D"/>
    <w:rsid w:val="6A0E4085"/>
    <w:rsid w:val="6A1F142A"/>
    <w:rsid w:val="6A2B6021"/>
    <w:rsid w:val="6A3F1ACC"/>
    <w:rsid w:val="6A3F752B"/>
    <w:rsid w:val="6A4A74EB"/>
    <w:rsid w:val="6A6E4B91"/>
    <w:rsid w:val="6A862D8D"/>
    <w:rsid w:val="6A876FCF"/>
    <w:rsid w:val="6A8F74E9"/>
    <w:rsid w:val="6A903968"/>
    <w:rsid w:val="6A94279C"/>
    <w:rsid w:val="6AA4194C"/>
    <w:rsid w:val="6AA45B1D"/>
    <w:rsid w:val="6AC41FD2"/>
    <w:rsid w:val="6ACC0D58"/>
    <w:rsid w:val="6AD60633"/>
    <w:rsid w:val="6ADB7C44"/>
    <w:rsid w:val="6AE0319E"/>
    <w:rsid w:val="6B2F26BB"/>
    <w:rsid w:val="6B3161A2"/>
    <w:rsid w:val="6B45664F"/>
    <w:rsid w:val="6B4B3B36"/>
    <w:rsid w:val="6B653436"/>
    <w:rsid w:val="6B8952EA"/>
    <w:rsid w:val="6B93203D"/>
    <w:rsid w:val="6BA253AC"/>
    <w:rsid w:val="6BBE700E"/>
    <w:rsid w:val="6BC24763"/>
    <w:rsid w:val="6BD87EC3"/>
    <w:rsid w:val="6BDB141A"/>
    <w:rsid w:val="6BF92204"/>
    <w:rsid w:val="6C0A7EB8"/>
    <w:rsid w:val="6C101972"/>
    <w:rsid w:val="6C240F7A"/>
    <w:rsid w:val="6C403ED3"/>
    <w:rsid w:val="6C5775A1"/>
    <w:rsid w:val="6C865275"/>
    <w:rsid w:val="6C9E4512"/>
    <w:rsid w:val="6CBD0619"/>
    <w:rsid w:val="6CC55F83"/>
    <w:rsid w:val="6CCD1880"/>
    <w:rsid w:val="6CCD403F"/>
    <w:rsid w:val="6CCF756B"/>
    <w:rsid w:val="6CD26C28"/>
    <w:rsid w:val="6CD96208"/>
    <w:rsid w:val="6D07402E"/>
    <w:rsid w:val="6D2D20B0"/>
    <w:rsid w:val="6D3F2A1F"/>
    <w:rsid w:val="6D69712B"/>
    <w:rsid w:val="6D884FF4"/>
    <w:rsid w:val="6D98555C"/>
    <w:rsid w:val="6DA60684"/>
    <w:rsid w:val="6DBE49B3"/>
    <w:rsid w:val="6DC9002B"/>
    <w:rsid w:val="6DC97105"/>
    <w:rsid w:val="6DCF28F8"/>
    <w:rsid w:val="6DE53E47"/>
    <w:rsid w:val="6DE83B08"/>
    <w:rsid w:val="6DEBF1F6"/>
    <w:rsid w:val="6DF37591"/>
    <w:rsid w:val="6DF901E4"/>
    <w:rsid w:val="6E0E3C8F"/>
    <w:rsid w:val="6E4F0014"/>
    <w:rsid w:val="6E6D28D0"/>
    <w:rsid w:val="6E731D44"/>
    <w:rsid w:val="6E741A47"/>
    <w:rsid w:val="6E883F1E"/>
    <w:rsid w:val="6EAE7001"/>
    <w:rsid w:val="6EAF354C"/>
    <w:rsid w:val="6EAF6E2C"/>
    <w:rsid w:val="6EB31D64"/>
    <w:rsid w:val="6EE35100"/>
    <w:rsid w:val="6F11681F"/>
    <w:rsid w:val="6F204DA3"/>
    <w:rsid w:val="6F3C63C0"/>
    <w:rsid w:val="6F4E5A1A"/>
    <w:rsid w:val="6F860DAC"/>
    <w:rsid w:val="6F982479"/>
    <w:rsid w:val="6FA47A73"/>
    <w:rsid w:val="6FA50029"/>
    <w:rsid w:val="6FA75C95"/>
    <w:rsid w:val="6FA80114"/>
    <w:rsid w:val="6FBD3BBF"/>
    <w:rsid w:val="6FC0372E"/>
    <w:rsid w:val="6FDE2D10"/>
    <w:rsid w:val="6FED0909"/>
    <w:rsid w:val="70225059"/>
    <w:rsid w:val="702D25E8"/>
    <w:rsid w:val="703178F4"/>
    <w:rsid w:val="70400DE9"/>
    <w:rsid w:val="7057618C"/>
    <w:rsid w:val="705B1B17"/>
    <w:rsid w:val="706B4D83"/>
    <w:rsid w:val="706E310B"/>
    <w:rsid w:val="709578E2"/>
    <w:rsid w:val="70B76860"/>
    <w:rsid w:val="70B95DE3"/>
    <w:rsid w:val="70BD4440"/>
    <w:rsid w:val="70C65071"/>
    <w:rsid w:val="70D63A6D"/>
    <w:rsid w:val="70D65056"/>
    <w:rsid w:val="70DB46B5"/>
    <w:rsid w:val="710E2ADF"/>
    <w:rsid w:val="710E6877"/>
    <w:rsid w:val="711F7C66"/>
    <w:rsid w:val="713006CC"/>
    <w:rsid w:val="71462053"/>
    <w:rsid w:val="71687B5B"/>
    <w:rsid w:val="71903405"/>
    <w:rsid w:val="71951725"/>
    <w:rsid w:val="71B47ED3"/>
    <w:rsid w:val="71B7463E"/>
    <w:rsid w:val="71BE777B"/>
    <w:rsid w:val="71C11019"/>
    <w:rsid w:val="71E97186"/>
    <w:rsid w:val="71FA1D14"/>
    <w:rsid w:val="71FD1FC3"/>
    <w:rsid w:val="72056069"/>
    <w:rsid w:val="72201C49"/>
    <w:rsid w:val="72220F73"/>
    <w:rsid w:val="724C2FD8"/>
    <w:rsid w:val="72591BBF"/>
    <w:rsid w:val="726C7C5A"/>
    <w:rsid w:val="727662A7"/>
    <w:rsid w:val="727F515C"/>
    <w:rsid w:val="72844E6E"/>
    <w:rsid w:val="729A78B6"/>
    <w:rsid w:val="72A65678"/>
    <w:rsid w:val="72B15531"/>
    <w:rsid w:val="72C135F3"/>
    <w:rsid w:val="72C472CE"/>
    <w:rsid w:val="72D32909"/>
    <w:rsid w:val="72D4094B"/>
    <w:rsid w:val="72E15E16"/>
    <w:rsid w:val="72EA2632"/>
    <w:rsid w:val="72F8545C"/>
    <w:rsid w:val="730151CF"/>
    <w:rsid w:val="73074A73"/>
    <w:rsid w:val="731070EB"/>
    <w:rsid w:val="733306C2"/>
    <w:rsid w:val="73495B3B"/>
    <w:rsid w:val="734B7734"/>
    <w:rsid w:val="73557921"/>
    <w:rsid w:val="73693599"/>
    <w:rsid w:val="73905BE7"/>
    <w:rsid w:val="73CC0127"/>
    <w:rsid w:val="73E03B48"/>
    <w:rsid w:val="73EB137D"/>
    <w:rsid w:val="73F11820"/>
    <w:rsid w:val="73F76ABD"/>
    <w:rsid w:val="73F97502"/>
    <w:rsid w:val="73FE47A6"/>
    <w:rsid w:val="74066B1E"/>
    <w:rsid w:val="74082F2F"/>
    <w:rsid w:val="74183D31"/>
    <w:rsid w:val="741C69DA"/>
    <w:rsid w:val="741E1BFE"/>
    <w:rsid w:val="74240E1B"/>
    <w:rsid w:val="7431446F"/>
    <w:rsid w:val="74420388"/>
    <w:rsid w:val="744B4216"/>
    <w:rsid w:val="746D21F2"/>
    <w:rsid w:val="7476433D"/>
    <w:rsid w:val="748501F3"/>
    <w:rsid w:val="748C4EDD"/>
    <w:rsid w:val="74A346D6"/>
    <w:rsid w:val="74A44C03"/>
    <w:rsid w:val="74B778DF"/>
    <w:rsid w:val="74BD52AA"/>
    <w:rsid w:val="74CB0B2C"/>
    <w:rsid w:val="74D112E5"/>
    <w:rsid w:val="74DA0950"/>
    <w:rsid w:val="74DD0860"/>
    <w:rsid w:val="74DF6386"/>
    <w:rsid w:val="74E20F01"/>
    <w:rsid w:val="74E8174A"/>
    <w:rsid w:val="74E92D60"/>
    <w:rsid w:val="7501454E"/>
    <w:rsid w:val="754A44EE"/>
    <w:rsid w:val="7552684E"/>
    <w:rsid w:val="75C27E53"/>
    <w:rsid w:val="75C37A55"/>
    <w:rsid w:val="75C6063F"/>
    <w:rsid w:val="75CB05D2"/>
    <w:rsid w:val="75CD2929"/>
    <w:rsid w:val="75E11C8A"/>
    <w:rsid w:val="75F43903"/>
    <w:rsid w:val="7616033E"/>
    <w:rsid w:val="762E2E73"/>
    <w:rsid w:val="7630676D"/>
    <w:rsid w:val="763B36D6"/>
    <w:rsid w:val="764255F5"/>
    <w:rsid w:val="764645E9"/>
    <w:rsid w:val="76576497"/>
    <w:rsid w:val="7682027A"/>
    <w:rsid w:val="768F0009"/>
    <w:rsid w:val="76980B7D"/>
    <w:rsid w:val="76AB48F0"/>
    <w:rsid w:val="76C46745"/>
    <w:rsid w:val="76D551C1"/>
    <w:rsid w:val="76DFE169"/>
    <w:rsid w:val="76E13E20"/>
    <w:rsid w:val="76FD73B4"/>
    <w:rsid w:val="770B2505"/>
    <w:rsid w:val="77127479"/>
    <w:rsid w:val="77244524"/>
    <w:rsid w:val="77327BEB"/>
    <w:rsid w:val="77463EC6"/>
    <w:rsid w:val="774E578D"/>
    <w:rsid w:val="7770413C"/>
    <w:rsid w:val="777D719A"/>
    <w:rsid w:val="778106F1"/>
    <w:rsid w:val="77974CF6"/>
    <w:rsid w:val="77A4638C"/>
    <w:rsid w:val="77A64F39"/>
    <w:rsid w:val="77AF1142"/>
    <w:rsid w:val="77C15F56"/>
    <w:rsid w:val="77D759BB"/>
    <w:rsid w:val="77E65C7D"/>
    <w:rsid w:val="77EC380F"/>
    <w:rsid w:val="77EDB23F"/>
    <w:rsid w:val="780453FB"/>
    <w:rsid w:val="781A1483"/>
    <w:rsid w:val="783D0ADF"/>
    <w:rsid w:val="784D2D5B"/>
    <w:rsid w:val="785C1A9B"/>
    <w:rsid w:val="787E5EB6"/>
    <w:rsid w:val="78844692"/>
    <w:rsid w:val="788A279B"/>
    <w:rsid w:val="7891721F"/>
    <w:rsid w:val="789351B2"/>
    <w:rsid w:val="78A74633"/>
    <w:rsid w:val="78B42C73"/>
    <w:rsid w:val="78B557A2"/>
    <w:rsid w:val="78EA0D27"/>
    <w:rsid w:val="78F63971"/>
    <w:rsid w:val="79053EE1"/>
    <w:rsid w:val="79057639"/>
    <w:rsid w:val="79144B15"/>
    <w:rsid w:val="79167E9C"/>
    <w:rsid w:val="79172B8D"/>
    <w:rsid w:val="79397A89"/>
    <w:rsid w:val="794B63CD"/>
    <w:rsid w:val="795804B5"/>
    <w:rsid w:val="79865022"/>
    <w:rsid w:val="79876FEC"/>
    <w:rsid w:val="79896ECD"/>
    <w:rsid w:val="79933AB3"/>
    <w:rsid w:val="79B46E0B"/>
    <w:rsid w:val="79C23A0C"/>
    <w:rsid w:val="79C44C90"/>
    <w:rsid w:val="79EC60DE"/>
    <w:rsid w:val="7A021BFF"/>
    <w:rsid w:val="7A0D2A14"/>
    <w:rsid w:val="7A1C1079"/>
    <w:rsid w:val="7A2B12FD"/>
    <w:rsid w:val="7A2B7A72"/>
    <w:rsid w:val="7A353F4C"/>
    <w:rsid w:val="7A4D60A8"/>
    <w:rsid w:val="7A8E38EB"/>
    <w:rsid w:val="7AAC0272"/>
    <w:rsid w:val="7AC85C6E"/>
    <w:rsid w:val="7AD00E12"/>
    <w:rsid w:val="7AD2630C"/>
    <w:rsid w:val="7AD30729"/>
    <w:rsid w:val="7AD713EC"/>
    <w:rsid w:val="7AE5221C"/>
    <w:rsid w:val="7AE6195B"/>
    <w:rsid w:val="7AEA7832"/>
    <w:rsid w:val="7AED5D2F"/>
    <w:rsid w:val="7AEF348D"/>
    <w:rsid w:val="7AF23F4E"/>
    <w:rsid w:val="7AF35C29"/>
    <w:rsid w:val="7AF6345E"/>
    <w:rsid w:val="7AF73BB1"/>
    <w:rsid w:val="7B1161DE"/>
    <w:rsid w:val="7B2A7AB2"/>
    <w:rsid w:val="7B363DDA"/>
    <w:rsid w:val="7B4D5F03"/>
    <w:rsid w:val="7B5F279B"/>
    <w:rsid w:val="7B7728B3"/>
    <w:rsid w:val="7BA76264"/>
    <w:rsid w:val="7BE02FE7"/>
    <w:rsid w:val="7BF362D1"/>
    <w:rsid w:val="7BFED309"/>
    <w:rsid w:val="7C0B5608"/>
    <w:rsid w:val="7C14742A"/>
    <w:rsid w:val="7C286EE2"/>
    <w:rsid w:val="7C2D7CB4"/>
    <w:rsid w:val="7C2E19A1"/>
    <w:rsid w:val="7C4C1FA8"/>
    <w:rsid w:val="7C6A1F51"/>
    <w:rsid w:val="7C716ECD"/>
    <w:rsid w:val="7C7E6484"/>
    <w:rsid w:val="7C924A10"/>
    <w:rsid w:val="7C933F89"/>
    <w:rsid w:val="7C9F1187"/>
    <w:rsid w:val="7CD97D75"/>
    <w:rsid w:val="7CF13169"/>
    <w:rsid w:val="7CF90201"/>
    <w:rsid w:val="7CFF725B"/>
    <w:rsid w:val="7D0724BE"/>
    <w:rsid w:val="7D09756E"/>
    <w:rsid w:val="7D376C50"/>
    <w:rsid w:val="7D687495"/>
    <w:rsid w:val="7D72074B"/>
    <w:rsid w:val="7D8619E4"/>
    <w:rsid w:val="7DA0067C"/>
    <w:rsid w:val="7DAC53D4"/>
    <w:rsid w:val="7DB14637"/>
    <w:rsid w:val="7DD520D4"/>
    <w:rsid w:val="7DE642E1"/>
    <w:rsid w:val="7DF05160"/>
    <w:rsid w:val="7DF31B34"/>
    <w:rsid w:val="7E0B4C19"/>
    <w:rsid w:val="7E0D0849"/>
    <w:rsid w:val="7E2E0D6D"/>
    <w:rsid w:val="7E3D6A20"/>
    <w:rsid w:val="7E401BFE"/>
    <w:rsid w:val="7E4071C8"/>
    <w:rsid w:val="7E470270"/>
    <w:rsid w:val="7E5D031B"/>
    <w:rsid w:val="7E7A068D"/>
    <w:rsid w:val="7E850DA4"/>
    <w:rsid w:val="7E8F758A"/>
    <w:rsid w:val="7E9F5431"/>
    <w:rsid w:val="7EA366AD"/>
    <w:rsid w:val="7EB45EFD"/>
    <w:rsid w:val="7EBB69EA"/>
    <w:rsid w:val="7EDB2CA8"/>
    <w:rsid w:val="7EF24F07"/>
    <w:rsid w:val="7F1135E0"/>
    <w:rsid w:val="7F132C9F"/>
    <w:rsid w:val="7F285F21"/>
    <w:rsid w:val="7F364DF4"/>
    <w:rsid w:val="7F382028"/>
    <w:rsid w:val="7F5B2DA2"/>
    <w:rsid w:val="7F5D5F2E"/>
    <w:rsid w:val="7F6C4CBA"/>
    <w:rsid w:val="7F6DED5A"/>
    <w:rsid w:val="7F833617"/>
    <w:rsid w:val="7F8C2C66"/>
    <w:rsid w:val="7FAB3A34"/>
    <w:rsid w:val="7FB35C82"/>
    <w:rsid w:val="7FB56E3C"/>
    <w:rsid w:val="7FB8958F"/>
    <w:rsid w:val="7FD8D8E9"/>
    <w:rsid w:val="7FDC5C54"/>
    <w:rsid w:val="7FE55BF2"/>
    <w:rsid w:val="7FE7399E"/>
    <w:rsid w:val="7FFBA627"/>
    <w:rsid w:val="7FFE2EEE"/>
    <w:rsid w:val="8BEFB65F"/>
    <w:rsid w:val="8D5B321A"/>
    <w:rsid w:val="9CEFF152"/>
    <w:rsid w:val="AAFF3670"/>
    <w:rsid w:val="AFD73904"/>
    <w:rsid w:val="B3BDA582"/>
    <w:rsid w:val="B7EE4035"/>
    <w:rsid w:val="BEEF597E"/>
    <w:rsid w:val="BF2C6833"/>
    <w:rsid w:val="BFF76978"/>
    <w:rsid w:val="C77B86BA"/>
    <w:rsid w:val="CE7C431C"/>
    <w:rsid w:val="D577197E"/>
    <w:rsid w:val="DBF7E88B"/>
    <w:rsid w:val="DDDF78C5"/>
    <w:rsid w:val="DFF314D1"/>
    <w:rsid w:val="ECEFD9DB"/>
    <w:rsid w:val="EF7FB0D7"/>
    <w:rsid w:val="EFB785F1"/>
    <w:rsid w:val="EFFF91F3"/>
    <w:rsid w:val="F4BE2FD4"/>
    <w:rsid w:val="F71C7AEE"/>
    <w:rsid w:val="F7DEDF70"/>
    <w:rsid w:val="F7FDB24C"/>
    <w:rsid w:val="F977FEAA"/>
    <w:rsid w:val="FB7C3BA2"/>
    <w:rsid w:val="FB9F1C5E"/>
    <w:rsid w:val="FE6B2A0D"/>
    <w:rsid w:val="FFA1853D"/>
    <w:rsid w:val="FFD75506"/>
    <w:rsid w:val="FFFF16C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80" w:firstLineChars="200"/>
      <w:outlineLvl w:val="0"/>
    </w:pPr>
    <w:rPr>
      <w:rFonts w:eastAsia="黑体"/>
      <w:b/>
      <w:kern w:val="44"/>
      <w:sz w:val="32"/>
    </w:rPr>
  </w:style>
  <w:style w:type="paragraph" w:styleId="3">
    <w:name w:val="heading 2"/>
    <w:basedOn w:val="1"/>
    <w:next w:val="1"/>
    <w:unhideWhenUsed/>
    <w:qFormat/>
    <w:uiPriority w:val="9"/>
    <w:pPr>
      <w:keepLines/>
      <w:spacing w:line="600" w:lineRule="exact"/>
      <w:ind w:firstLine="880" w:firstLineChars="200"/>
      <w:jc w:val="both"/>
      <w:outlineLvl w:val="1"/>
    </w:pPr>
    <w:rPr>
      <w:rFonts w:ascii="Calibri Light" w:hAnsi="Calibri Light" w:eastAsia="楷体_GB2312"/>
      <w:b/>
      <w:bCs/>
      <w:sz w:val="32"/>
      <w:szCs w:val="32"/>
    </w:rPr>
  </w:style>
  <w:style w:type="paragraph" w:styleId="4">
    <w:name w:val="heading 3"/>
    <w:basedOn w:val="1"/>
    <w:next w:val="1"/>
    <w:link w:val="48"/>
    <w:unhideWhenUsed/>
    <w:qFormat/>
    <w:uiPriority w:val="0"/>
    <w:pPr>
      <w:keepNext/>
      <w:keepLines/>
      <w:spacing w:beforeLines="0" w:beforeAutospacing="0" w:afterLines="0" w:afterAutospacing="0" w:line="600" w:lineRule="exact"/>
      <w:outlineLvl w:val="2"/>
    </w:pPr>
    <w:rPr>
      <w:b/>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6">
    <w:name w:val="table of authorities"/>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7">
    <w:name w:val="index 5"/>
    <w:next w:val="1"/>
    <w:qFormat/>
    <w:uiPriority w:val="0"/>
    <w:pPr>
      <w:widowControl w:val="0"/>
      <w:spacing w:line="600" w:lineRule="exact"/>
      <w:ind w:left="1680" w:firstLine="200" w:firstLineChars="200"/>
      <w:jc w:val="center"/>
    </w:pPr>
    <w:rPr>
      <w:rFonts w:ascii="楷体" w:hAnsi="Calibri" w:eastAsia="楷体" w:cs="Times New Roman"/>
      <w:kern w:val="2"/>
      <w:sz w:val="32"/>
      <w:szCs w:val="32"/>
      <w:lang w:val="en-US" w:eastAsia="zh-CN" w:bidi="ar-SA"/>
    </w:rPr>
  </w:style>
  <w:style w:type="paragraph" w:styleId="8">
    <w:name w:val="annotation text"/>
    <w:basedOn w:val="1"/>
    <w:qFormat/>
    <w:uiPriority w:val="0"/>
    <w:pPr>
      <w:jc w:val="left"/>
    </w:pPr>
  </w:style>
  <w:style w:type="paragraph" w:styleId="9">
    <w:name w:val="Body Text"/>
    <w:basedOn w:val="1"/>
    <w:unhideWhenUsed/>
    <w:qFormat/>
    <w:uiPriority w:val="99"/>
    <w:pPr>
      <w:widowControl w:val="0"/>
      <w:spacing w:before="100" w:beforeAutospacing="1" w:after="120"/>
      <w:jc w:val="both"/>
    </w:pPr>
    <w:rPr>
      <w:rFonts w:ascii="等线" w:hAnsi="等线" w:eastAsia="等线" w:cs="Times New Roman"/>
      <w:kern w:val="2"/>
      <w:sz w:val="21"/>
      <w:szCs w:val="21"/>
    </w:rPr>
  </w:style>
  <w:style w:type="paragraph" w:styleId="10">
    <w:name w:val="Body Text Indent"/>
    <w:basedOn w:val="1"/>
    <w:next w:val="11"/>
    <w:unhideWhenUsed/>
    <w:qFormat/>
    <w:uiPriority w:val="99"/>
    <w:pPr>
      <w:spacing w:after="120"/>
      <w:ind w:left="420" w:leftChars="200"/>
    </w:pPr>
  </w:style>
  <w:style w:type="paragraph" w:styleId="11">
    <w:name w:val="Body Text Indent 2"/>
    <w:basedOn w:val="1"/>
    <w:next w:val="1"/>
    <w:qFormat/>
    <w:uiPriority w:val="0"/>
    <w:pPr>
      <w:spacing w:after="120" w:line="480" w:lineRule="auto"/>
      <w:ind w:left="200" w:leftChars="200"/>
    </w:pPr>
    <w:rPr>
      <w:rFonts w:ascii="Times New Roman" w:hAnsi="Times New Roman" w:eastAsia="宋体" w:cs="Times New Roman"/>
    </w:rPr>
  </w:style>
  <w:style w:type="paragraph" w:styleId="12">
    <w:name w:val="Plain Text"/>
    <w:basedOn w:val="1"/>
    <w:unhideWhenUsed/>
    <w:qFormat/>
    <w:uiPriority w:val="99"/>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footnote text"/>
    <w:basedOn w:val="1"/>
    <w:qFormat/>
    <w:uiPriority w:val="0"/>
    <w:pPr>
      <w:snapToGrid w:val="0"/>
      <w:jc w:val="left"/>
    </w:pPr>
    <w:rPr>
      <w:rFonts w:ascii="Calibri" w:hAnsi="Calibri"/>
      <w:sz w:val="18"/>
      <w:szCs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Title"/>
    <w:basedOn w:val="1"/>
    <w:next w:val="1"/>
    <w:qFormat/>
    <w:uiPriority w:val="0"/>
    <w:pPr>
      <w:widowControl/>
      <w:snapToGrid w:val="0"/>
      <w:spacing w:before="240" w:after="60"/>
      <w:jc w:val="center"/>
      <w:textAlignment w:val="baseline"/>
    </w:pPr>
    <w:rPr>
      <w:rFonts w:ascii="Arial" w:hAnsi="Arial" w:eastAsia="微软雅黑"/>
      <w:b/>
      <w:sz w:val="32"/>
    </w:rPr>
  </w:style>
  <w:style w:type="paragraph" w:styleId="20">
    <w:name w:val="annotation subject"/>
    <w:basedOn w:val="8"/>
    <w:next w:val="1"/>
    <w:unhideWhenUsed/>
    <w:qFormat/>
    <w:uiPriority w:val="0"/>
    <w:rPr>
      <w:b/>
      <w:bCs/>
    </w:rPr>
  </w:style>
  <w:style w:type="paragraph" w:styleId="21">
    <w:name w:val="Body Text First Indent 2"/>
    <w:basedOn w:val="10"/>
    <w:next w:val="19"/>
    <w:unhideWhenUsed/>
    <w:qFormat/>
    <w:uiPriority w:val="99"/>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Heading2"/>
    <w:basedOn w:val="1"/>
    <w:next w:val="1"/>
    <w:qFormat/>
    <w:uiPriority w:val="0"/>
    <w:pPr>
      <w:keepNext/>
      <w:keepLines/>
      <w:spacing w:line="416" w:lineRule="auto"/>
      <w:textAlignment w:val="baseline"/>
    </w:pPr>
    <w:rPr>
      <w:rFonts w:ascii="Calibri Light" w:hAnsi="Calibri Light" w:cs="Calibri Light"/>
      <w:b/>
      <w:bCs/>
      <w:sz w:val="32"/>
      <w:szCs w:val="32"/>
    </w:rPr>
  </w:style>
  <w:style w:type="paragraph" w:customStyle="1" w:styleId="28">
    <w:name w:val="正文1"/>
    <w:basedOn w:val="1"/>
    <w:qFormat/>
    <w:uiPriority w:val="0"/>
    <w:pPr>
      <w:spacing w:line="360" w:lineRule="auto"/>
      <w:ind w:firstLine="480"/>
    </w:pPr>
    <w:rPr>
      <w:rFonts w:eastAsia="宋体"/>
      <w:sz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font21"/>
    <w:basedOn w:val="24"/>
    <w:qFormat/>
    <w:uiPriority w:val="0"/>
    <w:rPr>
      <w:rFonts w:hint="eastAsia" w:ascii="宋体" w:hAnsi="宋体" w:eastAsia="宋体" w:cs="宋体"/>
      <w:color w:val="000000"/>
      <w:sz w:val="20"/>
      <w:szCs w:val="20"/>
      <w:u w:val="none"/>
    </w:rPr>
  </w:style>
  <w:style w:type="character" w:customStyle="1" w:styleId="32">
    <w:name w:val="font11"/>
    <w:basedOn w:val="24"/>
    <w:qFormat/>
    <w:uiPriority w:val="0"/>
    <w:rPr>
      <w:rFonts w:hint="default" w:ascii="Arial" w:hAnsi="Arial" w:cs="Arial"/>
      <w:color w:val="000000"/>
      <w:sz w:val="20"/>
      <w:szCs w:val="20"/>
      <w:u w:val="none"/>
    </w:rPr>
  </w:style>
  <w:style w:type="character" w:customStyle="1" w:styleId="33">
    <w:name w:val="font51"/>
    <w:basedOn w:val="24"/>
    <w:qFormat/>
    <w:uiPriority w:val="0"/>
    <w:rPr>
      <w:rFonts w:ascii="仿宋_GB2312" w:eastAsia="仿宋_GB2312" w:cs="仿宋_GB2312"/>
      <w:b/>
      <w:bCs/>
      <w:color w:val="000000"/>
      <w:sz w:val="20"/>
      <w:szCs w:val="20"/>
      <w:u w:val="none"/>
    </w:rPr>
  </w:style>
  <w:style w:type="character" w:customStyle="1" w:styleId="34">
    <w:name w:val="font01"/>
    <w:basedOn w:val="24"/>
    <w:qFormat/>
    <w:uiPriority w:val="0"/>
    <w:rPr>
      <w:rFonts w:hint="default" w:ascii="Times New Roman" w:hAnsi="Times New Roman" w:cs="Times New Roman"/>
      <w:color w:val="000000"/>
      <w:sz w:val="20"/>
      <w:szCs w:val="20"/>
      <w:u w:val="none"/>
    </w:rPr>
  </w:style>
  <w:style w:type="character" w:customStyle="1" w:styleId="35">
    <w:name w:val="font41"/>
    <w:basedOn w:val="24"/>
    <w:qFormat/>
    <w:uiPriority w:val="0"/>
    <w:rPr>
      <w:rFonts w:hint="eastAsia" w:ascii="宋体" w:hAnsi="宋体" w:eastAsia="宋体" w:cs="宋体"/>
      <w:color w:val="000000"/>
      <w:sz w:val="20"/>
      <w:szCs w:val="20"/>
      <w:u w:val="none"/>
    </w:rPr>
  </w:style>
  <w:style w:type="character" w:customStyle="1" w:styleId="36">
    <w:name w:val="font81"/>
    <w:basedOn w:val="24"/>
    <w:qFormat/>
    <w:uiPriority w:val="0"/>
    <w:rPr>
      <w:rFonts w:hint="eastAsia" w:ascii="宋体" w:hAnsi="宋体" w:eastAsia="宋体" w:cs="宋体"/>
      <w:color w:val="000000"/>
      <w:sz w:val="32"/>
      <w:szCs w:val="32"/>
      <w:u w:val="none"/>
    </w:rPr>
  </w:style>
  <w:style w:type="character" w:customStyle="1" w:styleId="37">
    <w:name w:val="font101"/>
    <w:basedOn w:val="24"/>
    <w:qFormat/>
    <w:uiPriority w:val="0"/>
    <w:rPr>
      <w:rFonts w:ascii="仿宋_GB2312" w:eastAsia="仿宋_GB2312" w:cs="仿宋_GB2312"/>
      <w:b/>
      <w:bCs/>
      <w:color w:val="000000"/>
      <w:sz w:val="20"/>
      <w:szCs w:val="20"/>
      <w:u w:val="none"/>
    </w:rPr>
  </w:style>
  <w:style w:type="character" w:customStyle="1" w:styleId="38">
    <w:name w:val="font71"/>
    <w:basedOn w:val="24"/>
    <w:qFormat/>
    <w:uiPriority w:val="0"/>
    <w:rPr>
      <w:rFonts w:hint="default" w:ascii="仿宋_GB2312" w:eastAsia="仿宋_GB2312" w:cs="仿宋_GB2312"/>
      <w:color w:val="000000"/>
      <w:sz w:val="20"/>
      <w:szCs w:val="20"/>
      <w:u w:val="none"/>
    </w:rPr>
  </w:style>
  <w:style w:type="character" w:customStyle="1" w:styleId="39">
    <w:name w:val="font61"/>
    <w:basedOn w:val="24"/>
    <w:qFormat/>
    <w:uiPriority w:val="0"/>
    <w:rPr>
      <w:rFonts w:hint="eastAsia" w:ascii="宋体" w:hAnsi="宋体" w:eastAsia="宋体" w:cs="宋体"/>
      <w:color w:val="000000"/>
      <w:sz w:val="20"/>
      <w:szCs w:val="20"/>
      <w:u w:val="none"/>
    </w:rPr>
  </w:style>
  <w:style w:type="character" w:customStyle="1" w:styleId="40">
    <w:name w:val="font112"/>
    <w:basedOn w:val="24"/>
    <w:qFormat/>
    <w:uiPriority w:val="0"/>
    <w:rPr>
      <w:rFonts w:ascii="宋体" w:hAnsi="宋体" w:eastAsia="宋体" w:cs="宋体"/>
      <w:color w:val="000000"/>
      <w:sz w:val="20"/>
      <w:szCs w:val="20"/>
      <w:u w:val="none"/>
    </w:rPr>
  </w:style>
  <w:style w:type="character" w:customStyle="1" w:styleId="41">
    <w:name w:val="font91"/>
    <w:basedOn w:val="24"/>
    <w:qFormat/>
    <w:uiPriority w:val="0"/>
    <w:rPr>
      <w:rFonts w:ascii="Calibri" w:hAnsi="Calibri" w:cs="Calibri"/>
      <w:color w:val="000000"/>
      <w:sz w:val="20"/>
      <w:szCs w:val="20"/>
      <w:u w:val="none"/>
    </w:rPr>
  </w:style>
  <w:style w:type="character" w:customStyle="1" w:styleId="42">
    <w:name w:val="font31"/>
    <w:basedOn w:val="24"/>
    <w:qFormat/>
    <w:uiPriority w:val="0"/>
    <w:rPr>
      <w:rFonts w:hint="eastAsia" w:ascii="仿宋" w:hAnsi="仿宋" w:eastAsia="仿宋" w:cs="仿宋"/>
      <w:color w:val="000000"/>
      <w:sz w:val="20"/>
      <w:szCs w:val="20"/>
      <w:u w:val="none"/>
    </w:rPr>
  </w:style>
  <w:style w:type="character" w:customStyle="1" w:styleId="43">
    <w:name w:val="font171"/>
    <w:basedOn w:val="24"/>
    <w:qFormat/>
    <w:uiPriority w:val="0"/>
    <w:rPr>
      <w:rFonts w:ascii="仿宋_GB2312" w:eastAsia="仿宋_GB2312" w:cs="仿宋_GB2312"/>
      <w:b/>
      <w:bCs/>
      <w:color w:val="000000"/>
      <w:sz w:val="20"/>
      <w:szCs w:val="20"/>
      <w:u w:val="none"/>
    </w:rPr>
  </w:style>
  <w:style w:type="character" w:customStyle="1" w:styleId="44">
    <w:name w:val="font121"/>
    <w:basedOn w:val="24"/>
    <w:qFormat/>
    <w:uiPriority w:val="0"/>
    <w:rPr>
      <w:rFonts w:hint="default" w:ascii="仿宋_GB2312" w:eastAsia="仿宋_GB2312" w:cs="仿宋_GB2312"/>
      <w:color w:val="000000"/>
      <w:sz w:val="20"/>
      <w:szCs w:val="20"/>
      <w:u w:val="none"/>
    </w:rPr>
  </w:style>
  <w:style w:type="character" w:customStyle="1" w:styleId="45">
    <w:name w:val="font131"/>
    <w:basedOn w:val="24"/>
    <w:qFormat/>
    <w:uiPriority w:val="0"/>
    <w:rPr>
      <w:rFonts w:hint="default" w:ascii="Times New Roman" w:hAnsi="Times New Roman" w:cs="Times New Roman"/>
      <w:color w:val="000000"/>
      <w:sz w:val="20"/>
      <w:szCs w:val="20"/>
      <w:u w:val="none"/>
    </w:rPr>
  </w:style>
  <w:style w:type="character" w:customStyle="1" w:styleId="46">
    <w:name w:val="font141"/>
    <w:basedOn w:val="24"/>
    <w:qFormat/>
    <w:uiPriority w:val="0"/>
    <w:rPr>
      <w:rFonts w:hint="eastAsia" w:ascii="宋体" w:hAnsi="宋体" w:eastAsia="宋体" w:cs="宋体"/>
      <w:b/>
      <w:bCs/>
      <w:color w:val="000000"/>
      <w:sz w:val="20"/>
      <w:szCs w:val="20"/>
      <w:u w:val="none"/>
    </w:rPr>
  </w:style>
  <w:style w:type="character" w:customStyle="1" w:styleId="47">
    <w:name w:val="font151"/>
    <w:basedOn w:val="24"/>
    <w:qFormat/>
    <w:uiPriority w:val="0"/>
    <w:rPr>
      <w:rFonts w:hint="default" w:ascii="仿宋_GB2312" w:eastAsia="仿宋_GB2312" w:cs="仿宋_GB2312"/>
      <w:color w:val="000000"/>
      <w:sz w:val="20"/>
      <w:szCs w:val="20"/>
      <w:u w:val="none"/>
    </w:rPr>
  </w:style>
  <w:style w:type="character" w:customStyle="1" w:styleId="48">
    <w:name w:val="标题 3 Char"/>
    <w:link w:val="4"/>
    <w:qFormat/>
    <w:uiPriority w:val="0"/>
    <w:rPr>
      <w:b/>
    </w:rPr>
  </w:style>
  <w:style w:type="character" w:customStyle="1" w:styleId="49">
    <w:name w:val="15"/>
    <w:basedOn w:val="24"/>
    <w:qFormat/>
    <w:uiPriority w:val="0"/>
    <w:rPr>
      <w:rFonts w:hint="default" w:ascii="Calibri" w:hAnsi="Calibri" w:cs="Calibri"/>
      <w:kern w:val="2"/>
      <w:sz w:val="21"/>
      <w:szCs w:val="21"/>
    </w:rPr>
  </w:style>
  <w:style w:type="character" w:customStyle="1" w:styleId="50">
    <w:name w:val="bsharetext"/>
    <w:basedOn w:val="24"/>
    <w:qFormat/>
    <w:uiPriority w:val="0"/>
  </w:style>
  <w:style w:type="paragraph" w:customStyle="1" w:styleId="51">
    <w:name w:val="_Style 40"/>
    <w:basedOn w:val="1"/>
    <w:next w:val="1"/>
    <w:qFormat/>
    <w:uiPriority w:val="0"/>
    <w:pPr>
      <w:pBdr>
        <w:bottom w:val="single" w:color="auto" w:sz="6" w:space="1"/>
      </w:pBdr>
      <w:jc w:val="center"/>
    </w:pPr>
    <w:rPr>
      <w:rFonts w:ascii="Arial" w:eastAsia="宋体"/>
      <w:vanish/>
      <w:sz w:val="16"/>
    </w:rPr>
  </w:style>
  <w:style w:type="paragraph" w:customStyle="1" w:styleId="52">
    <w:name w:val="_Style 41"/>
    <w:basedOn w:val="1"/>
    <w:next w:val="1"/>
    <w:qFormat/>
    <w:uiPriority w:val="0"/>
    <w:pPr>
      <w:pBdr>
        <w:top w:val="single" w:color="auto" w:sz="6" w:space="1"/>
      </w:pBdr>
      <w:jc w:val="center"/>
    </w:pPr>
    <w:rPr>
      <w:rFonts w:ascii="Arial" w:eastAsia="宋体"/>
      <w:vanish/>
      <w:sz w:val="16"/>
    </w:rPr>
  </w:style>
  <w:style w:type="paragraph" w:customStyle="1" w:styleId="53">
    <w:name w:val="BodyText1I"/>
    <w:basedOn w:val="1"/>
    <w:qFormat/>
    <w:uiPriority w:val="99"/>
    <w:pPr>
      <w:snapToGrid w:val="0"/>
      <w:spacing w:line="360" w:lineRule="auto"/>
      <w:ind w:firstLine="420" w:firstLineChars="100"/>
    </w:pPr>
    <w:rPr>
      <w:sz w:val="28"/>
      <w:szCs w:val="20"/>
    </w:rPr>
  </w:style>
  <w:style w:type="paragraph" w:customStyle="1" w:styleId="54">
    <w:name w:val="无间隔1"/>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customStyle="1" w:styleId="55">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56">
    <w:name w:val="首行缩进"/>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oleObject" Target="file:///D:\1E&#30424;&#36801;&#31227;&#25991;&#20214;\2&#32489;&#25928;&#35780;&#20215;&#39033;&#30446;\&#28246;&#21335;&#30465;&#25991;&#26053;&#21381;&#39033;&#30446;\2022&#24180;&#30465;&#25991;&#26053;&#21381;&#37096;&#38376;&#25972;&#20307;&#32489;&#25928;&#33258;&#35780;\&#28246;&#21335;&#30465;&#25991;&#21270;&#21644;&#26053;&#28216;&#21381;2022&#24180;&#24230;&#37096;&#38376;&#25972;&#20307;&#32489;&#25928;&#33258;&#35780;\2022&#24180;&#20915;&#31639;&#25253;&#34920;\&#28246;&#21335;&#30465;&#25991;&#21270;&#21644;&#26053;&#28216;&#2138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chemeClr val="tx1"/>
                </a:solidFill>
                <a:latin typeface="+mn-lt"/>
                <a:ea typeface="+mn-ea"/>
                <a:cs typeface="+mn-cs"/>
              </a:defRPr>
            </a:pPr>
            <a:r>
              <a:rPr lang="zh-CN" altLang="en-US"/>
              <a:t>基本支出结构图</a:t>
            </a:r>
            <a:endParaRPr lang="zh-CN" altLang="en-US"/>
          </a:p>
        </c:rich>
      </c:tx>
      <c:layout>
        <c:manualLayout>
          <c:xMode val="edge"/>
          <c:yMode val="edge"/>
          <c:x val="0.309747811315824"/>
          <c:y val="0.0363836824696803"/>
        </c:manualLayout>
      </c:layout>
      <c:overlay val="false"/>
      <c:spPr>
        <a:noFill/>
        <a:ln>
          <a:noFill/>
        </a:ln>
        <a:effectLst/>
      </c:spPr>
    </c:title>
    <c:autoTitleDeleted val="false"/>
    <c:plotArea>
      <c:layout>
        <c:manualLayout>
          <c:layoutTarget val="inner"/>
          <c:xMode val="edge"/>
          <c:yMode val="edge"/>
          <c:x val="0.34156539918986"/>
          <c:y val="0.253362734288864"/>
          <c:w val="0.339866718933751"/>
          <c:h val="0.573539140022051"/>
        </c:manualLayout>
      </c:layout>
      <c:pieChart>
        <c:varyColors val="true"/>
        <c:ser>
          <c:idx val="0"/>
          <c:order val="0"/>
          <c:spPr>
            <a:ln w="12700">
              <a:solidFill>
                <a:schemeClr val="tx1"/>
              </a:solidFill>
            </a:ln>
            <a:sp3d contourW="12700"/>
          </c:spPr>
          <c:explosion val="0"/>
          <c:dPt>
            <c:idx val="0"/>
            <c:bubble3D val="false"/>
            <c:spPr>
              <a:pattFill prst="pct90">
                <a:fgClr>
                  <a:schemeClr val="accent1"/>
                </a:fgClr>
                <a:bgClr>
                  <a:schemeClr val="bg1"/>
                </a:bgClr>
              </a:pattFill>
              <a:ln w="12700">
                <a:solidFill>
                  <a:schemeClr val="tx1"/>
                </a:solidFill>
              </a:ln>
              <a:effectLst/>
              <a:sp3d contourW="12700"/>
            </c:spPr>
          </c:dPt>
          <c:dPt>
            <c:idx val="1"/>
            <c:bubble3D val="false"/>
            <c:spPr>
              <a:pattFill prst="pct90">
                <a:fgClr>
                  <a:schemeClr val="accent2"/>
                </a:fgClr>
                <a:bgClr>
                  <a:schemeClr val="bg1"/>
                </a:bgClr>
              </a:pattFill>
              <a:ln w="12700">
                <a:solidFill>
                  <a:schemeClr val="tx1"/>
                </a:solidFill>
              </a:ln>
              <a:effectLst/>
              <a:sp3d contourW="12700"/>
            </c:spPr>
          </c:dPt>
          <c:dPt>
            <c:idx val="2"/>
            <c:bubble3D val="false"/>
            <c:spPr>
              <a:pattFill prst="pct90">
                <a:fgClr>
                  <a:schemeClr val="accent3"/>
                </a:fgClr>
                <a:bgClr>
                  <a:schemeClr val="bg1"/>
                </a:bgClr>
              </a:pattFill>
              <a:ln w="12700">
                <a:solidFill>
                  <a:schemeClr val="tx1"/>
                </a:solidFill>
              </a:ln>
              <a:effectLst/>
              <a:sp3d contourW="12700"/>
            </c:spPr>
          </c:dPt>
          <c:dPt>
            <c:idx val="3"/>
            <c:bubble3D val="false"/>
            <c:spPr>
              <a:pattFill prst="pct90">
                <a:fgClr>
                  <a:schemeClr val="accent4"/>
                </a:fgClr>
                <a:bgClr>
                  <a:schemeClr val="bg1"/>
                </a:bgClr>
              </a:pattFill>
              <a:ln w="12700">
                <a:solidFill>
                  <a:schemeClr val="tx1"/>
                </a:solidFill>
              </a:ln>
              <a:effectLst/>
              <a:sp3d contourW="12700"/>
            </c:spPr>
          </c:dPt>
          <c:dLbls>
            <c:dLbl>
              <c:idx val="0"/>
              <c:layout>
                <c:manualLayout>
                  <c:x val="-0.0144736842105263"/>
                  <c:y val="0.0694444444444444"/>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bg1"/>
                        </a:solidFill>
                        <a:latin typeface="+mn-lt"/>
                        <a:ea typeface="+mn-ea"/>
                        <a:cs typeface="+mn-cs"/>
                      </a:defRPr>
                    </a:pPr>
                    <a:r>
                      <a:t>工资福利支出</a:t>
                    </a:r>
                    <a:r>
                      <a:rPr lang="en-US" altLang="zh-CN"/>
                      <a:t>  </a:t>
                    </a:r>
                    <a:r>
                      <a:t>80.89%</a:t>
                    </a:r>
                  </a:p>
                </c:rich>
              </c:tx>
              <c:numFmt formatCode="0.00%" sourceLinked="false"/>
              <c:spPr>
                <a:solidFill>
                  <a:schemeClr val="accent1"/>
                </a:solidFill>
                <a:ln>
                  <a:solidFill>
                    <a:schemeClr val="tx1"/>
                  </a:solid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mn-lt"/>
                      <a:ea typeface="+mn-ea"/>
                      <a:cs typeface="+mn-cs"/>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291578947368421"/>
                      <c:h val="0.117361111111111"/>
                    </c:manualLayout>
                  </c15:layout>
                </c:ext>
              </c:extLst>
            </c:dLbl>
            <c:dLbl>
              <c:idx val="1"/>
              <c:layout>
                <c:manualLayout>
                  <c:x val="0.0184210526315789"/>
                  <c:y val="-0.0439814814814815"/>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bg1"/>
                        </a:solidFill>
                        <a:latin typeface="+mn-lt"/>
                        <a:ea typeface="+mn-ea"/>
                        <a:cs typeface="+mn-cs"/>
                      </a:defRPr>
                    </a:pPr>
                    <a:r>
                      <a:t>商品和服务支出</a:t>
                    </a:r>
                    <a:r>
                      <a:rPr lang="en-US" altLang="zh-CN"/>
                      <a:t> </a:t>
                    </a:r>
                    <a:r>
                      <a:t>7.69%</a:t>
                    </a:r>
                  </a:p>
                </c:rich>
              </c:tx>
              <c:numFmt formatCode="0.00%" sourceLinked="false"/>
              <c:spPr>
                <a:solidFill>
                  <a:schemeClr val="accent2"/>
                </a:solidFill>
                <a:ln>
                  <a:solidFill>
                    <a:schemeClr val="tx1"/>
                  </a:solid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mn-lt"/>
                      <a:ea typeface="+mn-ea"/>
                      <a:cs typeface="+mn-cs"/>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300131578947368"/>
                      <c:h val="0.117361111111111"/>
                    </c:manualLayout>
                  </c15:layout>
                </c:ext>
              </c:extLst>
            </c:dLbl>
            <c:dLbl>
              <c:idx val="2"/>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bg1"/>
                        </a:solidFill>
                        <a:latin typeface="+mn-lt"/>
                        <a:ea typeface="+mn-ea"/>
                        <a:cs typeface="+mn-cs"/>
                      </a:defRPr>
                    </a:pPr>
                    <a:r>
                      <a:t>对个人和家庭补11.3</a:t>
                    </a:r>
                    <a:r>
                      <a:rPr lang="en-US" altLang="zh-CN"/>
                      <a:t>1</a:t>
                    </a:r>
                    <a:r>
                      <a:t>%</a:t>
                    </a:r>
                  </a:p>
                </c:rich>
              </c:tx>
              <c:numFmt formatCode="0.00%" sourceLinked="false"/>
              <c:spPr>
                <a:solidFill>
                  <a:schemeClr val="accent3"/>
                </a:solidFill>
                <a:ln>
                  <a:solidFill>
                    <a:schemeClr val="tx1"/>
                  </a:solid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mn-lt"/>
                      <a:ea typeface="+mn-ea"/>
                      <a:cs typeface="+mn-cs"/>
                    </a:defRPr>
                  </a:pPr>
                </a:p>
              </c:txPr>
              <c:dLblPos val="outEnd"/>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272105263157895"/>
                      <c:h val="0.128935185185185"/>
                    </c:manualLayout>
                  </c15:layout>
                </c:ext>
              </c:extLst>
            </c:dLbl>
            <c:dLbl>
              <c:idx val="3"/>
              <c:layout>
                <c:manualLayout>
                  <c:x val="0.0118421052631579"/>
                  <c:y val="0.0578703703703704"/>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bg1"/>
                        </a:solidFill>
                        <a:latin typeface="+mn-lt"/>
                        <a:ea typeface="+mn-ea"/>
                        <a:cs typeface="+mn-cs"/>
                      </a:defRPr>
                    </a:pPr>
                    <a:r>
                      <a:t>资本性支</a:t>
                    </a:r>
                    <a:r>
                      <a:rPr lang="en-US" altLang="zh-CN"/>
                      <a:t>  </a:t>
                    </a:r>
                    <a:r>
                      <a:t>0.11%</a:t>
                    </a:r>
                  </a:p>
                </c:rich>
              </c:tx>
              <c:numFmt formatCode="0.00%" sourceLinked="false"/>
              <c:spPr>
                <a:solidFill>
                  <a:schemeClr val="accent4"/>
                </a:solidFill>
                <a:ln>
                  <a:solidFill>
                    <a:schemeClr val="tx1"/>
                  </a:solid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mn-lt"/>
                      <a:ea typeface="+mn-ea"/>
                      <a:cs typeface="+mn-cs"/>
                    </a:defRPr>
                  </a:pPr>
                </a:p>
              </c:txPr>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218026315789474"/>
                      <c:h val="0.117361111111111"/>
                    </c:manualLayout>
                  </c15:layout>
                </c:ext>
              </c:extLst>
            </c:dLbl>
            <c:numFmt formatCode="0.00%" sourceLinked="false"/>
            <c:spPr>
              <a:solidFill>
                <a:schemeClr val="bg1"/>
              </a:solidFill>
              <a:ln>
                <a:solidFill>
                  <a:schemeClr val="tx1"/>
                </a:solid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[湖南省文化和旅游厅.xls]Sheet1!$A$1:$A$4</c:f>
              <c:strCache>
                <c:ptCount val="4"/>
                <c:pt idx="0">
                  <c:v>工资福利支出</c:v>
                </c:pt>
                <c:pt idx="1">
                  <c:v>商品和服务支出</c:v>
                </c:pt>
                <c:pt idx="2">
                  <c:v>对个人和家庭补助</c:v>
                </c:pt>
                <c:pt idx="3">
                  <c:v>资本性支出</c:v>
                </c:pt>
              </c:strCache>
            </c:strRef>
          </c:cat>
          <c:val>
            <c:numRef>
              <c:f>[湖南省文化和旅游厅.xls]Sheet1!$B$1:$B$4</c:f>
              <c:numCache>
                <c:formatCode>#,##0.00</c:formatCode>
                <c:ptCount val="4"/>
                <c:pt idx="0">
                  <c:v>26362.87</c:v>
                </c:pt>
                <c:pt idx="1">
                  <c:v>2505.93</c:v>
                </c:pt>
                <c:pt idx="2">
                  <c:v>3687.93</c:v>
                </c:pt>
                <c:pt idx="3" c:formatCode="General">
                  <c:v>36.09</c:v>
                </c:pt>
              </c:numCache>
            </c:numRef>
          </c:val>
        </c:ser>
        <c:dLbls>
          <c:showLegendKey val="false"/>
          <c:showVal val="true"/>
          <c:showCatName val="false"/>
          <c:showSerName val="false"/>
          <c:showPercent val="false"/>
          <c:showBubbleSize val="false"/>
          <c:showLeaderLines val="true"/>
        </c:dLbls>
        <c:firstSliceAng val="105"/>
      </c:pieChart>
      <c:spPr>
        <a:noFill/>
        <a:ln>
          <a:noFill/>
        </a:ln>
        <a:effectLst/>
      </c:spPr>
    </c:plotArea>
    <c:legend>
      <c:legendPos val="r"/>
      <c:layout>
        <c:manualLayout>
          <c:xMode val="edge"/>
          <c:yMode val="edge"/>
          <c:x val="0.0376315789473684"/>
          <c:y val="0.277430555555556"/>
        </c:manualLayou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pattFill prst="lgGrid">
      <a:fgClr>
        <a:schemeClr val="bg1">
          <a:lumMod val="95000"/>
        </a:schemeClr>
      </a:fgClr>
      <a:bgClr>
        <a:schemeClr val="bg1"/>
      </a:bgClr>
    </a:pattFill>
    <a:ln w="9525" cap="flat" cmpd="sng" algn="ctr">
      <a:solidFill>
        <a:schemeClr val="tx1">
          <a:lumMod val="15000"/>
          <a:lumOff val="85000"/>
        </a:schemeClr>
      </a:solidFill>
      <a:round/>
    </a:ln>
    <a:effectLst/>
  </c:spPr>
  <c:txPr>
    <a:bodyPr/>
    <a:lstStyle/>
    <a:p>
      <a:pPr>
        <a:defRPr lang="zh-CN"/>
      </a:pPr>
    </a:p>
  </c:txPr>
  <c:externalData r:id="rId1">
    <c:autoUpdate val="false"/>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0.99862</cdr:x>
      <cdr:y>0.99902</cdr:y>
    </cdr:to>
    <cdr:sp>
      <cdr:nvSpPr>
        <cdr:cNvPr id="2" name="任意多边形 1"/>
        <cdr:cNvSpPr/>
      </cdr:nvSpPr>
      <cdr:spPr xmlns:a="http://schemas.openxmlformats.org/drawingml/2006/main">
        <a:xfrm xmlns:a="http://schemas.openxmlformats.org/drawingml/2006/main">
          <a:off x="0" y="0"/>
          <a:ext cx="4819340" cy="2740512"/>
        </a:xfrm>
        <a:custGeom>
          <a:avLst/>
          <a:gdLst/>
          <a:ahLst/>
          <a:cxnLst>
            <a:cxn ang="3">
              <a:pos x="hc" y="t"/>
            </a:cxn>
            <a:cxn ang="cd2">
              <a:pos x="l" y="vc"/>
            </a:cxn>
            <a:cxn ang="cd4">
              <a:pos x="hc" y="b"/>
            </a:cxn>
            <a:cxn ang="0">
              <a:pos x="r" y="vc"/>
            </a:cxn>
          </a:cxnLst>
          <a:rect l="l" t="t" r="r" b="b"/>
          <a:pathLst>
            <a:path w="7898" h="4934">
              <a:moveTo>
                <a:pt x="370" y="136"/>
              </a:moveTo>
              <a:cubicBezTo>
                <a:pt x="236" y="136"/>
                <a:pt x="128" y="244"/>
                <a:pt x="128" y="378"/>
              </a:cubicBezTo>
              <a:lnTo>
                <a:pt x="128" y="4557"/>
              </a:lnTo>
              <a:cubicBezTo>
                <a:pt x="128" y="4690"/>
                <a:pt x="236" y="4799"/>
                <a:pt x="370" y="4799"/>
              </a:cubicBezTo>
              <a:lnTo>
                <a:pt x="7528" y="4799"/>
              </a:lnTo>
              <a:cubicBezTo>
                <a:pt x="7662" y="4799"/>
                <a:pt x="7770" y="4690"/>
                <a:pt x="7770" y="4557"/>
              </a:cubicBezTo>
              <a:lnTo>
                <a:pt x="7770" y="378"/>
              </a:lnTo>
              <a:cubicBezTo>
                <a:pt x="7770" y="244"/>
                <a:pt x="7662" y="136"/>
                <a:pt x="7528" y="136"/>
              </a:cubicBezTo>
              <a:lnTo>
                <a:pt x="370" y="136"/>
              </a:lnTo>
              <a:close/>
              <a:moveTo>
                <a:pt x="0" y="0"/>
              </a:moveTo>
              <a:lnTo>
                <a:pt x="7898" y="0"/>
              </a:lnTo>
              <a:lnTo>
                <a:pt x="7898" y="4934"/>
              </a:lnTo>
              <a:lnTo>
                <a:pt x="0" y="4934"/>
              </a:lnTo>
              <a:lnTo>
                <a:pt x="0" y="0"/>
              </a:lnTo>
              <a:close/>
            </a:path>
          </a:pathLst>
        </a:custGeom>
        <a:solidFill>
          <a:schemeClr val="bg1"/>
        </a:solidFill>
        <a:ln>
          <a:solidFill>
            <a:schemeClr val="tx2"/>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horz" wrap="square" lIns="45720" tIns="45720" rIns="45720" bIns="45720" rtlCol="0" anchor="t" anchorCtr="false">
          <a:noAutofit/>
        </a:bodyP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zh-CN" altLang="en-US" sz="1100"/>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86">
    <a:dk1>
      <a:srgbClr val="000000"/>
    </a:dk1>
    <a:lt1>
      <a:srgbClr val="FFFFFF"/>
    </a:lt1>
    <a:dk2>
      <a:srgbClr val="0C0E1F"/>
    </a:dk2>
    <a:lt2>
      <a:srgbClr val="FEFFFF"/>
    </a:lt2>
    <a:accent1>
      <a:srgbClr val="FFA0C3"/>
    </a:accent1>
    <a:accent2>
      <a:srgbClr val="6C9EFF"/>
    </a:accent2>
    <a:accent3>
      <a:srgbClr val="FFCB02"/>
    </a:accent3>
    <a:accent4>
      <a:srgbClr val="45CD8C"/>
    </a:accent4>
    <a:accent5>
      <a:srgbClr val="7979F3"/>
    </a:accent5>
    <a:accent6>
      <a:srgbClr val="F28A36"/>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15864</Words>
  <Characters>18412</Characters>
  <Lines>1</Lines>
  <Paragraphs>1</Paragraphs>
  <TotalTime>66</TotalTime>
  <ScaleCrop>false</ScaleCrop>
  <LinksUpToDate>false</LinksUpToDate>
  <CharactersWithSpaces>18640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2021-05-23T15:13:00Z</dcterms:created>
  <dc:creator>易志光</dc:creator>
  <cp:lastModifiedBy>greatwall</cp:lastModifiedBy>
  <cp:lastPrinted>2023-05-31T11:56:00Z</cp:lastPrinted>
  <dcterms:modified xsi:type="dcterms:W3CDTF">2024-06-28T11:37:37Z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755801E1DC4E468BA73459B921321D91_13</vt:lpwstr>
  </property>
</Properties>
</file>