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color w:val="auto"/>
          <w:sz w:val="56"/>
          <w:szCs w:val="56"/>
        </w:rPr>
      </w:pPr>
    </w:p>
    <w:p>
      <w:pPr>
        <w:pStyle w:val="20"/>
        <w:jc w:val="center"/>
        <w:rPr>
          <w:rFonts w:hint="eastAsia"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2023年度</w:t>
      </w: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湖南省文化和旅游厅</w:t>
      </w: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w:t>
      </w:r>
    </w:p>
    <w:p>
      <w:pPr>
        <w:pStyle w:val="20"/>
        <w:jc w:val="center"/>
        <w:rPr>
          <w:rFonts w:ascii="方正小标宋_GBK" w:hAnsi="方正小标宋_GBK" w:eastAsia="方正小标宋_GBK" w:cs="方正小标宋_GBK"/>
          <w:color w:val="auto"/>
          <w:sz w:val="56"/>
          <w:szCs w:val="56"/>
        </w:rPr>
      </w:pPr>
    </w:p>
    <w:p>
      <w:pPr>
        <w:pStyle w:val="20"/>
        <w:jc w:val="center"/>
        <w:rPr>
          <w:color w:val="auto"/>
          <w:sz w:val="56"/>
          <w:szCs w:val="56"/>
        </w:rPr>
      </w:pPr>
    </w:p>
    <w:p>
      <w:pPr>
        <w:pStyle w:val="20"/>
        <w:jc w:val="center"/>
        <w:rPr>
          <w:color w:val="auto"/>
          <w:sz w:val="56"/>
          <w:szCs w:val="56"/>
        </w:rPr>
      </w:pPr>
    </w:p>
    <w:p>
      <w:pPr>
        <w:pStyle w:val="20"/>
        <w:jc w:val="center"/>
        <w:rPr>
          <w:color w:val="auto"/>
          <w:sz w:val="56"/>
          <w:szCs w:val="56"/>
        </w:rPr>
      </w:pPr>
    </w:p>
    <w:p>
      <w:pPr>
        <w:pStyle w:val="20"/>
        <w:jc w:val="center"/>
        <w:rPr>
          <w:color w:val="auto"/>
          <w:sz w:val="56"/>
          <w:szCs w:val="56"/>
        </w:rPr>
      </w:pPr>
    </w:p>
    <w:p>
      <w:pPr>
        <w:pStyle w:val="20"/>
        <w:jc w:val="center"/>
        <w:rPr>
          <w:color w:val="auto"/>
          <w:sz w:val="32"/>
          <w:szCs w:val="32"/>
        </w:rPr>
      </w:pPr>
    </w:p>
    <w:p>
      <w:pPr>
        <w:pStyle w:val="20"/>
        <w:jc w:val="center"/>
        <w:rPr>
          <w:color w:val="auto"/>
          <w:sz w:val="32"/>
          <w:szCs w:val="32"/>
        </w:rPr>
      </w:pPr>
    </w:p>
    <w:p>
      <w:pPr>
        <w:pStyle w:val="20"/>
        <w:keepNext w:val="0"/>
        <w:keepLines w:val="0"/>
        <w:pageBreakBefore w:val="0"/>
        <w:widowControl w:val="0"/>
        <w:kinsoku/>
        <w:wordWrap/>
        <w:overflowPunct/>
        <w:topLinePunct w:val="0"/>
        <w:bidi w:val="0"/>
        <w:snapToGrid/>
        <w:spacing w:line="49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目</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录</w:t>
      </w:r>
    </w:p>
    <w:p>
      <w:pPr>
        <w:pStyle w:val="20"/>
        <w:keepNext w:val="0"/>
        <w:keepLines w:val="0"/>
        <w:pageBreakBefore w:val="0"/>
        <w:widowControl w:val="0"/>
        <w:kinsoku/>
        <w:wordWrap/>
        <w:overflowPunct/>
        <w:topLinePunct w:val="0"/>
        <w:bidi w:val="0"/>
        <w:snapToGrid/>
        <w:spacing w:line="490" w:lineRule="exact"/>
        <w:jc w:val="center"/>
        <w:textAlignment w:val="auto"/>
        <w:rPr>
          <w:rFonts w:hint="eastAsia" w:ascii="方正小标宋简体" w:hAnsi="方正小标宋简体" w:eastAsia="方正小标宋简体" w:cs="方正小标宋简体"/>
          <w:b w:val="0"/>
          <w:bCs/>
          <w:color w:val="auto"/>
          <w:sz w:val="44"/>
          <w:szCs w:val="44"/>
        </w:rPr>
      </w:pPr>
    </w:p>
    <w:p>
      <w:pPr>
        <w:pStyle w:val="20"/>
        <w:keepNext w:val="0"/>
        <w:keepLines w:val="0"/>
        <w:pageBreakBefore w:val="0"/>
        <w:widowControl w:val="0"/>
        <w:kinsoku/>
        <w:wordWrap/>
        <w:overflowPunct/>
        <w:topLinePunct w:val="0"/>
        <w:bidi w:val="0"/>
        <w:snapToGrid w:val="0"/>
        <w:spacing w:line="560" w:lineRule="exact"/>
        <w:textAlignment w:val="auto"/>
        <w:rPr>
          <w:rFonts w:hAnsi="黑体"/>
          <w:bCs/>
          <w:color w:val="auto"/>
          <w:sz w:val="32"/>
          <w:szCs w:val="32"/>
        </w:rPr>
      </w:pPr>
      <w:r>
        <w:rPr>
          <w:rFonts w:hint="eastAsia" w:hAnsi="黑体"/>
          <w:bCs/>
          <w:color w:val="auto"/>
          <w:sz w:val="32"/>
          <w:szCs w:val="32"/>
        </w:rPr>
        <w:t>第一部分</w:t>
      </w:r>
      <w:r>
        <w:rPr>
          <w:rFonts w:hint="eastAsia" w:hAnsi="黑体"/>
          <w:bCs/>
          <w:color w:val="auto"/>
          <w:sz w:val="32"/>
          <w:szCs w:val="32"/>
          <w:lang w:val="en-US" w:eastAsia="zh-CN"/>
        </w:rPr>
        <w:t xml:space="preserve"> </w:t>
      </w:r>
      <w:r>
        <w:rPr>
          <w:rFonts w:hint="eastAsia" w:hAnsi="黑体"/>
          <w:bCs/>
          <w:color w:val="auto"/>
          <w:sz w:val="32"/>
          <w:szCs w:val="32"/>
        </w:rPr>
        <w:t>湖南省文化和旅游厅部门概况</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一、部门职责</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b w:val="0"/>
          <w:bCs/>
          <w:kern w:val="0"/>
          <w:sz w:val="32"/>
          <w:szCs w:val="32"/>
        </w:rPr>
        <w:t>机构设置及决算单位构成</w:t>
      </w:r>
    </w:p>
    <w:p>
      <w:pPr>
        <w:pStyle w:val="20"/>
        <w:keepNext w:val="0"/>
        <w:keepLines w:val="0"/>
        <w:pageBreakBefore w:val="0"/>
        <w:widowControl w:val="0"/>
        <w:kinsoku/>
        <w:wordWrap/>
        <w:overflowPunct/>
        <w:topLinePunct w:val="0"/>
        <w:bidi w:val="0"/>
        <w:snapToGrid w:val="0"/>
        <w:spacing w:line="560" w:lineRule="exact"/>
        <w:textAlignment w:val="auto"/>
        <w:rPr>
          <w:rFonts w:hAnsi="黑体"/>
          <w:bCs/>
          <w:color w:val="auto"/>
          <w:sz w:val="32"/>
          <w:szCs w:val="32"/>
        </w:rPr>
      </w:pPr>
      <w:r>
        <w:rPr>
          <w:rFonts w:hint="eastAsia" w:hAnsi="黑体"/>
          <w:bCs/>
          <w:color w:val="auto"/>
          <w:sz w:val="32"/>
          <w:szCs w:val="32"/>
        </w:rPr>
        <w:t>第二部分</w:t>
      </w:r>
      <w:r>
        <w:rPr>
          <w:rFonts w:hint="eastAsia" w:hAnsi="黑体"/>
          <w:bCs/>
          <w:color w:val="auto"/>
          <w:sz w:val="32"/>
          <w:szCs w:val="32"/>
          <w:lang w:val="en-US" w:eastAsia="zh-CN"/>
        </w:rPr>
        <w:t xml:space="preserve"> </w:t>
      </w:r>
      <w:r>
        <w:rPr>
          <w:rFonts w:hint="eastAsia" w:hAnsi="黑体"/>
          <w:bCs/>
          <w:color w:val="auto"/>
          <w:sz w:val="32"/>
          <w:szCs w:val="32"/>
        </w:rPr>
        <w:t>部门决算表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六、一般公共预算财政拨款基本支出决算明细表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七、政府性基金预算财政拨款收入支出决算表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八、国有资本经营预算财政拨款支出决算表</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九、财政拨款“三公”经费支出决算表</w:t>
      </w:r>
    </w:p>
    <w:p>
      <w:pPr>
        <w:pStyle w:val="20"/>
        <w:keepNext w:val="0"/>
        <w:keepLines w:val="0"/>
        <w:pageBreakBefore w:val="0"/>
        <w:widowControl w:val="0"/>
        <w:kinsoku/>
        <w:wordWrap/>
        <w:overflowPunct/>
        <w:topLinePunct w:val="0"/>
        <w:bidi w:val="0"/>
        <w:snapToGrid w:val="0"/>
        <w:spacing w:line="560" w:lineRule="exact"/>
        <w:textAlignment w:val="auto"/>
        <w:rPr>
          <w:rFonts w:hAnsi="黑体"/>
          <w:bCs/>
          <w:color w:val="auto"/>
          <w:sz w:val="32"/>
          <w:szCs w:val="32"/>
        </w:rPr>
      </w:pPr>
      <w:r>
        <w:rPr>
          <w:rFonts w:hint="eastAsia" w:hAnsi="黑体"/>
          <w:bCs/>
          <w:color w:val="auto"/>
          <w:sz w:val="32"/>
          <w:szCs w:val="32"/>
        </w:rPr>
        <w:t>第三部分</w:t>
      </w:r>
      <w:r>
        <w:rPr>
          <w:rFonts w:hint="eastAsia" w:hAnsi="黑体"/>
          <w:bCs/>
          <w:color w:val="auto"/>
          <w:sz w:val="32"/>
          <w:szCs w:val="32"/>
          <w:lang w:val="en-US" w:eastAsia="zh-CN"/>
        </w:rPr>
        <w:t xml:space="preserve"> </w:t>
      </w:r>
      <w:r>
        <w:rPr>
          <w:rFonts w:hint="eastAsia" w:hAnsi="黑体"/>
          <w:bCs/>
          <w:color w:val="auto"/>
          <w:sz w:val="32"/>
          <w:szCs w:val="32"/>
        </w:rPr>
        <w:t>部门决算情况说明</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一、收入支出决算总体情况说明</w:t>
      </w:r>
    </w:p>
    <w:p>
      <w:pPr>
        <w:keepNext w:val="0"/>
        <w:keepLines w:val="0"/>
        <w:pageBreakBefore w:val="0"/>
        <w:widowControl w:val="0"/>
        <w:kinsoku/>
        <w:wordWrap/>
        <w:overflowPunct/>
        <w:topLinePunct w:val="0"/>
        <w:bidi w:val="0"/>
        <w:snapToGrid w:val="0"/>
        <w:spacing w:line="560" w:lineRule="exact"/>
        <w:ind w:firstLine="800" w:firstLineChars="2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七、财政拨款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经费支出决算情况说明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sz w:val="32"/>
          <w:szCs w:val="32"/>
        </w:rPr>
      </w:pP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color w:val="auto"/>
          <w:sz w:val="32"/>
          <w:szCs w:val="32"/>
        </w:rPr>
        <w:t>国有资本经营预算</w:t>
      </w:r>
      <w:r>
        <w:rPr>
          <w:rFonts w:hint="eastAsia" w:ascii="仿宋_GB2312" w:hAnsi="仿宋_GB2312" w:eastAsia="仿宋_GB2312" w:cs="仿宋_GB2312"/>
          <w:kern w:val="0"/>
          <w:sz w:val="32"/>
          <w:szCs w:val="32"/>
        </w:rPr>
        <w:t>收入支出决算情况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kern w:val="0"/>
          <w:sz w:val="32"/>
          <w:szCs w:val="32"/>
        </w:rPr>
        <w:t>、关于机关运行经费支出说明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十</w:t>
      </w:r>
      <w:r>
        <w:rPr>
          <w:rFonts w:hint="eastAsia" w:ascii="仿宋_GB2312" w:hAnsi="仿宋_GB2312" w:eastAsia="仿宋_GB2312" w:cs="仿宋_GB2312"/>
          <w:kern w:val="0"/>
          <w:sz w:val="32"/>
          <w:szCs w:val="32"/>
          <w:highlight w:val="none"/>
          <w:lang w:val="en-US" w:eastAsia="zh-CN"/>
        </w:rPr>
        <w:t>一</w:t>
      </w:r>
      <w:r>
        <w:rPr>
          <w:rFonts w:hint="eastAsia" w:ascii="仿宋_GB2312" w:hAnsi="仿宋_GB2312" w:eastAsia="仿宋_GB2312" w:cs="仿宋_GB2312"/>
          <w:kern w:val="0"/>
          <w:sz w:val="32"/>
          <w:szCs w:val="32"/>
        </w:rPr>
        <w:t>、一般性支出情况说明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800" w:firstLineChars="25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、关于政府采购支出说明</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、关于国有资产占用情况说明</w:t>
      </w:r>
    </w:p>
    <w:p>
      <w:pPr>
        <w:pStyle w:val="20"/>
        <w:keepNext w:val="0"/>
        <w:keepLines w:val="0"/>
        <w:pageBreakBefore w:val="0"/>
        <w:widowControl w:val="0"/>
        <w:kinsoku/>
        <w:wordWrap/>
        <w:overflowPunct/>
        <w:topLinePunct w:val="0"/>
        <w:bidi w:val="0"/>
        <w:snapToGrid w:val="0"/>
        <w:spacing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、关于</w:t>
      </w:r>
      <w:r>
        <w:rPr>
          <w:rFonts w:ascii="Times New Roman" w:hAnsi="Times New Roman" w:eastAsia="仿宋_GB2312" w:cs="Times New Roman"/>
          <w:color w:val="auto"/>
          <w:sz w:val="32"/>
          <w:szCs w:val="32"/>
        </w:rPr>
        <w:t>2023</w:t>
      </w:r>
      <w:r>
        <w:rPr>
          <w:rFonts w:hint="eastAsia" w:ascii="仿宋_GB2312" w:hAnsi="仿宋_GB2312" w:eastAsia="仿宋_GB2312" w:cs="仿宋_GB2312"/>
          <w:color w:val="auto"/>
          <w:sz w:val="32"/>
          <w:szCs w:val="32"/>
        </w:rPr>
        <w:t>年度预算绩效情况的说明</w:t>
      </w:r>
    </w:p>
    <w:p>
      <w:pPr>
        <w:pStyle w:val="20"/>
        <w:keepNext w:val="0"/>
        <w:keepLines w:val="0"/>
        <w:pageBreakBefore w:val="0"/>
        <w:widowControl w:val="0"/>
        <w:kinsoku/>
        <w:wordWrap/>
        <w:overflowPunct/>
        <w:topLinePunct w:val="0"/>
        <w:bidi w:val="0"/>
        <w:snapToGrid w:val="0"/>
        <w:spacing w:line="560" w:lineRule="exact"/>
        <w:textAlignment w:val="auto"/>
        <w:rPr>
          <w:rFonts w:hAnsi="黑体"/>
          <w:bCs/>
          <w:color w:val="auto"/>
          <w:sz w:val="32"/>
          <w:szCs w:val="32"/>
        </w:rPr>
      </w:pPr>
      <w:r>
        <w:rPr>
          <w:rFonts w:hint="eastAsia" w:hAnsi="黑体"/>
          <w:bCs/>
          <w:color w:val="auto"/>
          <w:sz w:val="32"/>
          <w:szCs w:val="32"/>
        </w:rPr>
        <w:t>第四部分</w:t>
      </w:r>
      <w:r>
        <w:rPr>
          <w:rFonts w:hint="eastAsia" w:hAnsi="黑体"/>
          <w:bCs/>
          <w:color w:val="auto"/>
          <w:sz w:val="32"/>
          <w:szCs w:val="32"/>
          <w:lang w:val="en-US" w:eastAsia="zh-CN"/>
        </w:rPr>
        <w:t xml:space="preserve"> </w:t>
      </w:r>
      <w:r>
        <w:rPr>
          <w:rFonts w:hint="eastAsia" w:hAnsi="黑体"/>
          <w:bCs/>
          <w:color w:val="auto"/>
          <w:sz w:val="32"/>
          <w:szCs w:val="32"/>
        </w:rPr>
        <w:t>名词解释</w:t>
      </w:r>
    </w:p>
    <w:p>
      <w:pPr>
        <w:pStyle w:val="20"/>
        <w:keepNext w:val="0"/>
        <w:keepLines w:val="0"/>
        <w:pageBreakBefore w:val="0"/>
        <w:widowControl w:val="0"/>
        <w:kinsoku/>
        <w:wordWrap/>
        <w:overflowPunct/>
        <w:topLinePunct w:val="0"/>
        <w:bidi w:val="0"/>
        <w:snapToGrid w:val="0"/>
        <w:spacing w:line="560" w:lineRule="exact"/>
        <w:textAlignment w:val="auto"/>
        <w:rPr>
          <w:rFonts w:hAnsi="黑体"/>
          <w:bCs/>
          <w:color w:val="auto"/>
          <w:sz w:val="32"/>
          <w:szCs w:val="32"/>
        </w:rPr>
      </w:pPr>
      <w:r>
        <w:rPr>
          <w:rFonts w:hint="eastAsia" w:hAnsi="黑体"/>
          <w:bCs/>
          <w:color w:val="auto"/>
          <w:sz w:val="32"/>
          <w:szCs w:val="32"/>
        </w:rPr>
        <w:t>第五部分</w:t>
      </w:r>
      <w:r>
        <w:rPr>
          <w:rFonts w:hint="eastAsia" w:hAnsi="黑体"/>
          <w:bCs/>
          <w:color w:val="auto"/>
          <w:sz w:val="32"/>
          <w:szCs w:val="32"/>
          <w:lang w:val="en-US" w:eastAsia="zh-CN"/>
        </w:rPr>
        <w:t xml:space="preserve"> </w:t>
      </w:r>
      <w:r>
        <w:rPr>
          <w:rFonts w:hint="eastAsia" w:hAnsi="黑体"/>
          <w:bCs/>
          <w:color w:val="auto"/>
          <w:sz w:val="32"/>
          <w:szCs w:val="32"/>
        </w:rPr>
        <w:t>附件</w:t>
      </w:r>
    </w:p>
    <w:p>
      <w:pPr>
        <w:keepNext w:val="0"/>
        <w:keepLines w:val="0"/>
        <w:pageBreakBefore w:val="0"/>
        <w:widowControl w:val="0"/>
        <w:kinsoku/>
        <w:wordWrap/>
        <w:overflowPunct/>
        <w:topLinePunct w:val="0"/>
        <w:bidi w:val="0"/>
        <w:snapToGrid/>
        <w:spacing w:line="490" w:lineRule="exact"/>
        <w:jc w:val="center"/>
        <w:textAlignment w:val="auto"/>
        <w:rPr>
          <w:sz w:val="72"/>
          <w:szCs w:val="72"/>
        </w:rPr>
      </w:pPr>
    </w:p>
    <w:p>
      <w:pPr>
        <w:jc w:val="center"/>
        <w:rPr>
          <w:sz w:val="72"/>
          <w:szCs w:val="72"/>
        </w:rPr>
      </w:pPr>
    </w:p>
    <w:p>
      <w:pPr>
        <w:rPr>
          <w:rFonts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br w:type="page"/>
      </w:r>
    </w:p>
    <w:p>
      <w:pPr>
        <w:pStyle w:val="20"/>
        <w:jc w:val="center"/>
        <w:rPr>
          <w:rFonts w:hint="eastAsia"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pPr>
        <w:pStyle w:val="20"/>
        <w:jc w:val="center"/>
        <w:rPr>
          <w:rFonts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湖南省文化和旅游厅</w:t>
      </w: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21"/>
        <w:numPr>
          <w:ilvl w:val="0"/>
          <w:numId w:val="1"/>
        </w:numPr>
        <w:ind w:firstLineChars="0"/>
        <w:jc w:val="left"/>
        <w:rPr>
          <w:rFonts w:ascii="黑体" w:hAnsi="黑体" w:eastAsia="黑体" w:cs="黑体"/>
          <w:sz w:val="32"/>
          <w:szCs w:val="32"/>
        </w:rPr>
        <w:sectPr>
          <w:pgSz w:w="11906" w:h="16838"/>
          <w:pgMar w:top="2098" w:right="1531" w:bottom="1531" w:left="1531" w:header="851" w:footer="992" w:gutter="0"/>
          <w:cols w:space="425" w:num="1"/>
          <w:docGrid w:type="lines" w:linePitch="312" w:charSpace="0"/>
        </w:sectPr>
      </w:pPr>
    </w:p>
    <w:p>
      <w:pPr>
        <w:pStyle w:val="21"/>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部门职责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（一）研究拟订全省文化和旅游政策措施，起草文化和旅游地方性法规、规章草案。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（二）统筹规划全省文化事业、文化产业和旅游业发展，拟订发展规划并组织实施,推进文化和旅游融合发展，推进文化和旅游体制机制改革。</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全省性重大文化和旅游活动，指导全省重点文化和旅游设施建设，组织全省文化和旅游整体形象宣传推广，促进文化和旅游产业对外合作和国际市场推广，制定旅游市场开发战略并组织实施，指导、推进全域旅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（四）指导、管理全省文艺事业，指导艺术创作生产，扶持体现社会主义核心价值观、具有导向性代表性示范性的文艺作品，推动各门类艺术、各艺术品种发展。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（五）负责全省公共文化事业发展,推进全省文化和旅游公共服务体系建设，深入实施文化和旅游惠民工程，统筹推进基本公共文化服务标准化、均等化。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（六）指导、推进全省文化和旅游科技创新发展，推进文化和旅游行业信息化、标准化建设。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（七）负责全省非物质文化遗产保护，推动非物质文化遗产的保护、传承、普及、弘扬和振兴。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（八）统筹规划全省文化和旅游产业, 组织实施文化和旅游资源普查、挖掘、保护和利用工作, 促进文化和旅游产业发展。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（九）指导全省文化和旅游市场发展，对文化和旅游市场经营进行行业监管，推进全省文化和旅游行业信用体系建设，依法规范文化和旅游市场。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（十）指导全省文化市场综合执法，组织查处全省性、跨区域文化、文物、出版、广播电视、电影、旅游等市场的违法行为，督查督办大案要案，维护市场秩序。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（十一）指导全省文化和旅游对外及对港澳台交流、合作和宣传、推广工作，组织大型文化和旅游对外及对港澳台交流活动，推动湖湘文化走出去。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（十二）管理省文物局。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（十三）完成省委、省政府交办的其他任务。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val="0"/>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sz w:val="32"/>
          <w:szCs w:val="32"/>
        </w:rPr>
        <w:t>省文化和旅游厅机关内设机构15个，主要包括：办公室、政策法规处、人事处、财务处、艺术处、公共服务处、科技教育处、非物质文化遗产处、产业发展处、资源开发与全域旅游推进处（红色旅游指导处）、市场管理处、文化市场综合执法监督处、推广传播和交流合作处13个处室，机关党委、离退休人员管理服务处2个内设机构。</w:t>
      </w:r>
    </w:p>
    <w:p>
      <w:pPr>
        <w:keepNext w:val="0"/>
        <w:keepLines w:val="0"/>
        <w:pageBreakBefore w:val="0"/>
        <w:widowControl/>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算单位构成。湖南省文化和旅游厅2023年部门决算汇总公开单位构成包括：湖南省文化和旅游厅本级以及省文物局、湖南图书馆、湖南文化馆（省非遗保护中心）、省少儿图书馆、省艺术研究院、省博物院、省考古研究院（省文物保护利用中心）、省文化艺术中心、省旅游局信息中心、省导游服务中心、省湘剧院、省花鼓戏保护传承中心、省木偶皮影艺术保护传承中心、省京剧保护传承中心、省文化厅艺术幼儿园、省文化资源开发服务中心、省文化娱乐中心（其中省文化娱乐中心和省文化资源开发服务中心2个转企改制划转省演艺集团的单位因改制配套政策尚未完善，其部门预算编制工作暂归口省文化和旅游厅管理）。2023年10月，湖南艺术职业学院划转至湖南省教育厅管理，该单位决算由省教育厅汇总编报，未纳入我厅汇总，本次分析将剔除湖南艺术职院</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决算数据影响因素。</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方正小标宋_GBK" w:hAnsi="方正小标宋_GBK" w:eastAsia="方正小标宋_GBK" w:cs="方正小标宋_GBK"/>
          <w:color w:val="auto"/>
          <w:sz w:val="84"/>
          <w:szCs w:val="84"/>
        </w:rPr>
      </w:pPr>
      <w:r>
        <w:rPr>
          <w:rFonts w:ascii="方正小标宋_GBK" w:hAnsi="方正小标宋_GBK" w:eastAsia="方正小标宋_GBK" w:cs="方正小标宋_GBK"/>
          <w:color w:val="auto"/>
          <w:sz w:val="84"/>
          <w:szCs w:val="84"/>
        </w:rPr>
        <w:br w:type="page"/>
      </w:r>
    </w:p>
    <w:p>
      <w:pPr>
        <w:pStyle w:val="20"/>
        <w:jc w:val="center"/>
        <w:rPr>
          <w:rFonts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pPr>
        <w:pStyle w:val="20"/>
        <w:jc w:val="center"/>
        <w:rPr>
          <w:rFonts w:ascii="方正小标宋_GBK" w:hAnsi="方正小标宋_GBK" w:eastAsia="方正小标宋_GBK" w:cs="方正小标宋_GBK"/>
          <w:color w:val="auto"/>
          <w:sz w:val="84"/>
          <w:szCs w:val="84"/>
        </w:rPr>
      </w:pPr>
    </w:p>
    <w:p>
      <w:pPr>
        <w:pStyle w:val="20"/>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sectPr>
          <w:pgSz w:w="11906" w:h="16838"/>
          <w:pgMar w:top="2098" w:right="1531" w:bottom="1531" w:left="1531"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0" w:type="dxa"/>
              <w:tblLayout w:type="fixed"/>
              <w:tblCellMar>
                <w:top w:w="0" w:type="dxa"/>
                <w:left w:w="108" w:type="dxa"/>
                <w:bottom w:w="0" w:type="dxa"/>
                <w:right w:w="108" w:type="dxa"/>
              </w:tblCellMar>
            </w:tblPr>
            <w:tblGrid>
              <w:gridCol w:w="4680"/>
              <w:gridCol w:w="866"/>
              <w:gridCol w:w="2517"/>
              <w:gridCol w:w="4133"/>
              <w:gridCol w:w="561"/>
              <w:gridCol w:w="373"/>
              <w:gridCol w:w="2268"/>
            </w:tblGrid>
            <w:tr>
              <w:tblPrEx>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auto"/>
                      <w:sz w:val="32"/>
                      <w:szCs w:val="32"/>
                      <w:shd w:val="clear" w:color="auto" w:fill="auto"/>
                    </w:rPr>
                  </w:pPr>
                  <w:r>
                    <w:rPr>
                      <w:rFonts w:hint="eastAsia" w:ascii="方正小标宋简体" w:hAnsi="方正小标宋简体" w:eastAsia="方正小标宋简体" w:cs="方正小标宋简体"/>
                      <w:color w:val="auto"/>
                      <w:kern w:val="0"/>
                      <w:sz w:val="44"/>
                      <w:szCs w:val="44"/>
                      <w:shd w:val="clear" w:color="auto" w:fill="auto"/>
                    </w:rPr>
                    <w:t>收入支出决算总表</w:t>
                  </w:r>
                </w:p>
              </w:tc>
            </w:tr>
            <w:tr>
              <w:tblPrEx>
                <w:tblCellMar>
                  <w:top w:w="0" w:type="dxa"/>
                  <w:left w:w="108" w:type="dxa"/>
                  <w:bottom w:w="0" w:type="dxa"/>
                  <w:right w:w="108" w:type="dxa"/>
                </w:tblCellMar>
              </w:tblPrEx>
              <w:trPr>
                <w:trHeight w:val="304" w:hRule="atLeast"/>
              </w:trPr>
              <w:tc>
                <w:tcPr>
                  <w:tcW w:w="4680" w:type="dxa"/>
                  <w:tcBorders>
                    <w:top w:val="nil"/>
                    <w:left w:val="nil"/>
                    <w:bottom w:val="nil"/>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866" w:type="dxa"/>
                  <w:tcBorders>
                    <w:top w:val="nil"/>
                    <w:left w:val="nil"/>
                    <w:bottom w:val="nil"/>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2517" w:type="dxa"/>
                  <w:tcBorders>
                    <w:top w:val="nil"/>
                    <w:left w:val="nil"/>
                    <w:bottom w:val="nil"/>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4133" w:type="dxa"/>
                  <w:tcBorders>
                    <w:top w:val="nil"/>
                    <w:left w:val="nil"/>
                    <w:bottom w:val="nil"/>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561" w:type="dxa"/>
                  <w:tcBorders>
                    <w:top w:val="nil"/>
                    <w:left w:val="nil"/>
                    <w:bottom w:val="nil"/>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2641"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公开01表</w:t>
                  </w:r>
                </w:p>
              </w:tc>
            </w:tr>
            <w:tr>
              <w:tblPrEx>
                <w:tblCellMar>
                  <w:top w:w="0" w:type="dxa"/>
                  <w:left w:w="108" w:type="dxa"/>
                  <w:bottom w:w="0" w:type="dxa"/>
                  <w:right w:w="108" w:type="dxa"/>
                </w:tblCellMar>
              </w:tblPrEx>
              <w:trPr>
                <w:trHeight w:val="304" w:hRule="atLeast"/>
              </w:trPr>
              <w:tc>
                <w:tcPr>
                  <w:tcW w:w="4680" w:type="dxa"/>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部门：湖南省文化和旅游厅</w:t>
                  </w:r>
                </w:p>
              </w:tc>
              <w:tc>
                <w:tcPr>
                  <w:tcW w:w="866" w:type="dxa"/>
                  <w:tcBorders>
                    <w:top w:val="nil"/>
                    <w:left w:val="nil"/>
                    <w:bottom w:val="single" w:color="auto" w:sz="4" w:space="0"/>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2517" w:type="dxa"/>
                  <w:tcBorders>
                    <w:top w:val="nil"/>
                    <w:left w:val="nil"/>
                    <w:bottom w:val="single" w:color="auto" w:sz="4" w:space="0"/>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4133" w:type="dxa"/>
                  <w:tcBorders>
                    <w:top w:val="nil"/>
                    <w:left w:val="nil"/>
                    <w:bottom w:val="single" w:color="auto" w:sz="4" w:space="0"/>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561" w:type="dxa"/>
                  <w:tcBorders>
                    <w:top w:val="nil"/>
                    <w:left w:val="nil"/>
                    <w:bottom w:val="single" w:color="auto" w:sz="4" w:space="0"/>
                    <w:right w:val="nil"/>
                  </w:tcBorders>
                  <w:shd w:val="clear" w:color="auto" w:fill="FFFFFF"/>
                  <w:noWrap/>
                  <w:vAlign w:val="center"/>
                </w:tcPr>
                <w:p>
                  <w:pPr>
                    <w:jc w:val="right"/>
                    <w:rPr>
                      <w:rFonts w:ascii="宋体" w:hAnsi="宋体" w:eastAsia="宋体" w:cs="宋体"/>
                      <w:color w:val="auto"/>
                      <w:sz w:val="22"/>
                      <w:szCs w:val="22"/>
                      <w:shd w:val="clear" w:color="auto" w:fill="auto"/>
                    </w:rPr>
                  </w:pPr>
                </w:p>
              </w:tc>
              <w:tc>
                <w:tcPr>
                  <w:tcW w:w="2641" w:type="dxa"/>
                  <w:gridSpan w:val="2"/>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单位：万元</w:t>
                  </w:r>
                </w:p>
              </w:tc>
            </w:tr>
            <w:tr>
              <w:tblPrEx>
                <w:tblCellMar>
                  <w:top w:w="0" w:type="dxa"/>
                  <w:left w:w="108" w:type="dxa"/>
                  <w:bottom w:w="0" w:type="dxa"/>
                  <w:right w:w="108" w:type="dxa"/>
                </w:tblCellMar>
              </w:tblPrEx>
              <w:trPr>
                <w:trHeight w:val="448" w:hRule="atLeast"/>
              </w:trPr>
              <w:tc>
                <w:tcPr>
                  <w:tcW w:w="806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收入</w:t>
                  </w:r>
                </w:p>
              </w:tc>
              <w:tc>
                <w:tcPr>
                  <w:tcW w:w="733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支出</w:t>
                  </w:r>
                </w:p>
              </w:tc>
            </w:tr>
            <w:tr>
              <w:tblPrEx>
                <w:tblCellMar>
                  <w:top w:w="0" w:type="dxa"/>
                  <w:left w:w="108" w:type="dxa"/>
                  <w:bottom w:w="0" w:type="dxa"/>
                  <w:right w:w="108" w:type="dxa"/>
                </w:tblCellMar>
              </w:tblPrEx>
              <w:trPr>
                <w:trHeight w:val="62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项    目</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行次</w:t>
                  </w:r>
                </w:p>
              </w:tc>
              <w:tc>
                <w:tcPr>
                  <w:tcW w:w="25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决算数</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项    目</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行次</w:t>
                  </w:r>
                </w:p>
              </w:tc>
              <w:tc>
                <w:tcPr>
                  <w:tcW w:w="2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决算数</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栏    次</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eastAsia="宋体" w:cs="宋体"/>
                      <w:color w:val="auto"/>
                      <w:sz w:val="22"/>
                      <w:szCs w:val="22"/>
                      <w:shd w:val="clear" w:color="auto" w:fill="auto"/>
                    </w:rPr>
                  </w:pPr>
                </w:p>
              </w:tc>
              <w:tc>
                <w:tcPr>
                  <w:tcW w:w="25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栏    次</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eastAsia="宋体" w:cs="宋体"/>
                      <w:color w:val="auto"/>
                      <w:sz w:val="22"/>
                      <w:szCs w:val="22"/>
                      <w:shd w:val="clear" w:color="auto" w:fill="auto"/>
                    </w:rPr>
                  </w:pPr>
                </w:p>
              </w:tc>
              <w:tc>
                <w:tcPr>
                  <w:tcW w:w="22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一、一般公共预算财政拨款收入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83,028.46</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一、一般公共服务支出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800.61</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二、政府性基金预算财政拨款收入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二、外交支出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三、国有资本经营预算财政拨款收入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三、国防支出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四、上级补助收入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四、公共安全支出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34</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84.50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五、事业收入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11,633.74</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五、教育支出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35</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312.58</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六、经营收入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508.75</w:t>
                  </w:r>
                </w:p>
              </w:tc>
              <w:tc>
                <w:tcPr>
                  <w:tcW w:w="41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六、科学技术支出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112.31</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七、附属单位上缴收入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七、文化旅游体育与传媒支出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37</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95,499.61</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八、其他收入</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1,113.74</w:t>
                  </w: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八、社会保障和就业支出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2,900.22</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九、卫生健康支出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39</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149.54</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十、节能环保支出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58.23</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十一、城乡社区支出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十二、农林水支出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十三、交通运输支出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十四、资源勘探工业信息等支出</w:t>
                  </w:r>
                </w:p>
              </w:tc>
              <w:tc>
                <w:tcPr>
                  <w:tcW w:w="93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44</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15</w:t>
                  </w:r>
                </w:p>
              </w:tc>
              <w:tc>
                <w:tcPr>
                  <w:tcW w:w="25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十五、商业服务业等支出</w:t>
                  </w:r>
                </w:p>
              </w:tc>
              <w:tc>
                <w:tcPr>
                  <w:tcW w:w="934" w:type="dxa"/>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45</w:t>
                  </w:r>
                </w:p>
              </w:tc>
              <w:tc>
                <w:tcPr>
                  <w:tcW w:w="22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16</w:t>
                  </w:r>
                </w:p>
              </w:tc>
              <w:tc>
                <w:tcPr>
                  <w:tcW w:w="2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十六、金融支出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十七、援助其他地区支出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十八、自然资源海洋气象等支出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十九、住房保障支出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2,707.25</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二十、粮油物资储备支出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二十一、国有资本经营预算支出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二十二、灾害防治及应急管理支出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二十三、其他支出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二十四、债务还本支出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二十五、债务付息支出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26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auto"/>
                      <w:sz w:val="22"/>
                      <w:szCs w:val="22"/>
                      <w:shd w:val="clear" w:color="auto" w:fill="auto"/>
                    </w:rPr>
                  </w:pP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二十六、抗疫特别国债安排的支出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56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auto"/>
                      <w:sz w:val="22"/>
                      <w:szCs w:val="22"/>
                      <w:shd w:val="clear" w:color="auto" w:fill="auto"/>
                    </w:rPr>
                  </w:pPr>
                  <w:r>
                    <w:rPr>
                      <w:rFonts w:hint="eastAsia" w:ascii="宋体" w:hAnsi="宋体" w:eastAsia="宋体" w:cs="宋体"/>
                      <w:color w:val="auto"/>
                      <w:kern w:val="0"/>
                      <w:sz w:val="22"/>
                      <w:szCs w:val="22"/>
                      <w:shd w:val="clear" w:color="auto" w:fill="auto"/>
                    </w:rPr>
                    <w:t>0.00</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shd w:val="clear" w:color="auto" w:fill="auto"/>
                    </w:rPr>
                  </w:pPr>
                  <w:r>
                    <w:rPr>
                      <w:rFonts w:hint="eastAsia" w:ascii="宋体" w:hAnsi="宋体" w:eastAsia="宋体" w:cs="宋体"/>
                      <w:b/>
                      <w:color w:val="auto"/>
                      <w:kern w:val="0"/>
                      <w:sz w:val="22"/>
                      <w:szCs w:val="22"/>
                      <w:shd w:val="clear" w:color="auto" w:fill="auto"/>
                    </w:rPr>
                    <w:t>本年收入合计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96,284.69</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2"/>
                      <w:szCs w:val="22"/>
                      <w:shd w:val="clear" w:color="auto" w:fill="auto"/>
                    </w:rPr>
                  </w:pPr>
                  <w:r>
                    <w:rPr>
                      <w:rFonts w:hint="eastAsia" w:ascii="宋体" w:hAnsi="宋体" w:eastAsia="宋体" w:cs="宋体"/>
                      <w:b/>
                      <w:color w:val="auto"/>
                      <w:kern w:val="0"/>
                      <w:sz w:val="22"/>
                      <w:szCs w:val="22"/>
                      <w:shd w:val="clear" w:color="auto" w:fill="auto"/>
                    </w:rPr>
                    <w:t>本年支出合计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57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102,624.87</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 xml:space="preserve">         使用非财政拨款结余</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225.09</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 xml:space="preserve">                结余分配</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58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918.26</w:t>
                  </w:r>
                </w:p>
              </w:tc>
            </w:tr>
            <w:tr>
              <w:tblPrEx>
                <w:tblCellMar>
                  <w:top w:w="0" w:type="dxa"/>
                  <w:left w:w="108" w:type="dxa"/>
                  <w:bottom w:w="0" w:type="dxa"/>
                  <w:right w:w="108" w:type="dxa"/>
                </w:tblCellMar>
              </w:tblPrEx>
              <w:trPr>
                <w:trHeight w:val="62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 xml:space="preserve">         年初结转和结余</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22,675.20</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 xml:space="preserve">                年末结转和结余</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59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15,641.85</w:t>
                  </w:r>
                </w:p>
              </w:tc>
            </w:tr>
            <w:tr>
              <w:tblPrEx>
                <w:tblCellMar>
                  <w:top w:w="0" w:type="dxa"/>
                  <w:left w:w="108" w:type="dxa"/>
                  <w:bottom w:w="0" w:type="dxa"/>
                  <w:right w:w="108" w:type="dxa"/>
                </w:tblCellMar>
              </w:tblPrEx>
              <w:trPr>
                <w:trHeight w:val="448" w:hRule="atLeast"/>
              </w:trPr>
              <w:tc>
                <w:tcPr>
                  <w:tcW w:w="4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auto"/>
                      <w:sz w:val="22"/>
                      <w:szCs w:val="22"/>
                      <w:shd w:val="clear" w:color="auto" w:fill="auto"/>
                    </w:rPr>
                  </w:pPr>
                  <w:r>
                    <w:rPr>
                      <w:rFonts w:hint="eastAsia" w:ascii="宋体" w:hAnsi="宋体" w:eastAsia="宋体" w:cs="宋体"/>
                      <w:b/>
                      <w:color w:val="auto"/>
                      <w:kern w:val="0"/>
                      <w:sz w:val="22"/>
                      <w:szCs w:val="22"/>
                      <w:shd w:val="clear" w:color="auto" w:fill="auto"/>
                    </w:rPr>
                    <w:t>总计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119,184.98</w:t>
                  </w:r>
                </w:p>
              </w:tc>
              <w:tc>
                <w:tcPr>
                  <w:tcW w:w="4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auto"/>
                      <w:sz w:val="22"/>
                      <w:szCs w:val="22"/>
                      <w:shd w:val="clear" w:color="auto" w:fill="auto"/>
                    </w:rPr>
                  </w:pPr>
                  <w:r>
                    <w:rPr>
                      <w:rFonts w:hint="eastAsia" w:ascii="宋体" w:hAnsi="宋体" w:eastAsia="宋体" w:cs="宋体"/>
                      <w:b/>
                      <w:color w:val="auto"/>
                      <w:kern w:val="0"/>
                      <w:sz w:val="22"/>
                      <w:szCs w:val="22"/>
                      <w:shd w:val="clear" w:color="auto" w:fill="auto"/>
                    </w:rPr>
                    <w:t>总计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60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119,184.98</w:t>
                  </w:r>
                </w:p>
              </w:tc>
            </w:tr>
            <w:tr>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注：1.本表反映部门本年度的总收支和年末结转结余情况。</w:t>
                  </w:r>
                </w:p>
                <w:p>
                  <w:pPr>
                    <w:widowControl/>
                    <w:jc w:val="left"/>
                    <w:textAlignment w:val="center"/>
                    <w:rPr>
                      <w:rFonts w:ascii="宋体" w:hAnsi="宋体" w:eastAsia="宋体" w:cs="宋体"/>
                      <w:color w:val="auto"/>
                      <w:sz w:val="22"/>
                      <w:szCs w:val="22"/>
                      <w:shd w:val="clear" w:color="auto" w:fill="auto"/>
                    </w:rPr>
                  </w:pPr>
                  <w:r>
                    <w:rPr>
                      <w:rFonts w:hint="eastAsia" w:ascii="宋体" w:hAnsi="宋体" w:eastAsia="宋体" w:cs="宋体"/>
                      <w:color w:val="auto"/>
                      <w:kern w:val="0"/>
                      <w:sz w:val="22"/>
                      <w:szCs w:val="22"/>
                      <w:shd w:val="clear" w:color="auto" w:fill="auto"/>
                    </w:rPr>
                    <w:t xml:space="preserve">    2.本套报表金额单位转换时可能存在尾数误差。</w:t>
                  </w:r>
                </w:p>
              </w:tc>
            </w:tr>
            <w:tr>
              <w:tblPrEx>
                <w:tblCellMar>
                  <w:top w:w="0" w:type="dxa"/>
                  <w:left w:w="108" w:type="dxa"/>
                  <w:bottom w:w="0" w:type="dxa"/>
                  <w:right w:w="108" w:type="dxa"/>
                </w:tblCellMar>
              </w:tblPrEx>
              <w:trPr>
                <w:trHeight w:val="304" w:hRule="atLeast"/>
              </w:trPr>
              <w:tc>
                <w:tcPr>
                  <w:tcW w:w="15398" w:type="dxa"/>
                  <w:gridSpan w:val="7"/>
                  <w:tcBorders>
                    <w:top w:val="nil"/>
                    <w:left w:val="nil"/>
                    <w:bottom w:val="nil"/>
                    <w:right w:val="nil"/>
                  </w:tcBorders>
                  <w:shd w:val="clear" w:color="auto" w:fill="auto"/>
                  <w:noWrap/>
                  <w:vAlign w:val="center"/>
                </w:tcPr>
                <w:p>
                  <w:pPr>
                    <w:jc w:val="right"/>
                    <w:rPr>
                      <w:rFonts w:ascii="黑体" w:hAnsi="宋体" w:eastAsia="黑体" w:cs="黑体"/>
                      <w:color w:val="auto"/>
                      <w:sz w:val="24"/>
                      <w:szCs w:val="24"/>
                      <w:shd w:val="clear" w:color="auto" w:fill="auto"/>
                    </w:rPr>
                  </w:pPr>
                </w:p>
              </w:tc>
            </w:tr>
          </w:tbl>
          <w:p>
            <w:pPr>
              <w:jc w:val="center"/>
              <w:rPr>
                <w:rFonts w:ascii="华文中宋" w:hAnsi="华文中宋" w:eastAsia="华文中宋" w:cs="宋体"/>
                <w:sz w:val="32"/>
                <w:szCs w:val="32"/>
              </w:rPr>
            </w:pPr>
          </w:p>
        </w:tc>
      </w:tr>
    </w:tbl>
    <w:p>
      <w:pPr>
        <w:widowControl/>
        <w:jc w:val="left"/>
        <w:rPr>
          <w:rFonts w:ascii="Times New Roman" w:hAnsi="Times New Roman" w:eastAsia="黑体" w:cs="Times New Roman"/>
          <w:bCs/>
          <w:kern w:val="0"/>
          <w:sz w:val="32"/>
          <w:szCs w:val="32"/>
        </w:rPr>
        <w:sectPr>
          <w:pgSz w:w="16838" w:h="11906" w:orient="landscape"/>
          <w:pgMar w:top="1417" w:right="720" w:bottom="1134" w:left="720" w:header="851" w:footer="992" w:gutter="0"/>
          <w:cols w:space="425" w:num="1"/>
          <w:docGrid w:type="lines" w:linePitch="312" w:charSpace="0"/>
        </w:sectPr>
      </w:pPr>
      <w:r>
        <w:rPr>
          <w:rFonts w:ascii="Times New Roman" w:hAnsi="Times New Roman" w:eastAsia="黑体" w:cs="Times New Roman"/>
          <w:bCs/>
          <w:kern w:val="0"/>
          <w:sz w:val="32"/>
          <w:szCs w:val="32"/>
        </w:rPr>
        <w:br w:type="page"/>
      </w:r>
    </w:p>
    <w:tbl>
      <w:tblPr>
        <w:tblStyle w:val="13"/>
        <w:tblW w:w="15056" w:type="dxa"/>
        <w:jc w:val="center"/>
        <w:tblLayout w:type="fixed"/>
        <w:tblCellMar>
          <w:top w:w="0" w:type="dxa"/>
          <w:left w:w="0" w:type="dxa"/>
          <w:bottom w:w="0" w:type="dxa"/>
          <w:right w:w="0" w:type="dxa"/>
        </w:tblCellMar>
      </w:tblPr>
      <w:tblGrid>
        <w:gridCol w:w="311"/>
        <w:gridCol w:w="809"/>
        <w:gridCol w:w="2550"/>
        <w:gridCol w:w="1617"/>
        <w:gridCol w:w="9"/>
        <w:gridCol w:w="1307"/>
        <w:gridCol w:w="319"/>
        <w:gridCol w:w="1215"/>
        <w:gridCol w:w="411"/>
        <w:gridCol w:w="1372"/>
        <w:gridCol w:w="254"/>
        <w:gridCol w:w="879"/>
        <w:gridCol w:w="747"/>
        <w:gridCol w:w="1520"/>
        <w:gridCol w:w="106"/>
        <w:gridCol w:w="1630"/>
      </w:tblGrid>
      <w:tr>
        <w:tblPrEx>
          <w:tblCellMar>
            <w:top w:w="0" w:type="dxa"/>
            <w:left w:w="0" w:type="dxa"/>
            <w:bottom w:w="0" w:type="dxa"/>
            <w:right w:w="0" w:type="dxa"/>
          </w:tblCellMar>
        </w:tblPrEx>
        <w:trPr>
          <w:trHeight w:val="435" w:hRule="atLeast"/>
          <w:jc w:val="center"/>
        </w:trPr>
        <w:tc>
          <w:tcPr>
            <w:tcW w:w="15056" w:type="dxa"/>
            <w:gridSpan w:val="1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32"/>
                <w:szCs w:val="32"/>
              </w:rPr>
            </w:pPr>
            <w:r>
              <w:rPr>
                <w:rFonts w:hint="eastAsia" w:ascii="方正小标宋简体" w:hAnsi="方正小标宋简体" w:eastAsia="方正小标宋简体" w:cs="方正小标宋简体"/>
                <w:sz w:val="44"/>
                <w:szCs w:val="44"/>
              </w:rPr>
              <w:t>收入决算表</w:t>
            </w:r>
          </w:p>
        </w:tc>
      </w:tr>
      <w:tr>
        <w:tblPrEx>
          <w:tblCellMar>
            <w:top w:w="0" w:type="dxa"/>
            <w:left w:w="0" w:type="dxa"/>
            <w:bottom w:w="0" w:type="dxa"/>
            <w:right w:w="0" w:type="dxa"/>
          </w:tblCellMar>
        </w:tblPrEx>
        <w:trPr>
          <w:trHeight w:val="285" w:hRule="atLeast"/>
          <w:jc w:val="center"/>
        </w:trPr>
        <w:tc>
          <w:tcPr>
            <w:tcW w:w="3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8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25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6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31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5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7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13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226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7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公开02表</w:t>
            </w:r>
          </w:p>
        </w:tc>
      </w:tr>
      <w:tr>
        <w:tblPrEx>
          <w:tblCellMar>
            <w:top w:w="0" w:type="dxa"/>
            <w:left w:w="0" w:type="dxa"/>
            <w:bottom w:w="0" w:type="dxa"/>
            <w:right w:w="0" w:type="dxa"/>
          </w:tblCellMar>
        </w:tblPrEx>
        <w:trPr>
          <w:trHeight w:val="285" w:hRule="atLeast"/>
          <w:jc w:val="center"/>
        </w:trPr>
        <w:tc>
          <w:tcPr>
            <w:tcW w:w="5287"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部门：湖南省文化和旅游厅　</w:t>
            </w:r>
          </w:p>
        </w:tc>
        <w:tc>
          <w:tcPr>
            <w:tcW w:w="1316"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534"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783"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133"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2267"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w:t>
            </w:r>
          </w:p>
        </w:tc>
        <w:tc>
          <w:tcPr>
            <w:tcW w:w="1736"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单位：万元</w:t>
            </w:r>
          </w:p>
        </w:tc>
      </w:tr>
      <w:tr>
        <w:tblPrEx>
          <w:tblCellMar>
            <w:top w:w="0" w:type="dxa"/>
            <w:left w:w="0" w:type="dxa"/>
            <w:bottom w:w="0" w:type="dxa"/>
            <w:right w:w="0" w:type="dxa"/>
          </w:tblCellMar>
        </w:tblPrEx>
        <w:trPr>
          <w:trHeight w:val="450" w:hRule="atLeast"/>
          <w:jc w:val="center"/>
        </w:trPr>
        <w:tc>
          <w:tcPr>
            <w:tcW w:w="367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    目</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本年收入合计</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财政拨款收入</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上级补助收入</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事业收入</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经营收入</w:t>
            </w:r>
          </w:p>
        </w:tc>
        <w:tc>
          <w:tcPr>
            <w:tcW w:w="1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附属单位上缴收入</w:t>
            </w:r>
          </w:p>
        </w:tc>
        <w:tc>
          <w:tcPr>
            <w:tcW w:w="16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其他收入</w:t>
            </w:r>
          </w:p>
        </w:tc>
      </w:tr>
      <w:tr>
        <w:tblPrEx>
          <w:tblCellMar>
            <w:top w:w="0" w:type="dxa"/>
            <w:left w:w="0" w:type="dxa"/>
            <w:bottom w:w="0" w:type="dxa"/>
            <w:right w:w="0" w:type="dxa"/>
          </w:tblCellMar>
        </w:tblPrEx>
        <w:trPr>
          <w:trHeight w:val="450" w:hRule="atLeast"/>
          <w:jc w:val="center"/>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功能分类科目编码</w:t>
            </w:r>
          </w:p>
        </w:tc>
        <w:tc>
          <w:tcPr>
            <w:tcW w:w="25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科目名称</w:t>
            </w: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r>
      <w:tr>
        <w:tblPrEx>
          <w:tblCellMar>
            <w:top w:w="0" w:type="dxa"/>
            <w:left w:w="0" w:type="dxa"/>
            <w:bottom w:w="0" w:type="dxa"/>
            <w:right w:w="0" w:type="dxa"/>
          </w:tblCellMar>
        </w:tblPrEx>
        <w:trPr>
          <w:trHeight w:val="450" w:hRule="atLeast"/>
          <w:jc w:val="center"/>
        </w:trPr>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2"/>
                <w:szCs w:val="22"/>
              </w:rPr>
            </w:pPr>
          </w:p>
        </w:tc>
      </w:tr>
      <w:tr>
        <w:tblPrEx>
          <w:tblCellMar>
            <w:top w:w="0" w:type="dxa"/>
            <w:left w:w="0" w:type="dxa"/>
            <w:bottom w:w="0" w:type="dxa"/>
            <w:right w:w="0" w:type="dxa"/>
          </w:tblCellMar>
        </w:tblPrEx>
        <w:trPr>
          <w:trHeight w:val="450" w:hRule="atLeast"/>
          <w:jc w:val="center"/>
        </w:trPr>
        <w:tc>
          <w:tcPr>
            <w:tcW w:w="36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sz w:val="22"/>
                <w:szCs w:val="22"/>
                <w:shd w:val="clear" w:color="auto" w:fill="auto"/>
              </w:rPr>
              <w:t>栏次</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1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r>
      <w:tr>
        <w:tblPrEx>
          <w:tblCellMar>
            <w:top w:w="0" w:type="dxa"/>
            <w:left w:w="0" w:type="dxa"/>
            <w:bottom w:w="0" w:type="dxa"/>
            <w:right w:w="0" w:type="dxa"/>
          </w:tblCellMar>
        </w:tblPrEx>
        <w:trPr>
          <w:trHeight w:val="450" w:hRule="atLeast"/>
          <w:jc w:val="center"/>
        </w:trPr>
        <w:tc>
          <w:tcPr>
            <w:tcW w:w="36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sz w:val="22"/>
                <w:szCs w:val="22"/>
                <w:shd w:val="clear" w:color="auto" w:fill="auto"/>
              </w:rPr>
              <w:t>合计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96,284.69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83,028.46</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11,633.74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508.75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kern w:val="0"/>
                <w:sz w:val="22"/>
                <w:szCs w:val="22"/>
              </w:rPr>
              <w:t>1,113.74</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一般公共服务支出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806.00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806.00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20104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发展与改革事务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2010499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其他发展与改革事务支出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20123</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民族事务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2012304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民族工作专项</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20136</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其他共产党事务支出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2013602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一般行政管理事务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公共安全支出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20402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公安</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2040202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一般行政管理事务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205</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教育支出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248.41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248.41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20502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普通教育</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139.00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139.00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2050201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学前教育</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139.00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139.00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20508</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shd w:val="clear" w:color="auto" w:fill="auto"/>
              </w:rPr>
            </w:pPr>
            <w:r>
              <w:rPr>
                <w:rFonts w:hint="eastAsia" w:asciiTheme="minorEastAsia" w:hAnsiTheme="minorEastAsia" w:eastAsiaTheme="minorEastAsia" w:cstheme="minorEastAsia"/>
                <w:kern w:val="0"/>
                <w:sz w:val="22"/>
                <w:szCs w:val="22"/>
                <w:shd w:val="clear" w:color="auto" w:fill="auto"/>
              </w:rPr>
              <w:t>进修及培训</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109.41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109.41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2050803</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培训支出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99.50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99.50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2050899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其他进修及培训</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9.91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9.91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科学技术支出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159.60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159.60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20606</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社会科学</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2060603</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社科基金支出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2060699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其他社会科学支出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20609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科技重大项目</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2060902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重点研发计划</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其他科学技术支出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2069999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其他科学技术支出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文化旅游体育与传媒支出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88,945.54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75,934.10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11,414.02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508.75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1,088.67</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文化和旅游</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59,489.57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54,731.63</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3,372.64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508.75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876.55</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行政运行</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4,158.41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4,156.60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1.81</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一般行政管理事务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图书馆</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8,440.60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8,261.90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153.19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25.52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2070106</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艺术表演场所</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3,411.53</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420.82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2,591.05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227.75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171.91</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2070107</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艺术表演团体</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7,387.75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6,433.67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510.57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443.52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2070109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群众文化</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2,849.54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2,787.40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61.91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0.23</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2070111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文化创作与保护</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1,679.42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1,666.05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13.16</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0.21</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2070113</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旅游宣传</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8,772.30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8,772.30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2070114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文化和旅游管理事务</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535.53</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488.62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42.75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4.16</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2070199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其他文化和旅游支出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22,179.48</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21,669.28</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281.00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229.20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文物</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26,858.57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18,605.07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8,041.38</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212.12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2070201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行政运行</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954.10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954.10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2070204</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文物保护</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6,590.02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2,308.67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4,281.35</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2070205</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博物馆</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17,149.94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13,192.30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3,745.52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212.12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2070299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其他文物支出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2,164.51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2,150.00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14.51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其他文化旅游体育与传媒支出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2,597.40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2,597.40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2079999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其他文化旅游体育与传媒支出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2,597.40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2,597.40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社会保障和就业支出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3,093.14</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3,012.77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67.62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12.76</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20805</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行政事业单位养老支出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2,991.91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2,913.87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67.62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10.42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2080501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行政单位离退休</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277.50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277.50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2080505</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机关事业单位基本养老保险缴费支出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2,395.59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2,318.98</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67.62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8.99</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2080506</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机关事业单位职业年金缴费支出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318.82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317.39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1.43</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20808</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抚恤</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98.23</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95.90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2.33</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2080801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死亡抚恤</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98.23</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95.90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2.33</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其他社会保障和就业支出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2089999</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其他社会保障和就业支出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210</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卫生健康支出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180.80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178.89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21011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行政事业单位医疗</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180.80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178.89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2101101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行政单位医疗</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45.00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2101102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事业单位医疗</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135.80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133.89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1.92</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节能环保支出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21110</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能源节约利用</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2111001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能源节约利用</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住房保障支出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2,761.19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2,598.69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152.10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10.40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22102</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住房改革支出</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2,761.19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2,598.69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152.10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10.40</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2210201</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住房公积金</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2,322.01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2,199.07</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115.31</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7.63</w:t>
            </w:r>
          </w:p>
        </w:tc>
      </w:tr>
      <w:tr>
        <w:tblPrEx>
          <w:tblCellMar>
            <w:top w:w="0" w:type="dxa"/>
            <w:left w:w="0" w:type="dxa"/>
            <w:bottom w:w="0" w:type="dxa"/>
            <w:right w:w="0" w:type="dxa"/>
          </w:tblCellMar>
        </w:tblPrEx>
        <w:trPr>
          <w:trHeight w:val="450" w:hRule="atLeast"/>
          <w:jc w:val="center"/>
        </w:trPr>
        <w:tc>
          <w:tcPr>
            <w:tcW w:w="11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2210203</w:t>
            </w:r>
          </w:p>
        </w:tc>
        <w:tc>
          <w:tcPr>
            <w:tcW w:w="25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购房补贴</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439.18</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399.62</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36.79</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0.00</w:t>
            </w:r>
          </w:p>
        </w:tc>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2.77</w:t>
            </w:r>
          </w:p>
        </w:tc>
      </w:tr>
      <w:tr>
        <w:tblPrEx>
          <w:tblCellMar>
            <w:top w:w="0" w:type="dxa"/>
            <w:left w:w="0" w:type="dxa"/>
            <w:bottom w:w="0" w:type="dxa"/>
            <w:right w:w="0" w:type="dxa"/>
          </w:tblCellMar>
        </w:tblPrEx>
        <w:trPr>
          <w:trHeight w:val="615" w:hRule="atLeast"/>
          <w:jc w:val="center"/>
        </w:trPr>
        <w:tc>
          <w:tcPr>
            <w:tcW w:w="15056" w:type="dxa"/>
            <w:gridSpan w:val="16"/>
            <w:tcBorders>
              <w:top w:val="single" w:color="auto" w:sz="4" w:space="0"/>
              <w:left w:val="nil"/>
              <w:bottom w:val="nil"/>
              <w:right w:val="nil"/>
            </w:tcBorders>
            <w:shd w:val="clear" w:color="auto" w:fill="auto"/>
            <w:tcMar>
              <w:top w:w="15" w:type="dxa"/>
              <w:left w:w="15" w:type="dxa"/>
              <w:bottom w:w="0" w:type="dxa"/>
              <w:right w:w="15" w:type="dxa"/>
            </w:tcMar>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注：本表反映部门本年度取得的各项收入情况。</w:t>
            </w:r>
          </w:p>
        </w:tc>
      </w:tr>
    </w:tbl>
    <w:p>
      <w:pPr>
        <w:pStyle w:val="17"/>
      </w:pPr>
    </w:p>
    <w:p>
      <w:pPr>
        <w:pStyle w:val="17"/>
      </w:pPr>
    </w:p>
    <w:p>
      <w:pPr>
        <w:widowControl/>
        <w:rPr>
          <w:rFonts w:ascii="Times New Roman" w:hAnsi="Times New Roman" w:eastAsia="方正小标宋_GBK" w:cs="Times New Roman"/>
          <w:kern w:val="0"/>
          <w:sz w:val="36"/>
          <w:szCs w:val="36"/>
        </w:rPr>
        <w:sectPr>
          <w:pgSz w:w="16838" w:h="11906" w:orient="landscape"/>
          <w:pgMar w:top="1417" w:right="720" w:bottom="1134" w:left="720" w:header="851" w:footer="992" w:gutter="0"/>
          <w:cols w:space="425" w:num="1"/>
          <w:docGrid w:type="lines" w:linePitch="312" w:charSpace="0"/>
        </w:sectPr>
      </w:pPr>
    </w:p>
    <w:tbl>
      <w:tblPr>
        <w:tblStyle w:val="13"/>
        <w:tblpPr w:leftFromText="181" w:rightFromText="181" w:vertAnchor="text" w:horzAnchor="page" w:tblpX="812" w:tblpY="1"/>
        <w:tblOverlap w:val="never"/>
        <w:tblW w:w="15640" w:type="dxa"/>
        <w:tblInd w:w="0" w:type="dxa"/>
        <w:tblLayout w:type="fixed"/>
        <w:tblCellMar>
          <w:top w:w="0" w:type="dxa"/>
          <w:left w:w="108" w:type="dxa"/>
          <w:bottom w:w="0" w:type="dxa"/>
          <w:right w:w="108" w:type="dxa"/>
        </w:tblCellMar>
      </w:tblPr>
      <w:tblGrid>
        <w:gridCol w:w="1236"/>
        <w:gridCol w:w="263"/>
        <w:gridCol w:w="2740"/>
        <w:gridCol w:w="1917"/>
        <w:gridCol w:w="2100"/>
        <w:gridCol w:w="1767"/>
        <w:gridCol w:w="2033"/>
        <w:gridCol w:w="1883"/>
        <w:gridCol w:w="1701"/>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方正小标宋简体" w:hAnsi="方正小标宋简体" w:eastAsia="方正小标宋简体" w:cs="方正小标宋简体"/>
                <w:kern w:val="0"/>
                <w:sz w:val="44"/>
                <w:szCs w:val="44"/>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9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公开03表</w:t>
            </w:r>
          </w:p>
        </w:tc>
      </w:tr>
      <w:tr>
        <w:tblPrEx>
          <w:tblCellMar>
            <w:top w:w="0" w:type="dxa"/>
            <w:left w:w="108" w:type="dxa"/>
            <w:bottom w:w="0" w:type="dxa"/>
            <w:right w:w="108" w:type="dxa"/>
          </w:tblCellMar>
        </w:tblPrEx>
        <w:trPr>
          <w:trHeight w:val="403" w:hRule="atLeast"/>
        </w:trPr>
        <w:tc>
          <w:tcPr>
            <w:tcW w:w="6156"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部门：湖南省文化和旅游厅　</w:t>
            </w:r>
          </w:p>
        </w:tc>
        <w:tc>
          <w:tcPr>
            <w:tcW w:w="2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67"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8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595" w:hRule="atLeast"/>
        </w:trPr>
        <w:tc>
          <w:tcPr>
            <w:tcW w:w="42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19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本年支出合计</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1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c>
          <w:tcPr>
            <w:tcW w:w="20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上缴上级支出</w:t>
            </w:r>
          </w:p>
        </w:tc>
        <w:tc>
          <w:tcPr>
            <w:tcW w:w="18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功能分类科目编码</w:t>
            </w:r>
          </w:p>
        </w:tc>
        <w:tc>
          <w:tcPr>
            <w:tcW w:w="2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595" w:hRule="atLeast"/>
        </w:trPr>
        <w:tc>
          <w:tcPr>
            <w:tcW w:w="42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9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7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0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8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595" w:hRule="atLeast"/>
        </w:trPr>
        <w:tc>
          <w:tcPr>
            <w:tcW w:w="42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102,624.87</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37,359.57</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64,756.55</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508.75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b/>
                <w:bCs/>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一般公共服务支出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800.61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800.61</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20104</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发展与改革事务</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799.61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799.61</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2010499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其他发展与改革事务支出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799.61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799.61</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20136</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其他共产党事务支出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2013602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一般行政管理事务</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204</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公共安全支出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20402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公安</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2040202</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一般行政管理事务</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34.65</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34.65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2040220</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执法办案</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49.85</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49.85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教育支出</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312.58</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9.91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302.67</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20502</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普通教育</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139.00</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139.00</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2050201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学前教育</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139.00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139.00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20508</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进修及培训</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173.58</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9.91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163.67</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2050803</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培训支出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163.67</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163.67</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2050899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其他进修及培训</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9.91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9.91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科学技术支出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112.31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112.31</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20606</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社会科学</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13.26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13.26</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2060603</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社科基金支出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13.26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13.26</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20609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科技重大项目</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59.05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59.05</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2060902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重点研发计划</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59.05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59.05</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其他科学技术支出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2069999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其他科学技术支出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文化旅游体育与传媒支出</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95,499.61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31,612.47</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63,378.39</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508.75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文化和旅游</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62,132.32</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23,823.39</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37,800.18</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508.75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2070101</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行政运行</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4,003.18</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4,003.18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2070102</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一般行政管理事务</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74.20</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74.20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2070104</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图书馆</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8,356.15</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5,740.11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2,616.03</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2070106</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艺术表演场所</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3,301.04</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1,445.35</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1,627.94</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227.75</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2070107</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艺术表演团体</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7,262.58</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6,678.38</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584.20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2070109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群众文化</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2,498.85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2,023.33</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475.52</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2070111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文化创作与保护</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1,833.10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923.17</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909.93</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2070112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文化和旅游市场管理</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156.10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156.10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2070113</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旅游宣传</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9,618.57</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9,618.57</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2070114</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文化和旅游管理事务</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502.12</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153.06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349.07</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2070199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其他文化和旅游支出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24,526.44</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2,856.81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21,388.62</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文物</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29,619.02</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7,788.47</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21,830.54</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2070201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行政运行</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952.39</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924.39</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2070204</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文物保护</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6,300.53</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2,081.92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4,218.61</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2070205</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博物馆</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19,493.84</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4,782.16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14,711.68</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2070299</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其他文物支出</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2,872.26</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2,872.26</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20799</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其他文化旅游体育与传媒支出</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3,748.27</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0.61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3,747.66</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2079999</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其他文化旅游体育与传媒支出</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3,748.27</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0.61</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3,747.66</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社会保障和就业支出</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2,900.22</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2,880.39</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19.83</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20805</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行政事业单位养老支出</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2,816.70</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2,816.70</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2080501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行政单位离退休</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244.85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244.85</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2080505</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2,253.63</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2,253.63</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2080506</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机关事业单位职业年金缴费支出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318.21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318.21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20808</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抚恤</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80.16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60.33</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19.83</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2080801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死亡抚恤</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80.16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60.33</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19.83</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其他社会保障和就业支出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3.36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3.36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2089999</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其他社会保障和就业支出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3.36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3.36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卫生健康支出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149.54</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149.54</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21011</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行政事业单位医疗</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148.74</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148.74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2101101</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行政单位医疗</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40.24</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40.24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2101102</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事业单位医疗</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108.50</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108.50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21099</w:t>
            </w:r>
          </w:p>
        </w:tc>
        <w:tc>
          <w:tcPr>
            <w:tcW w:w="2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其他卫生健康支出</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0.80</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2109999</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其他卫生健康支出</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0.80</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0.80</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节能环保支出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58.23</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58.23</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21103</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污染防治</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2110399</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其他污染防治支出</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21110</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能源节约利用</w:t>
            </w:r>
          </w:p>
        </w:tc>
        <w:tc>
          <w:tcPr>
            <w:tcW w:w="19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38.23</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38.23</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2111001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能源节约利用</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38.23</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38.23</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221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住房保障支出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2,707.25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2,707.25</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22102</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住房改革支出</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2,707.25</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2,707.25</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2210201</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2,268.07</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2,268.07</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2210203</w:t>
            </w:r>
          </w:p>
        </w:tc>
        <w:tc>
          <w:tcPr>
            <w:tcW w:w="274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购房补贴</w:t>
            </w:r>
          </w:p>
        </w:tc>
        <w:tc>
          <w:tcPr>
            <w:tcW w:w="19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439.18</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439.18</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20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注：本表反映部门本年度各项支出情况。</w:t>
            </w:r>
          </w:p>
        </w:tc>
      </w:tr>
    </w:tbl>
    <w:p>
      <w:pPr>
        <w:widowControl/>
        <w:rPr>
          <w:rFonts w:ascii="Times New Roman" w:hAnsi="Times New Roman" w:eastAsia="方正小标宋_GBK" w:cs="Times New Roman"/>
          <w:kern w:val="0"/>
          <w:sz w:val="36"/>
          <w:szCs w:val="21"/>
        </w:rPr>
        <w:sectPr>
          <w:pgSz w:w="16838" w:h="11906" w:orient="landscape"/>
          <w:pgMar w:top="1417" w:right="720" w:bottom="1134" w:left="720" w:header="851" w:footer="992" w:gutter="0"/>
          <w:cols w:space="425" w:num="1"/>
          <w:docGrid w:type="lines" w:linePitch="312" w:charSpace="0"/>
        </w:sectPr>
      </w:pPr>
    </w:p>
    <w:tbl>
      <w:tblPr>
        <w:tblStyle w:val="13"/>
        <w:tblW w:w="15521" w:type="dxa"/>
        <w:tblInd w:w="93" w:type="dxa"/>
        <w:tblLayout w:type="fixed"/>
        <w:tblCellMar>
          <w:top w:w="0" w:type="dxa"/>
          <w:left w:w="108" w:type="dxa"/>
          <w:bottom w:w="0" w:type="dxa"/>
          <w:right w:w="108" w:type="dxa"/>
        </w:tblCellMar>
      </w:tblPr>
      <w:tblGrid>
        <w:gridCol w:w="3563"/>
        <w:gridCol w:w="710"/>
        <w:gridCol w:w="1733"/>
        <w:gridCol w:w="3195"/>
        <w:gridCol w:w="272"/>
        <w:gridCol w:w="750"/>
        <w:gridCol w:w="1400"/>
        <w:gridCol w:w="1366"/>
        <w:gridCol w:w="1217"/>
        <w:gridCol w:w="1315"/>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方正小标宋简体" w:hAnsi="方正小标宋简体" w:eastAsia="方正小标宋简体" w:cs="方正小标宋简体"/>
                <w:kern w:val="0"/>
                <w:sz w:val="44"/>
                <w:szCs w:val="44"/>
              </w:rPr>
              <w:t>财政拨款收入支出决算总表</w:t>
            </w:r>
          </w:p>
        </w:tc>
      </w:tr>
      <w:tr>
        <w:tblPrEx>
          <w:tblCellMar>
            <w:top w:w="0" w:type="dxa"/>
            <w:left w:w="108" w:type="dxa"/>
            <w:bottom w:w="0" w:type="dxa"/>
            <w:right w:w="108" w:type="dxa"/>
          </w:tblCellMar>
        </w:tblPrEx>
        <w:trPr>
          <w:trHeight w:val="199" w:hRule="atLeast"/>
        </w:trPr>
        <w:tc>
          <w:tcPr>
            <w:tcW w:w="35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3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公开04表</w:t>
            </w:r>
          </w:p>
        </w:tc>
      </w:tr>
      <w:tr>
        <w:tblPrEx>
          <w:tblCellMar>
            <w:top w:w="0" w:type="dxa"/>
            <w:left w:w="108" w:type="dxa"/>
            <w:bottom w:w="0" w:type="dxa"/>
            <w:right w:w="108" w:type="dxa"/>
          </w:tblCellMar>
        </w:tblPrEx>
        <w:trPr>
          <w:trHeight w:val="300" w:hRule="atLeast"/>
        </w:trPr>
        <w:tc>
          <w:tcPr>
            <w:tcW w:w="3563"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部门：湖南省文化和旅游厅</w:t>
            </w:r>
          </w:p>
        </w:tc>
        <w:tc>
          <w:tcPr>
            <w:tcW w:w="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7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1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3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402" w:hRule="atLeast"/>
        </w:trPr>
        <w:tc>
          <w:tcPr>
            <w:tcW w:w="600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951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支出</w:t>
            </w:r>
          </w:p>
        </w:tc>
      </w:tr>
      <w:tr>
        <w:tblPrEx>
          <w:tblCellMar>
            <w:top w:w="0" w:type="dxa"/>
            <w:left w:w="108" w:type="dxa"/>
            <w:bottom w:w="0" w:type="dxa"/>
            <w:right w:w="108" w:type="dxa"/>
          </w:tblCellMar>
        </w:tblPrEx>
        <w:trPr>
          <w:trHeight w:val="630"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一般公共预算财政拨款</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政府性基金预算财政拨款</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国有资本经营预算财政拨款</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3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sz w:val="22"/>
                <w:szCs w:val="22"/>
              </w:rPr>
            </w:pPr>
            <w:r>
              <w:rPr>
                <w:rFonts w:hint="eastAsia" w:ascii="宋体" w:hAnsi="宋体" w:eastAsia="宋体" w:cs="宋体"/>
                <w:kern w:val="0"/>
                <w:sz w:val="22"/>
                <w:szCs w:val="22"/>
              </w:rPr>
              <w:t>83,028.46</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一、一般公共服务支出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33</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800.61</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800.61</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二、政府性基金预算财政拨款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二、外交支出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34</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三、国有资本经营预算财政拨款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三、国防支出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四、公共安全支出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36</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84.50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五、教育支出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37</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312.58</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312.58</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六、科学技术支出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38</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112.31</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112.31</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七、文化旅游体育与传媒支出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39</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80,337.73</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80,337.73</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八、社会保障和就业支出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2,819.85</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2,819.85</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九、卫生健康支出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41</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147.62</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147.62</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十、节能环保支出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42</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58.23</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58.23</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十一、城乡社区支出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43</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十二、农林水支出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44</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十三、交通运输支出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45</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十四、资源勘探工业信息等支出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46</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十五、商业服务业等支出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十六、金融支出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17</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十七、援助其他地区支出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十八、自然资源海洋气象等支出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19</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十九、住房保障支出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2,544.75</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2,544.75</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二十、粮油物资储备支出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21</w:t>
            </w:r>
          </w:p>
        </w:tc>
        <w:tc>
          <w:tcPr>
            <w:tcW w:w="17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二十一、国有资本经营预算支出</w:t>
            </w:r>
          </w:p>
        </w:tc>
        <w:tc>
          <w:tcPr>
            <w:tcW w:w="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53</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22</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二十二、灾害防治及应急管理支出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54</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23</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二十三、其他支出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55</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二十四、债务还本支出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56</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25</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二十五、债务付息支出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57</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26</w:t>
            </w:r>
          </w:p>
        </w:tc>
        <w:tc>
          <w:tcPr>
            <w:tcW w:w="1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kern w:val="0"/>
                <w:sz w:val="22"/>
                <w:szCs w:val="22"/>
              </w:rPr>
              <w:t>二十六、抗疫特别国债安排的支出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58</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本年收入合计</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27</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83,028.46</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本年支出合计</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59</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87,218.19</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87,218.19</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年初财政拨款结转和结余</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19,164.20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年末财政拨款结转和结余</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60</w:t>
            </w:r>
          </w:p>
        </w:tc>
        <w:tc>
          <w:tcPr>
            <w:tcW w:w="14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14,974.47</w:t>
            </w:r>
          </w:p>
        </w:tc>
        <w:tc>
          <w:tcPr>
            <w:tcW w:w="136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14,974.47</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一般公共预算财政拨款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29</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19,164.20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61</w:t>
            </w:r>
          </w:p>
        </w:tc>
        <w:tc>
          <w:tcPr>
            <w:tcW w:w="14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6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2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政府性基金预算财政拨款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62</w:t>
            </w:r>
          </w:p>
        </w:tc>
        <w:tc>
          <w:tcPr>
            <w:tcW w:w="14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6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2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国有资本经营预算财政拨款</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31</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szCs w:val="22"/>
              </w:rPr>
            </w:pPr>
            <w:r>
              <w:rPr>
                <w:rFonts w:hint="eastAsia" w:ascii="宋体" w:hAnsi="宋体" w:eastAsia="宋体" w:cs="宋体"/>
                <w:kern w:val="0"/>
                <w:sz w:val="22"/>
                <w:szCs w:val="22"/>
              </w:rPr>
              <w:t>0.00</w:t>
            </w:r>
          </w:p>
        </w:tc>
        <w:tc>
          <w:tcPr>
            <w:tcW w:w="34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63</w:t>
            </w:r>
          </w:p>
        </w:tc>
        <w:tc>
          <w:tcPr>
            <w:tcW w:w="14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6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2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c>
          <w:tcPr>
            <w:tcW w:w="13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总计</w:t>
            </w:r>
          </w:p>
        </w:tc>
        <w:tc>
          <w:tcPr>
            <w:tcW w:w="710"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w:t>
            </w:r>
          </w:p>
        </w:tc>
        <w:tc>
          <w:tcPr>
            <w:tcW w:w="1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102,192.65</w:t>
            </w:r>
          </w:p>
        </w:tc>
        <w:tc>
          <w:tcPr>
            <w:tcW w:w="34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总计</w:t>
            </w:r>
          </w:p>
        </w:tc>
        <w:tc>
          <w:tcPr>
            <w:tcW w:w="750"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64</w:t>
            </w:r>
          </w:p>
        </w:tc>
        <w:tc>
          <w:tcPr>
            <w:tcW w:w="1400"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102,192.65</w:t>
            </w:r>
          </w:p>
        </w:tc>
        <w:tc>
          <w:tcPr>
            <w:tcW w:w="1366"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102,192.65</w:t>
            </w:r>
          </w:p>
        </w:tc>
        <w:tc>
          <w:tcPr>
            <w:tcW w:w="12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0.00</w:t>
            </w:r>
          </w:p>
        </w:tc>
        <w:tc>
          <w:tcPr>
            <w:tcW w:w="13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szCs w:val="22"/>
              </w:rPr>
            </w:pPr>
            <w:r>
              <w:rPr>
                <w:rFonts w:hint="eastAsia" w:ascii="宋体" w:hAnsi="宋体" w:eastAsia="宋体" w:cs="宋体"/>
                <w:kern w:val="0"/>
                <w:sz w:val="22"/>
                <w:szCs w:val="22"/>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注：本表反映部门本年度一般公共预算财政拨款、政府性基金预算财政拨款和国有资本经营预算财政拨款的总收支和年末结转结余情况。</w:t>
            </w:r>
          </w:p>
        </w:tc>
      </w:tr>
    </w:tbl>
    <w:p>
      <w:pPr>
        <w:pStyle w:val="17"/>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sectPr>
          <w:pgSz w:w="16838" w:h="11906" w:orient="landscape"/>
          <w:pgMar w:top="1417" w:right="720" w:bottom="1134" w:left="720" w:header="851" w:footer="992" w:gutter="0"/>
          <w:cols w:space="425" w:num="1"/>
          <w:docGrid w:type="lines" w:linePitch="312" w:charSpace="0"/>
        </w:sectPr>
      </w:pPr>
    </w:p>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一般公共预算财政拨款支出决算表</w:t>
      </w:r>
      <w:bookmarkEnd w:id="1"/>
    </w:p>
    <w:p>
      <w:pPr>
        <w:widowControl/>
        <w:spacing w:beforeLines="50"/>
        <w:ind w:firstLine="660" w:firstLineChars="30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部门：湖南省文化和旅游厅    </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公开05表</w:t>
      </w:r>
    </w:p>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单位：万元</w:t>
      </w:r>
    </w:p>
    <w:tbl>
      <w:tblPr>
        <w:tblStyle w:val="13"/>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527"/>
        <w:gridCol w:w="3000"/>
        <w:gridCol w:w="349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727" w:type="dxa"/>
            <w:gridSpan w:val="2"/>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项    目</w:t>
            </w:r>
          </w:p>
        </w:tc>
        <w:tc>
          <w:tcPr>
            <w:tcW w:w="9492" w:type="dxa"/>
            <w:gridSpan w:val="3"/>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vMerge w:val="restart"/>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功能分类科目编码</w:t>
            </w:r>
          </w:p>
        </w:tc>
        <w:tc>
          <w:tcPr>
            <w:tcW w:w="3527" w:type="dxa"/>
            <w:vMerge w:val="restart"/>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科目名称</w:t>
            </w:r>
          </w:p>
        </w:tc>
        <w:tc>
          <w:tcPr>
            <w:tcW w:w="3000" w:type="dxa"/>
            <w:vMerge w:val="restart"/>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小计</w:t>
            </w:r>
          </w:p>
        </w:tc>
        <w:tc>
          <w:tcPr>
            <w:tcW w:w="3492" w:type="dxa"/>
            <w:vMerge w:val="restart"/>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基本支出</w:t>
            </w:r>
          </w:p>
        </w:tc>
        <w:tc>
          <w:tcPr>
            <w:tcW w:w="3000" w:type="dxa"/>
            <w:vMerge w:val="restart"/>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0"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527"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492"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vAlign w:val="center"/>
          </w:tcPr>
          <w:p>
            <w:pPr>
              <w:widowControl/>
              <w:jc w:val="left"/>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0"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527"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492" w:type="dxa"/>
            <w:vMerge w:val="continue"/>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vAlign w:val="center"/>
          </w:tcPr>
          <w:p>
            <w:pPr>
              <w:widowControl/>
              <w:jc w:val="left"/>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栏次</w:t>
            </w:r>
          </w:p>
        </w:tc>
        <w:tc>
          <w:tcPr>
            <w:tcW w:w="3000" w:type="dxa"/>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3492" w:type="dxa"/>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3000" w:type="dxa"/>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kern w:val="0"/>
                <w:sz w:val="22"/>
                <w:szCs w:val="22"/>
              </w:rPr>
              <w:t>87,218.19</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kern w:val="0"/>
                <w:sz w:val="22"/>
                <w:szCs w:val="22"/>
              </w:rPr>
              <w:t>32,592.55</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kern w:val="0"/>
                <w:sz w:val="22"/>
                <w:szCs w:val="22"/>
              </w:rPr>
              <w:t>54,625.64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一般公共服务支出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800.61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20104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发展与改革事务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799.61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2010499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其他发展与改革事务支出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799.61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20123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民族事务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2012304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民族工作专项</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20136</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其他共产党事务支出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2013602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一般行政管理事务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公共安全支出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84.50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20402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公安</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84.50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2040202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一般行政管理事务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34.65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2040220</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执法办案</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49.85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教育支出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312.58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9.91</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普通教育</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139.00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2050201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学前教育</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139.00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20508</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进修及培训</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173.58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9.91</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2050803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培训支出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163.67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2050899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其他进修及培训</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9.91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9.91</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科学技术支出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112.31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20606</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社会科学</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13.26</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2060603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社科基金支出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13.26</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2060699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其他社会科学支出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20609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科技重大项目</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59.05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2060902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重点研发计划</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59.05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其他科学技术支出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2069999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其他科学技术支出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文化旅游体育与传媒支出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80,337.73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27,090.24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53,247.49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文化和旅游</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57,320.11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21,620.24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35,699.87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行政运行</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4,003.14</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4,003.14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一般行政管理事务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74.20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图书馆</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8,180.02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5,589.36</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2070106</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艺术表演场所</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420.82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420.82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2070107</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艺术表演团体</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6,337.41</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5,881.94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455.47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2070109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群众文化</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2,448.97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1,973.45</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2070111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文化创作与保护</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1,820.27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910.34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2070112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文化和旅游市场管理</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156.10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2070113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旅游宣传</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9,618.57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9,618.57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2070114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文化和旅游管理事务</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245.98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51.63</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2070199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其他文化和旅游支出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24,014.64</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2,789.57</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21,225.07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文物</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19,269.34</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5,469.39</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13,799.95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2070201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行政运行</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952.39</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924.39</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2070204</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文物保护</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2,019.18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1,181.67</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2070205</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博物馆</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13,440.02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3,363.33</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10,076.69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2070299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其他文物支出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2,857.75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其他文化旅游体育与传媒支出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3,748.27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0.61</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3,747.66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2079999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其他文化旅游体育与传媒支出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3,748.27</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0.61</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3,747.66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社会保障和就业支出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2,819.85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2,800.02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20805</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行政事业单位养老支出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2,738.66</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2,738.66</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2080501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行政单位离退休</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244.85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244.85</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2080505</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机关事业单位基本养老保险缴费支出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2,177.02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2,177.02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2080506</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机关事业单位职业年金缴费支出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316.78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316.78</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20808</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抚恤</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77.83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2080801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死亡抚恤</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77.83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其他社会保障和就业支出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3.36</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3.36</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2089999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其他社会保障和就业支出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3.36</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3.36</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卫生健康支出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147.62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147.62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21011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行政事业单位医疗</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146.82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146.82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2101101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行政单位医疗</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40.24</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40.24</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2101102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事业单位医疗</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106.58</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106.58</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其他卫生健康支出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0.80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0.80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2109999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其他卫生健康支出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0.80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0.80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节能环保支出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58.23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21103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污染防治</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2110399</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其他污染防治支出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20.00</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21110</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能源节约利用</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38.23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2111001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能源节约利用</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38.23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221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住房保障支出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2,544.75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2,544.75</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22102</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住房改革支出</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2,544.75</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2,544.75</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2210201</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住房公积金</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2,145.13</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2,145.13</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2210203</w:t>
            </w:r>
          </w:p>
        </w:tc>
        <w:tc>
          <w:tcPr>
            <w:tcW w:w="3527" w:type="dxa"/>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购房补贴</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399.62</w:t>
            </w:r>
          </w:p>
        </w:tc>
        <w:tc>
          <w:tcPr>
            <w:tcW w:w="3492"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399.62</w:t>
            </w:r>
          </w:p>
        </w:tc>
        <w:tc>
          <w:tcPr>
            <w:tcW w:w="3000" w:type="dxa"/>
            <w:shd w:val="clear" w:color="auto" w:fill="auto"/>
            <w:vAlign w:val="center"/>
          </w:tcPr>
          <w:p>
            <w:pPr>
              <w:widowControl/>
              <w:jc w:val="righ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9" w:type="dxa"/>
            <w:gridSpan w:val="5"/>
            <w:shd w:val="clear" w:color="auto" w:fill="auto"/>
            <w:vAlign w:val="center"/>
          </w:tcPr>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0" w:type="auto"/>
        <w:tblInd w:w="0" w:type="dxa"/>
        <w:tblLayout w:type="autofit"/>
        <w:tblCellMar>
          <w:top w:w="0" w:type="dxa"/>
          <w:left w:w="108" w:type="dxa"/>
          <w:bottom w:w="0" w:type="dxa"/>
          <w:right w:w="108" w:type="dxa"/>
        </w:tblCellMar>
      </w:tblPr>
      <w:tblGrid>
        <w:gridCol w:w="93"/>
        <w:gridCol w:w="785"/>
        <w:gridCol w:w="236"/>
        <w:gridCol w:w="82"/>
        <w:gridCol w:w="155"/>
        <w:gridCol w:w="58"/>
        <w:gridCol w:w="696"/>
        <w:gridCol w:w="225"/>
        <w:gridCol w:w="279"/>
        <w:gridCol w:w="1258"/>
        <w:gridCol w:w="228"/>
        <w:gridCol w:w="107"/>
        <w:gridCol w:w="174"/>
        <w:gridCol w:w="749"/>
        <w:gridCol w:w="121"/>
        <w:gridCol w:w="1065"/>
        <w:gridCol w:w="66"/>
        <w:gridCol w:w="201"/>
        <w:gridCol w:w="1051"/>
        <w:gridCol w:w="46"/>
        <w:gridCol w:w="624"/>
        <w:gridCol w:w="183"/>
        <w:gridCol w:w="399"/>
        <w:gridCol w:w="465"/>
        <w:gridCol w:w="787"/>
        <w:gridCol w:w="278"/>
        <w:gridCol w:w="353"/>
        <w:gridCol w:w="223"/>
        <w:gridCol w:w="405"/>
        <w:gridCol w:w="1261"/>
        <w:gridCol w:w="217"/>
        <w:gridCol w:w="1045"/>
        <w:gridCol w:w="651"/>
        <w:gridCol w:w="638"/>
        <w:gridCol w:w="7"/>
        <w:gridCol w:w="22"/>
        <w:gridCol w:w="381"/>
      </w:tblGrid>
      <w:tr>
        <w:tblPrEx>
          <w:tblCellMar>
            <w:top w:w="0" w:type="dxa"/>
            <w:left w:w="108" w:type="dxa"/>
            <w:bottom w:w="0" w:type="dxa"/>
            <w:right w:w="108" w:type="dxa"/>
          </w:tblCellMar>
        </w:tblPrEx>
        <w:trPr>
          <w:trHeight w:val="113" w:hRule="atLeast"/>
        </w:trPr>
        <w:tc>
          <w:tcPr>
            <w:tcW w:w="15614" w:type="dxa"/>
            <w:gridSpan w:val="37"/>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bookmarkStart w:id="2" w:name="RANGE!A1:I34"/>
            <w:r>
              <w:rPr>
                <w:rFonts w:hint="eastAsia" w:ascii="华文中宋" w:hAnsi="华文中宋" w:eastAsia="华文中宋" w:cs="宋体"/>
                <w:kern w:val="0"/>
                <w:sz w:val="32"/>
                <w:szCs w:val="32"/>
              </w:rPr>
              <w:t>一般公共预算财政拨款基本支出决算明细表</w:t>
            </w:r>
            <w:bookmarkEnd w:id="2"/>
          </w:p>
          <w:p>
            <w:pPr>
              <w:widowControl/>
              <w:wordWrap w:val="0"/>
              <w:jc w:val="both"/>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部门：湖南省文化和旅游厅</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公开06表</w:t>
            </w:r>
          </w:p>
          <w:p>
            <w:pPr>
              <w:widowControl/>
              <w:ind w:firstLine="14300" w:firstLineChars="6500"/>
              <w:jc w:val="both"/>
              <w:rPr>
                <w:rFonts w:ascii="华文中宋" w:hAnsi="华文中宋" w:eastAsia="华文中宋" w:cs="宋体"/>
                <w:kern w:val="0"/>
                <w:szCs w:val="32"/>
              </w:rPr>
            </w:pPr>
            <w:r>
              <w:rPr>
                <w:rFonts w:hint="eastAsia" w:asciiTheme="minorEastAsia" w:hAnsiTheme="minorEastAsia" w:eastAsiaTheme="minorEastAsia" w:cstheme="minorEastAsia"/>
                <w:kern w:val="0"/>
                <w:sz w:val="22"/>
                <w:szCs w:val="22"/>
              </w:rPr>
              <w:t>单位：万元</w:t>
            </w:r>
          </w:p>
        </w:tc>
      </w:tr>
      <w:tr>
        <w:tblPrEx>
          <w:tblCellMar>
            <w:top w:w="0" w:type="dxa"/>
            <w:left w:w="108" w:type="dxa"/>
            <w:bottom w:w="0" w:type="dxa"/>
            <w:right w:w="108" w:type="dxa"/>
          </w:tblCellMar>
        </w:tblPrEx>
        <w:trPr>
          <w:trHeight w:val="113" w:hRule="atLeas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经济分类科目编码</w:t>
            </w:r>
          </w:p>
        </w:tc>
        <w:tc>
          <w:tcPr>
            <w:tcW w:w="290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1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决算数</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经济分类科目编码</w:t>
            </w:r>
          </w:p>
        </w:tc>
        <w:tc>
          <w:tcPr>
            <w:tcW w:w="199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04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决算数</w:t>
            </w:r>
          </w:p>
        </w:tc>
        <w:tc>
          <w:tcPr>
            <w:tcW w:w="10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经济分类科目编码</w:t>
            </w:r>
          </w:p>
        </w:tc>
        <w:tc>
          <w:tcPr>
            <w:tcW w:w="413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决算数</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工资福利支出</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26,362.87</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商品和服务支出</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2,505.93</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307</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债务利息及费用支出</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30101</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基本工资</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6,740.38</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30201</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办公费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130.89</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30701</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国内债务付息</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30102</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津贴补贴</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1,857.56</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30202</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印刷费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69.03</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30702</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国外债务付息</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30103</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奖金</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1,189.88</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30203</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咨询费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5.32</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资本性支出</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36.09</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30106</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伙食补助费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201.40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30204</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手续费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0.03</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31001</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房屋建筑物购建</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30107</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绩效工资</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8,257.90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30205</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水费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26.54</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31002</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办公设备购置</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9.76</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30108</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机关事业单位基本养老保险缴费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2,151.72</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30206</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电费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179.95</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31003</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专用设备购置</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3.79</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30109</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职业年金缴费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380.99</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30207</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邮电费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65.87</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31005</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基础设施建设</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30110</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职工基本医疗保险缴费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1,547.77</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30208</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取暖费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23.05</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31006</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大型修缮</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30111</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公务员医疗补助缴费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227.61</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30209</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物业管理费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217.88</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31007</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信息网络及软件购置更新</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30112</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其他社会保障缴费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380.64</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30211</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差旅费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127.16</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31008</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物资储备</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30113</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住房公积金</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2,370.31</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30212</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因公出国（境）费用</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31009</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土地补偿</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30114</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医疗费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47.44</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30213</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维修（护）费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125.27</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31010</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安置补助</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30199</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其他工资福利支出</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1,009.26</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30214</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租赁费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4.56</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31011</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地上附着物和青苗补偿</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对个人和家庭的补助</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3,687.66</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30215</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会议费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7.06</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31012</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拆迁补偿</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30301</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离休费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246.01</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30216</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培训费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34.96</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31013</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公务用车购置</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30302</w:t>
            </w:r>
          </w:p>
        </w:tc>
        <w:tc>
          <w:tcPr>
            <w:tcW w:w="290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退休费</w:t>
            </w:r>
          </w:p>
        </w:tc>
        <w:tc>
          <w:tcPr>
            <w:tcW w:w="11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2,070.72</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30217</w:t>
            </w:r>
          </w:p>
        </w:tc>
        <w:tc>
          <w:tcPr>
            <w:tcW w:w="19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公务接待费</w:t>
            </w:r>
          </w:p>
        </w:tc>
        <w:tc>
          <w:tcPr>
            <w:tcW w:w="1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18.51</w:t>
            </w:r>
          </w:p>
        </w:tc>
        <w:tc>
          <w:tcPr>
            <w:tcW w:w="10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31019</w:t>
            </w:r>
          </w:p>
        </w:tc>
        <w:tc>
          <w:tcPr>
            <w:tcW w:w="413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其他交通工具购置</w:t>
            </w:r>
          </w:p>
        </w:tc>
        <w:tc>
          <w:tcPr>
            <w:tcW w:w="10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30303</w:t>
            </w:r>
          </w:p>
        </w:tc>
        <w:tc>
          <w:tcPr>
            <w:tcW w:w="290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退职（役）费</w:t>
            </w:r>
          </w:p>
        </w:tc>
        <w:tc>
          <w:tcPr>
            <w:tcW w:w="11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30218</w:t>
            </w:r>
          </w:p>
        </w:tc>
        <w:tc>
          <w:tcPr>
            <w:tcW w:w="19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专用材料费</w:t>
            </w:r>
          </w:p>
        </w:tc>
        <w:tc>
          <w:tcPr>
            <w:tcW w:w="1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42.76</w:t>
            </w:r>
          </w:p>
        </w:tc>
        <w:tc>
          <w:tcPr>
            <w:tcW w:w="10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31021</w:t>
            </w:r>
          </w:p>
        </w:tc>
        <w:tc>
          <w:tcPr>
            <w:tcW w:w="413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文物和陈列品购置</w:t>
            </w:r>
          </w:p>
        </w:tc>
        <w:tc>
          <w:tcPr>
            <w:tcW w:w="10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30304</w:t>
            </w:r>
          </w:p>
        </w:tc>
        <w:tc>
          <w:tcPr>
            <w:tcW w:w="290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抚恤金</w:t>
            </w:r>
          </w:p>
        </w:tc>
        <w:tc>
          <w:tcPr>
            <w:tcW w:w="11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253.62</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30224</w:t>
            </w:r>
          </w:p>
        </w:tc>
        <w:tc>
          <w:tcPr>
            <w:tcW w:w="19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被装购置费</w:t>
            </w:r>
          </w:p>
        </w:tc>
        <w:tc>
          <w:tcPr>
            <w:tcW w:w="1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31022</w:t>
            </w:r>
          </w:p>
        </w:tc>
        <w:tc>
          <w:tcPr>
            <w:tcW w:w="413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无形资产购置</w:t>
            </w:r>
          </w:p>
        </w:tc>
        <w:tc>
          <w:tcPr>
            <w:tcW w:w="10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30305</w:t>
            </w:r>
          </w:p>
        </w:tc>
        <w:tc>
          <w:tcPr>
            <w:tcW w:w="290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生活补助</w:t>
            </w:r>
          </w:p>
        </w:tc>
        <w:tc>
          <w:tcPr>
            <w:tcW w:w="11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37.13</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30225</w:t>
            </w:r>
          </w:p>
        </w:tc>
        <w:tc>
          <w:tcPr>
            <w:tcW w:w="19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专用燃料费</w:t>
            </w:r>
          </w:p>
        </w:tc>
        <w:tc>
          <w:tcPr>
            <w:tcW w:w="1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31099</w:t>
            </w:r>
          </w:p>
        </w:tc>
        <w:tc>
          <w:tcPr>
            <w:tcW w:w="413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其他资本性支出</w:t>
            </w:r>
          </w:p>
        </w:tc>
        <w:tc>
          <w:tcPr>
            <w:tcW w:w="10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22.54</w:t>
            </w:r>
          </w:p>
        </w:tc>
      </w:tr>
      <w:tr>
        <w:tblPrEx>
          <w:tblCellMar>
            <w:top w:w="0" w:type="dxa"/>
            <w:left w:w="108" w:type="dxa"/>
            <w:bottom w:w="0" w:type="dxa"/>
            <w:right w:w="108" w:type="dxa"/>
          </w:tblCellMar>
        </w:tblPrEx>
        <w:trPr>
          <w:trHeight w:val="454" w:hRule="exact"/>
        </w:trPr>
        <w:tc>
          <w:tcPr>
            <w:tcW w:w="11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30306</w:t>
            </w:r>
          </w:p>
        </w:tc>
        <w:tc>
          <w:tcPr>
            <w:tcW w:w="2906"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救济费</w:t>
            </w:r>
          </w:p>
        </w:tc>
        <w:tc>
          <w:tcPr>
            <w:tcW w:w="115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30226</w:t>
            </w:r>
          </w:p>
        </w:tc>
        <w:tc>
          <w:tcPr>
            <w:tcW w:w="199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劳务费</w:t>
            </w:r>
          </w:p>
        </w:tc>
        <w:tc>
          <w:tcPr>
            <w:tcW w:w="104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223.05</w:t>
            </w:r>
          </w:p>
        </w:tc>
        <w:tc>
          <w:tcPr>
            <w:tcW w:w="10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w:t>
            </w:r>
          </w:p>
        </w:tc>
        <w:tc>
          <w:tcPr>
            <w:tcW w:w="413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其他支出</w:t>
            </w:r>
          </w:p>
        </w:tc>
        <w:tc>
          <w:tcPr>
            <w:tcW w:w="104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30307</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医疗费补助</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142.82</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30227</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委托业务费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43.55</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39907</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国家赔偿费用支出</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30308</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助学金</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30228</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工会经费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313.92</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39908</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对民间非营利组织和群众性自治组织补贴</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30309</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奖励金</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768.44</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30229</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福利费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69.95</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39909</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经常性赠与</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资本性赠与</w:t>
            </w:r>
          </w:p>
          <w:p>
            <w:pPr>
              <w:widowControl/>
              <w:jc w:val="left"/>
              <w:rPr>
                <w:rFonts w:ascii="宋体" w:hAnsi="宋体" w:eastAsia="宋体" w:cs="宋体"/>
                <w:kern w:val="0"/>
                <w:sz w:val="21"/>
                <w:szCs w:val="21"/>
              </w:rPr>
            </w:pPr>
          </w:p>
          <w:tbl>
            <w:tblPr>
              <w:tblStyle w:val="13"/>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经常性赠与</w:t>
                  </w:r>
                </w:p>
              </w:tc>
            </w:tr>
            <w:tr>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资本性赠与</w:t>
                  </w:r>
                </w:p>
              </w:tc>
            </w:tr>
          </w:tbl>
          <w:p>
            <w:pPr>
              <w:widowControl/>
              <w:jc w:val="left"/>
              <w:rPr>
                <w:rFonts w:ascii="宋体" w:hAnsi="宋体" w:eastAsia="宋体" w:cs="宋体"/>
                <w:kern w:val="0"/>
                <w:sz w:val="21"/>
                <w:szCs w:val="21"/>
              </w:rPr>
            </w:pPr>
          </w:p>
          <w:tbl>
            <w:tblPr>
              <w:tblStyle w:val="13"/>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经常性赠与</w:t>
                  </w:r>
                </w:p>
              </w:tc>
            </w:tr>
            <w:tr>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资本性赠与</w:t>
                  </w:r>
                </w:p>
              </w:tc>
            </w:tr>
          </w:tbl>
          <w:p>
            <w:pPr>
              <w:widowControl/>
              <w:jc w:val="left"/>
              <w:rPr>
                <w:rFonts w:ascii="宋体" w:hAnsi="宋体" w:eastAsia="宋体" w:cs="宋体"/>
                <w:kern w:val="0"/>
                <w:sz w:val="21"/>
                <w:szCs w:val="21"/>
              </w:rPr>
            </w:pP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30310</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个人农业生产补贴</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30231</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公务用车运行维护费</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57.52</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39910</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资本性赠与</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30311</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代缴社会保险费</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30239</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其他交通费用</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233.00</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39999</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其他支出</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30399</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其他对个人和家庭的补助</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168.93</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30240</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税金及附加费用</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54" w:hRule="exact"/>
        </w:trPr>
        <w:tc>
          <w:tcPr>
            <w:tcW w:w="119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290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30299</w:t>
            </w:r>
          </w:p>
        </w:tc>
        <w:tc>
          <w:tcPr>
            <w:tcW w:w="1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其他商品和服务支出</w:t>
            </w:r>
          </w:p>
        </w:tc>
        <w:tc>
          <w:tcPr>
            <w:tcW w:w="1049"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r>
              <w:rPr>
                <w:rFonts w:hint="eastAsia" w:ascii="宋体" w:hAnsi="宋体" w:eastAsia="宋体" w:cs="宋体"/>
                <w:kern w:val="0"/>
                <w:sz w:val="21"/>
                <w:szCs w:val="21"/>
              </w:rPr>
              <w:t>486.10</w:t>
            </w:r>
          </w:p>
        </w:tc>
        <w:tc>
          <w:tcPr>
            <w:tcW w:w="10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13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54" w:hRule="exact"/>
        </w:trPr>
        <w:tc>
          <w:tcPr>
            <w:tcW w:w="410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人员经费合计</w:t>
            </w:r>
          </w:p>
        </w:tc>
        <w:tc>
          <w:tcPr>
            <w:tcW w:w="1153"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sz w:val="21"/>
                <w:szCs w:val="21"/>
              </w:rPr>
            </w:pPr>
            <w:r>
              <w:rPr>
                <w:rFonts w:hint="eastAsia" w:ascii="宋体" w:hAnsi="宋体" w:eastAsia="宋体" w:cs="宋体"/>
                <w:kern w:val="0"/>
                <w:sz w:val="21"/>
                <w:szCs w:val="21"/>
              </w:rPr>
              <w:t>30,050.53</w:t>
            </w:r>
          </w:p>
        </w:tc>
        <w:tc>
          <w:tcPr>
            <w:tcW w:w="9308" w:type="dxa"/>
            <w:gridSpan w:val="1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公用经费合计</w:t>
            </w:r>
          </w:p>
        </w:tc>
        <w:tc>
          <w:tcPr>
            <w:tcW w:w="104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sz w:val="21"/>
                <w:szCs w:val="21"/>
              </w:rPr>
            </w:pPr>
            <w:r>
              <w:rPr>
                <w:rFonts w:hint="eastAsia" w:ascii="宋体" w:hAnsi="宋体" w:eastAsia="宋体" w:cs="宋体"/>
                <w:kern w:val="0"/>
                <w:sz w:val="21"/>
                <w:szCs w:val="21"/>
              </w:rPr>
              <w:t>2,542.02</w:t>
            </w: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注：本表反映部门本年度一般公共预算财政拨款基本支出明细情况。</w:t>
            </w: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4" w:hRule="exact"/>
        </w:trPr>
        <w:tc>
          <w:tcPr>
            <w:tcW w:w="15614" w:type="dxa"/>
            <w:gridSpan w:val="37"/>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3"/>
          <w:wAfter w:w="410" w:type="dxa"/>
          <w:trHeight w:val="690" w:hRule="atLeast"/>
        </w:trPr>
        <w:tc>
          <w:tcPr>
            <w:tcW w:w="15204" w:type="dxa"/>
            <w:gridSpan w:val="34"/>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sz w:val="32"/>
                <w:szCs w:val="32"/>
              </w:rPr>
            </w:pPr>
            <w:r>
              <w:rPr>
                <w:rFonts w:hint="eastAsia" w:ascii="方正小标宋简体" w:hAnsi="方正小标宋简体" w:eastAsia="方正小标宋简体" w:cs="方正小标宋简体"/>
                <w:kern w:val="0"/>
                <w:sz w:val="44"/>
                <w:szCs w:val="44"/>
              </w:rPr>
              <w:t>政府性基金预算财政拨款收入支出决算表</w:t>
            </w:r>
          </w:p>
        </w:tc>
      </w:tr>
      <w:tr>
        <w:tblPrEx>
          <w:tblCellMar>
            <w:top w:w="0" w:type="dxa"/>
            <w:left w:w="108" w:type="dxa"/>
            <w:bottom w:w="0" w:type="dxa"/>
            <w:right w:w="108" w:type="dxa"/>
          </w:tblCellMar>
        </w:tblPrEx>
        <w:trPr>
          <w:gridAfter w:val="3"/>
          <w:wAfter w:w="410" w:type="dxa"/>
          <w:trHeight w:val="345" w:hRule="atLeast"/>
        </w:trPr>
        <w:tc>
          <w:tcPr>
            <w:tcW w:w="880" w:type="dxa"/>
            <w:gridSpan w:val="2"/>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236" w:type="dxa"/>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1877"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380" w:type="dxa"/>
            <w:gridSpan w:val="6"/>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908"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285" w:type="dxa"/>
            <w:gridSpan w:val="5"/>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09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325" w:type="dxa"/>
            <w:gridSpan w:val="3"/>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公开07表</w:t>
            </w:r>
          </w:p>
        </w:tc>
      </w:tr>
      <w:tr>
        <w:tblPrEx>
          <w:tblCellMar>
            <w:top w:w="0" w:type="dxa"/>
            <w:left w:w="108" w:type="dxa"/>
            <w:bottom w:w="0" w:type="dxa"/>
            <w:right w:w="108" w:type="dxa"/>
          </w:tblCellMar>
        </w:tblPrEx>
        <w:trPr>
          <w:gridAfter w:val="3"/>
          <w:wAfter w:w="410" w:type="dxa"/>
          <w:trHeight w:val="690" w:hRule="atLeast"/>
        </w:trPr>
        <w:tc>
          <w:tcPr>
            <w:tcW w:w="4211" w:type="dxa"/>
            <w:gridSpan w:val="12"/>
            <w:tcBorders>
              <w:top w:val="nil"/>
              <w:left w:val="nil"/>
              <w:bottom w:val="nil"/>
              <w:right w:val="nil"/>
            </w:tcBorders>
            <w:shd w:val="clear" w:color="auto" w:fill="FFFFFF"/>
            <w:noWrap/>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部门：湖南省文化和旅游厅</w:t>
            </w:r>
          </w:p>
        </w:tc>
        <w:tc>
          <w:tcPr>
            <w:tcW w:w="2380" w:type="dxa"/>
            <w:gridSpan w:val="6"/>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908"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285" w:type="dxa"/>
            <w:gridSpan w:val="5"/>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09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2325" w:type="dxa"/>
            <w:gridSpan w:val="3"/>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单位：万元</w:t>
            </w:r>
          </w:p>
        </w:tc>
      </w:tr>
      <w:tr>
        <w:tblPrEx>
          <w:tblCellMar>
            <w:top w:w="0" w:type="dxa"/>
            <w:left w:w="108" w:type="dxa"/>
            <w:bottom w:w="0" w:type="dxa"/>
            <w:right w:w="108" w:type="dxa"/>
          </w:tblCellMar>
        </w:tblPrEx>
        <w:trPr>
          <w:gridAfter w:val="3"/>
          <w:wAfter w:w="410" w:type="dxa"/>
          <w:trHeight w:val="459" w:hRule="atLeast"/>
        </w:trPr>
        <w:tc>
          <w:tcPr>
            <w:tcW w:w="23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项 </w:t>
            </w:r>
            <w:r>
              <w:rPr>
                <w:rStyle w:val="24"/>
                <w:rFonts w:hint="eastAsia" w:asciiTheme="minorEastAsia" w:hAnsiTheme="minorEastAsia" w:eastAsiaTheme="minorEastAsia" w:cstheme="minorEastAsia"/>
                <w:color w:val="auto"/>
                <w:sz w:val="22"/>
                <w:szCs w:val="22"/>
              </w:rPr>
              <w:t>目</w:t>
            </w:r>
          </w:p>
        </w:tc>
        <w:tc>
          <w:tcPr>
            <w:tcW w:w="18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年初结转和结余</w:t>
            </w:r>
          </w:p>
        </w:tc>
        <w:tc>
          <w:tcPr>
            <w:tcW w:w="23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本年收入</w:t>
            </w:r>
          </w:p>
        </w:tc>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本年支出</w:t>
            </w:r>
          </w:p>
        </w:tc>
        <w:tc>
          <w:tcPr>
            <w:tcW w:w="23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年末结转和结余</w:t>
            </w:r>
          </w:p>
        </w:tc>
      </w:tr>
      <w:tr>
        <w:tblPrEx>
          <w:tblCellMar>
            <w:top w:w="0" w:type="dxa"/>
            <w:left w:w="108" w:type="dxa"/>
            <w:bottom w:w="0" w:type="dxa"/>
            <w:right w:w="108" w:type="dxa"/>
          </w:tblCellMar>
        </w:tblPrEx>
        <w:trPr>
          <w:gridAfter w:val="3"/>
          <w:wAfter w:w="410" w:type="dxa"/>
          <w:trHeight w:val="609" w:hRule="atLeast"/>
        </w:trPr>
        <w:tc>
          <w:tcPr>
            <w:tcW w:w="11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科目代码</w:t>
            </w:r>
          </w:p>
        </w:tc>
        <w:tc>
          <w:tcPr>
            <w:tcW w:w="121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科目名称</w:t>
            </w:r>
          </w:p>
        </w:tc>
        <w:tc>
          <w:tcPr>
            <w:tcW w:w="1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90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小计</w:t>
            </w:r>
          </w:p>
        </w:tc>
        <w:tc>
          <w:tcPr>
            <w:tcW w:w="22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基本支出  </w:t>
            </w:r>
          </w:p>
        </w:tc>
        <w:tc>
          <w:tcPr>
            <w:tcW w:w="2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项目支出</w:t>
            </w: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409"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90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90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23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栏次</w:t>
            </w: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w:t>
            </w: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w:t>
            </w: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w:t>
            </w: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w:t>
            </w:r>
          </w:p>
        </w:tc>
      </w:tr>
      <w:tr>
        <w:tblPrEx>
          <w:tblCellMar>
            <w:top w:w="0" w:type="dxa"/>
            <w:left w:w="108" w:type="dxa"/>
            <w:bottom w:w="0" w:type="dxa"/>
            <w:right w:w="108" w:type="dxa"/>
          </w:tblCellMar>
        </w:tblPrEx>
        <w:trPr>
          <w:gridAfter w:val="3"/>
          <w:wAfter w:w="410" w:type="dxa"/>
          <w:trHeight w:val="509" w:hRule="atLeast"/>
        </w:trPr>
        <w:tc>
          <w:tcPr>
            <w:tcW w:w="23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合计</w:t>
            </w: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509" w:hRule="atLeast"/>
        </w:trPr>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1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After w:val="3"/>
          <w:wAfter w:w="410" w:type="dxa"/>
          <w:trHeight w:val="725" w:hRule="atLeast"/>
        </w:trPr>
        <w:tc>
          <w:tcPr>
            <w:tcW w:w="15204" w:type="dxa"/>
            <w:gridSpan w:val="34"/>
            <w:tcBorders>
              <w:top w:val="nil"/>
              <w:left w:val="nil"/>
              <w:bottom w:val="nil"/>
              <w:right w:val="nil"/>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注：本表反映部门本年度政府性基金预算财政拨款收入、支出及结转和结余情况。</w:t>
            </w:r>
          </w:p>
          <w:p>
            <w:pPr>
              <w:widowControl/>
              <w:jc w:val="left"/>
              <w:textAlignment w:val="center"/>
              <w:rPr>
                <w:rFonts w:hint="eastAsia" w:asciiTheme="minorEastAsia" w:hAnsiTheme="minorEastAsia" w:eastAsiaTheme="minorEastAsia" w:cstheme="minorEastAsia"/>
                <w:kern w:val="0"/>
                <w:sz w:val="22"/>
                <w:szCs w:val="22"/>
              </w:rPr>
            </w:pPr>
          </w:p>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kern w:val="0"/>
                <w:sz w:val="22"/>
                <w:szCs w:val="22"/>
              </w:rPr>
              <w:t>说明：我部门没有政府性基金收入，也没有使用政府性基金安排的支出，故本表无数据。</w:t>
            </w:r>
          </w:p>
        </w:tc>
      </w:tr>
      <w:tr>
        <w:tblPrEx>
          <w:tblCellMar>
            <w:top w:w="0" w:type="dxa"/>
            <w:left w:w="108" w:type="dxa"/>
            <w:bottom w:w="0" w:type="dxa"/>
            <w:right w:w="108" w:type="dxa"/>
          </w:tblCellMar>
        </w:tblPrEx>
        <w:trPr>
          <w:gridBefore w:val="1"/>
          <w:gridAfter w:val="2"/>
          <w:wBefore w:w="92" w:type="dxa"/>
          <w:wAfter w:w="404" w:type="dxa"/>
          <w:trHeight w:val="963" w:hRule="atLeast"/>
        </w:trPr>
        <w:tc>
          <w:tcPr>
            <w:tcW w:w="15118" w:type="dxa"/>
            <w:gridSpan w:val="34"/>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sz w:val="32"/>
                <w:szCs w:val="32"/>
              </w:rPr>
            </w:pPr>
            <w:r>
              <w:rPr>
                <w:rFonts w:hint="eastAsia" w:ascii="方正小标宋简体" w:hAnsi="方正小标宋简体" w:eastAsia="方正小标宋简体" w:cs="方正小标宋简体"/>
                <w:kern w:val="0"/>
                <w:sz w:val="44"/>
                <w:szCs w:val="44"/>
              </w:rPr>
              <w:t>国有资本经营预算财政拨款支出决算表</w:t>
            </w:r>
          </w:p>
        </w:tc>
      </w:tr>
      <w:tr>
        <w:tblPrEx>
          <w:tblCellMar>
            <w:top w:w="0" w:type="dxa"/>
            <w:left w:w="108" w:type="dxa"/>
            <w:bottom w:w="0" w:type="dxa"/>
            <w:right w:w="108" w:type="dxa"/>
          </w:tblCellMar>
        </w:tblPrEx>
        <w:trPr>
          <w:gridBefore w:val="1"/>
          <w:gridAfter w:val="2"/>
          <w:wBefore w:w="92" w:type="dxa"/>
          <w:wAfter w:w="404" w:type="dxa"/>
          <w:trHeight w:val="417" w:hRule="atLeast"/>
        </w:trPr>
        <w:tc>
          <w:tcPr>
            <w:tcW w:w="1318" w:type="dxa"/>
            <w:gridSpan w:val="5"/>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697" w:type="dxa"/>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nil"/>
              <w:left w:val="nil"/>
              <w:bottom w:val="nil"/>
              <w:right w:val="nil"/>
            </w:tcBorders>
            <w:shd w:val="clear" w:color="auto" w:fill="FFFFFF"/>
            <w:vAlign w:val="center"/>
          </w:tcPr>
          <w:p>
            <w:pPr>
              <w:jc w:val="center"/>
              <w:rPr>
                <w:rFonts w:hint="eastAsia" w:asciiTheme="minorEastAsia" w:hAnsiTheme="minorEastAsia" w:eastAsiaTheme="minorEastAsia" w:cstheme="minorEastAsia"/>
                <w:sz w:val="22"/>
                <w:szCs w:val="22"/>
              </w:rPr>
            </w:pPr>
          </w:p>
        </w:tc>
        <w:tc>
          <w:tcPr>
            <w:tcW w:w="3305" w:type="dxa"/>
            <w:gridSpan w:val="7"/>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3316" w:type="dxa"/>
            <w:gridSpan w:val="8"/>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4205" w:type="dxa"/>
            <w:gridSpan w:val="7"/>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公开08表</w:t>
            </w:r>
          </w:p>
        </w:tc>
      </w:tr>
      <w:tr>
        <w:tblPrEx>
          <w:tblCellMar>
            <w:top w:w="0" w:type="dxa"/>
            <w:left w:w="108" w:type="dxa"/>
            <w:bottom w:w="0" w:type="dxa"/>
            <w:right w:w="108" w:type="dxa"/>
          </w:tblCellMar>
        </w:tblPrEx>
        <w:trPr>
          <w:gridBefore w:val="1"/>
          <w:gridAfter w:val="2"/>
          <w:wBefore w:w="92" w:type="dxa"/>
          <w:wAfter w:w="404" w:type="dxa"/>
          <w:trHeight w:val="417" w:hRule="atLeast"/>
        </w:trPr>
        <w:tc>
          <w:tcPr>
            <w:tcW w:w="4292" w:type="dxa"/>
            <w:gridSpan w:val="12"/>
            <w:tcBorders>
              <w:top w:val="nil"/>
              <w:left w:val="nil"/>
              <w:bottom w:val="nil"/>
              <w:right w:val="nil"/>
            </w:tcBorders>
            <w:shd w:val="clear" w:color="auto" w:fill="FFFFFF"/>
            <w:noWrap/>
            <w:vAlign w:val="center"/>
          </w:tcPr>
          <w:p>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部门：湖南省文化和旅游厅</w:t>
            </w:r>
          </w:p>
        </w:tc>
        <w:tc>
          <w:tcPr>
            <w:tcW w:w="3305" w:type="dxa"/>
            <w:gridSpan w:val="7"/>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3316" w:type="dxa"/>
            <w:gridSpan w:val="8"/>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4205" w:type="dxa"/>
            <w:gridSpan w:val="7"/>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单位：万元</w:t>
            </w: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42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项 </w:t>
            </w:r>
            <w:r>
              <w:rPr>
                <w:rStyle w:val="25"/>
                <w:rFonts w:hint="eastAsia" w:asciiTheme="minorEastAsia" w:hAnsiTheme="minorEastAsia" w:eastAsiaTheme="minorEastAsia" w:cstheme="minorEastAsia"/>
                <w:color w:val="auto"/>
                <w:sz w:val="22"/>
                <w:szCs w:val="22"/>
              </w:rPr>
              <w:t>目</w:t>
            </w:r>
          </w:p>
        </w:tc>
        <w:tc>
          <w:tcPr>
            <w:tcW w:w="1082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本年支出</w:t>
            </w: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科目代码</w:t>
            </w:r>
          </w:p>
        </w:tc>
        <w:tc>
          <w:tcPr>
            <w:tcW w:w="227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科目名称</w:t>
            </w:r>
          </w:p>
        </w:tc>
        <w:tc>
          <w:tcPr>
            <w:tcW w:w="330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合计</w:t>
            </w:r>
          </w:p>
        </w:tc>
        <w:tc>
          <w:tcPr>
            <w:tcW w:w="331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基本支出  </w:t>
            </w:r>
          </w:p>
        </w:tc>
        <w:tc>
          <w:tcPr>
            <w:tcW w:w="420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项目支出</w:t>
            </w: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33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33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42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312"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33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33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42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42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栏次</w:t>
            </w: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w:t>
            </w: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w:t>
            </w: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42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合计</w:t>
            </w: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548"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2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3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c>
          <w:tcPr>
            <w:tcW w:w="4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2"/>
          <w:wBefore w:w="92" w:type="dxa"/>
          <w:wAfter w:w="404" w:type="dxa"/>
          <w:trHeight w:val="976" w:hRule="atLeast"/>
        </w:trPr>
        <w:tc>
          <w:tcPr>
            <w:tcW w:w="15118" w:type="dxa"/>
            <w:gridSpan w:val="34"/>
            <w:tcBorders>
              <w:top w:val="nil"/>
              <w:left w:val="nil"/>
              <w:bottom w:val="nil"/>
              <w:right w:val="nil"/>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注：本表反映部门本年度国有资本经营预算财政拨款支出情况。</w:t>
            </w:r>
          </w:p>
          <w:p>
            <w:pPr>
              <w:widowControl/>
              <w:jc w:val="left"/>
              <w:textAlignment w:val="center"/>
              <w:rPr>
                <w:rFonts w:hint="eastAsia" w:asciiTheme="minorEastAsia" w:hAnsiTheme="minorEastAsia" w:eastAsiaTheme="minorEastAsia" w:cstheme="minorEastAsia"/>
                <w:kern w:val="0"/>
                <w:sz w:val="22"/>
                <w:szCs w:val="22"/>
              </w:rPr>
            </w:pPr>
          </w:p>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kern w:val="0"/>
                <w:sz w:val="22"/>
                <w:szCs w:val="22"/>
              </w:rPr>
              <w:t>说明：我部门没有使用国有资本经营预算安排的支出，故本表无数据。</w:t>
            </w:r>
          </w:p>
        </w:tc>
      </w:tr>
      <w:tr>
        <w:tblPrEx>
          <w:tblCellMar>
            <w:top w:w="0" w:type="dxa"/>
            <w:left w:w="108" w:type="dxa"/>
            <w:bottom w:w="0" w:type="dxa"/>
            <w:right w:w="108" w:type="dxa"/>
          </w:tblCellMar>
        </w:tblPrEx>
        <w:trPr>
          <w:gridBefore w:val="1"/>
          <w:gridAfter w:val="1"/>
          <w:wBefore w:w="93" w:type="dxa"/>
          <w:wAfter w:w="381" w:type="dxa"/>
          <w:trHeight w:val="840" w:hRule="atLeast"/>
        </w:trPr>
        <w:tc>
          <w:tcPr>
            <w:tcW w:w="15140" w:type="dxa"/>
            <w:gridSpan w:val="35"/>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sz w:val="32"/>
                <w:szCs w:val="32"/>
              </w:rPr>
            </w:pPr>
            <w:r>
              <w:rPr>
                <w:rFonts w:hint="eastAsia" w:ascii="方正小标宋简体" w:hAnsi="方正小标宋简体" w:eastAsia="方正小标宋简体" w:cs="方正小标宋简体"/>
                <w:kern w:val="0"/>
                <w:sz w:val="44"/>
                <w:szCs w:val="44"/>
              </w:rPr>
              <w:t>财政拨款“三公”经费支出决算表</w:t>
            </w:r>
          </w:p>
        </w:tc>
      </w:tr>
      <w:tr>
        <w:tblPrEx>
          <w:tblCellMar>
            <w:top w:w="0" w:type="dxa"/>
            <w:left w:w="108" w:type="dxa"/>
            <w:bottom w:w="0" w:type="dxa"/>
            <w:right w:w="108" w:type="dxa"/>
          </w:tblCellMar>
        </w:tblPrEx>
        <w:trPr>
          <w:gridBefore w:val="1"/>
          <w:gridAfter w:val="1"/>
          <w:wBefore w:w="93" w:type="dxa"/>
          <w:wAfter w:w="381" w:type="dxa"/>
          <w:trHeight w:val="420" w:hRule="atLeast"/>
        </w:trPr>
        <w:tc>
          <w:tcPr>
            <w:tcW w:w="1260"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61"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61"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61"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gridSpan w:val="3"/>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316" w:type="dxa"/>
            <w:gridSpan w:val="4"/>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公开09表</w:t>
            </w:r>
          </w:p>
        </w:tc>
      </w:tr>
      <w:tr>
        <w:tblPrEx>
          <w:tblCellMar>
            <w:top w:w="0" w:type="dxa"/>
            <w:left w:w="108" w:type="dxa"/>
            <w:bottom w:w="0" w:type="dxa"/>
            <w:right w:w="108" w:type="dxa"/>
          </w:tblCellMar>
        </w:tblPrEx>
        <w:trPr>
          <w:gridBefore w:val="1"/>
          <w:gridAfter w:val="1"/>
          <w:wBefore w:w="93" w:type="dxa"/>
          <w:wAfter w:w="381" w:type="dxa"/>
          <w:trHeight w:val="420" w:hRule="atLeast"/>
        </w:trPr>
        <w:tc>
          <w:tcPr>
            <w:tcW w:w="5043" w:type="dxa"/>
            <w:gridSpan w:val="13"/>
            <w:tcBorders>
              <w:top w:val="nil"/>
              <w:left w:val="nil"/>
              <w:bottom w:val="nil"/>
              <w:right w:val="nil"/>
            </w:tcBorders>
            <w:shd w:val="clear" w:color="auto" w:fill="FFFFFF"/>
            <w:noWrap/>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部门：湖南省文化和旅游厅</w:t>
            </w:r>
          </w:p>
        </w:tc>
        <w:tc>
          <w:tcPr>
            <w:tcW w:w="1254" w:type="dxa"/>
            <w:gridSpan w:val="3"/>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5" w:type="dxa"/>
            <w:gridSpan w:val="4"/>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254" w:type="dxa"/>
            <w:gridSpan w:val="2"/>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sz w:val="22"/>
                <w:szCs w:val="22"/>
              </w:rPr>
            </w:pPr>
          </w:p>
        </w:tc>
        <w:tc>
          <w:tcPr>
            <w:tcW w:w="1316" w:type="dxa"/>
            <w:gridSpan w:val="4"/>
            <w:tcBorders>
              <w:top w:val="nil"/>
              <w:left w:val="nil"/>
              <w:bottom w:val="nil"/>
              <w:right w:val="nil"/>
            </w:tcBorders>
            <w:shd w:val="clear" w:color="auto" w:fill="FFFFFF"/>
            <w:noWrap/>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单位：万元</w:t>
            </w:r>
          </w:p>
        </w:tc>
      </w:tr>
      <w:tr>
        <w:tblPrEx>
          <w:tblCellMar>
            <w:top w:w="0" w:type="dxa"/>
            <w:left w:w="108" w:type="dxa"/>
            <w:bottom w:w="0" w:type="dxa"/>
            <w:right w:w="108" w:type="dxa"/>
          </w:tblCellMar>
        </w:tblPrEx>
        <w:trPr>
          <w:gridBefore w:val="1"/>
          <w:gridAfter w:val="1"/>
          <w:wBefore w:w="93" w:type="dxa"/>
          <w:wAfter w:w="381" w:type="dxa"/>
          <w:trHeight w:val="766" w:hRule="atLeast"/>
        </w:trPr>
        <w:tc>
          <w:tcPr>
            <w:tcW w:w="755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预算数</w:t>
            </w:r>
          </w:p>
        </w:tc>
        <w:tc>
          <w:tcPr>
            <w:tcW w:w="758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决算数</w:t>
            </w:r>
          </w:p>
        </w:tc>
      </w:tr>
      <w:tr>
        <w:tblPrEx>
          <w:tblCellMar>
            <w:top w:w="0" w:type="dxa"/>
            <w:left w:w="108" w:type="dxa"/>
            <w:bottom w:w="0" w:type="dxa"/>
            <w:right w:w="108" w:type="dxa"/>
          </w:tblCellMar>
        </w:tblPrEx>
        <w:trPr>
          <w:gridBefore w:val="1"/>
          <w:gridAfter w:val="1"/>
          <w:wBefore w:w="93" w:type="dxa"/>
          <w:wAfter w:w="381" w:type="dxa"/>
          <w:trHeight w:val="822" w:hRule="atLeast"/>
        </w:trPr>
        <w:tc>
          <w:tcPr>
            <w:tcW w:w="12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合计</w:t>
            </w:r>
          </w:p>
        </w:tc>
        <w:tc>
          <w:tcPr>
            <w:tcW w:w="12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因公出国（境）费</w:t>
            </w:r>
          </w:p>
        </w:tc>
        <w:tc>
          <w:tcPr>
            <w:tcW w:w="37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公务用车购置及运行维护费</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公务接待费</w:t>
            </w:r>
          </w:p>
        </w:tc>
        <w:tc>
          <w:tcPr>
            <w:tcW w:w="12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合计</w:t>
            </w:r>
          </w:p>
        </w:tc>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因公出国（境）费</w:t>
            </w:r>
          </w:p>
        </w:tc>
        <w:tc>
          <w:tcPr>
            <w:tcW w:w="37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公务用车购置及运行维护费</w:t>
            </w:r>
          </w:p>
        </w:tc>
        <w:tc>
          <w:tcPr>
            <w:tcW w:w="13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公务接待费</w:t>
            </w:r>
          </w:p>
        </w:tc>
      </w:tr>
      <w:tr>
        <w:tblPrEx>
          <w:tblCellMar>
            <w:top w:w="0" w:type="dxa"/>
            <w:left w:w="108" w:type="dxa"/>
            <w:bottom w:w="0" w:type="dxa"/>
            <w:right w:w="108" w:type="dxa"/>
          </w:tblCellMar>
        </w:tblPrEx>
        <w:trPr>
          <w:gridBefore w:val="1"/>
          <w:gridAfter w:val="1"/>
          <w:wBefore w:w="93" w:type="dxa"/>
          <w:wAfter w:w="381" w:type="dxa"/>
          <w:trHeight w:val="1274" w:hRule="atLeast"/>
        </w:trPr>
        <w:tc>
          <w:tcPr>
            <w:tcW w:w="12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小计</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公务用车</w:t>
            </w:r>
          </w:p>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购置费</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公务用车</w:t>
            </w:r>
          </w:p>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运行维护费</w:t>
            </w: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c>
          <w:tcPr>
            <w:tcW w:w="1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公务用车</w:t>
            </w:r>
          </w:p>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购置费</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公务用车</w:t>
            </w:r>
          </w:p>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运行维护费</w:t>
            </w:r>
          </w:p>
        </w:tc>
        <w:tc>
          <w:tcPr>
            <w:tcW w:w="13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rPr>
            </w:pPr>
          </w:p>
        </w:tc>
      </w:tr>
      <w:tr>
        <w:tblPrEx>
          <w:tblCellMar>
            <w:top w:w="0" w:type="dxa"/>
            <w:left w:w="108" w:type="dxa"/>
            <w:bottom w:w="0" w:type="dxa"/>
            <w:right w:w="108" w:type="dxa"/>
          </w:tblCellMar>
        </w:tblPrEx>
        <w:trPr>
          <w:gridBefore w:val="1"/>
          <w:gridAfter w:val="1"/>
          <w:wBefore w:w="93" w:type="dxa"/>
          <w:wAfter w:w="381" w:type="dxa"/>
          <w:trHeight w:val="766" w:hRule="atLeast"/>
        </w:trPr>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w:t>
            </w:r>
          </w:p>
        </w:tc>
        <w:tc>
          <w:tcPr>
            <w:tcW w:w="1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w:t>
            </w:r>
          </w:p>
        </w:tc>
        <w:tc>
          <w:tcPr>
            <w:tcW w:w="1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w:t>
            </w:r>
          </w:p>
        </w:tc>
      </w:tr>
      <w:tr>
        <w:tblPrEx>
          <w:tblCellMar>
            <w:top w:w="0" w:type="dxa"/>
            <w:left w:w="108" w:type="dxa"/>
            <w:bottom w:w="0" w:type="dxa"/>
            <w:right w:w="108" w:type="dxa"/>
          </w:tblCellMar>
        </w:tblPrEx>
        <w:trPr>
          <w:gridBefore w:val="1"/>
          <w:gridAfter w:val="1"/>
          <w:wBefore w:w="93" w:type="dxa"/>
          <w:wAfter w:w="381" w:type="dxa"/>
          <w:trHeight w:val="695" w:hRule="atLeast"/>
        </w:trPr>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356.56</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178.80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129.03</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56.00</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73.03</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48.72</w:t>
            </w:r>
          </w:p>
        </w:tc>
        <w:tc>
          <w:tcPr>
            <w:tcW w:w="1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292.69</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130.38</w:t>
            </w:r>
          </w:p>
        </w:tc>
        <w:tc>
          <w:tcPr>
            <w:tcW w:w="1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125.77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55.20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70.57</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36.54</w:t>
            </w:r>
          </w:p>
        </w:tc>
      </w:tr>
      <w:tr>
        <w:tblPrEx>
          <w:tblCellMar>
            <w:top w:w="0" w:type="dxa"/>
            <w:left w:w="108" w:type="dxa"/>
            <w:bottom w:w="0" w:type="dxa"/>
            <w:right w:w="108" w:type="dxa"/>
          </w:tblCellMar>
        </w:tblPrEx>
        <w:trPr>
          <w:gridBefore w:val="1"/>
          <w:gridAfter w:val="1"/>
          <w:wBefore w:w="93" w:type="dxa"/>
          <w:wAfter w:w="381" w:type="dxa"/>
          <w:trHeight w:val="1226" w:hRule="atLeast"/>
        </w:trPr>
        <w:tc>
          <w:tcPr>
            <w:tcW w:w="15140" w:type="dxa"/>
            <w:gridSpan w:val="35"/>
            <w:tcBorders>
              <w:top w:val="nil"/>
              <w:left w:val="nil"/>
              <w:bottom w:val="nil"/>
              <w:right w:val="nil"/>
            </w:tcBorders>
            <w:shd w:val="clear" w:color="auto" w:fill="auto"/>
            <w:vAlign w:val="center"/>
          </w:tcPr>
          <w:p>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hint="eastAsia" w:asciiTheme="minorEastAsia" w:hAnsiTheme="minorEastAsia" w:eastAsiaTheme="minorEastAsia" w:cstheme="minorEastAsia"/>
          <w:kern w:val="0"/>
          <w:sz w:val="22"/>
          <w:szCs w:val="22"/>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1417" w:right="720" w:bottom="1134" w:left="720" w:header="851" w:footer="992" w:gutter="0"/>
          <w:cols w:space="425" w:num="1"/>
          <w:docGrid w:type="lines" w:linePitch="312" w:charSpace="0"/>
        </w:sectPr>
      </w:pPr>
      <w:r>
        <w:rPr>
          <w:rFonts w:ascii="黑体" w:hAnsi="黑体" w:eastAsia="黑体"/>
          <w:szCs w:val="21"/>
        </w:rPr>
        <w:br w:type="page"/>
      </w:r>
    </w:p>
    <w:p>
      <w:pPr>
        <w:pStyle w:val="20"/>
        <w:rPr>
          <w:color w:val="auto"/>
          <w:sz w:val="72"/>
          <w:szCs w:val="72"/>
        </w:rPr>
      </w:pPr>
    </w:p>
    <w:p>
      <w:pPr>
        <w:pStyle w:val="20"/>
        <w:rPr>
          <w:color w:val="auto"/>
          <w:sz w:val="72"/>
          <w:szCs w:val="72"/>
        </w:rPr>
      </w:pP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pPr>
        <w:pStyle w:val="20"/>
        <w:jc w:val="center"/>
        <w:rPr>
          <w:rFonts w:ascii="方正小标宋_GBK" w:hAnsi="方正小标宋_GBK" w:eastAsia="方正小标宋_GBK" w:cs="方正小标宋_GBK"/>
          <w:color w:val="auto"/>
          <w:sz w:val="70"/>
          <w:szCs w:val="70"/>
        </w:rPr>
      </w:pPr>
    </w:p>
    <w:p>
      <w:pPr>
        <w:pStyle w:val="20"/>
        <w:jc w:val="center"/>
        <w:rPr>
          <w:rFonts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2023年度部门决算情况说明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Cs/>
          <w:color w:val="auto"/>
          <w:sz w:val="32"/>
          <w:szCs w:val="32"/>
        </w:rPr>
      </w:pPr>
      <w:r>
        <w:rPr>
          <w:rFonts w:hint="eastAsia" w:hAnsi="黑体"/>
          <w:bCs/>
          <w:color w:val="auto"/>
          <w:sz w:val="32"/>
          <w:szCs w:val="32"/>
        </w:rPr>
        <w:t>一、收入支出决算总体情况说明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2023年度收、支总计119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184.98万元。与上年相比，</w:t>
      </w:r>
      <w:r>
        <w:rPr>
          <w:rFonts w:hint="eastAsia" w:ascii="仿宋_GB2312" w:hAnsi="仿宋_GB2312" w:eastAsia="仿宋_GB2312" w:cs="仿宋_GB2312"/>
          <w:color w:val="auto"/>
          <w:sz w:val="32"/>
          <w:szCs w:val="32"/>
          <w:lang w:val="en-US" w:eastAsia="zh-CN"/>
        </w:rPr>
        <w:t>收、支总计各</w:t>
      </w:r>
      <w:r>
        <w:rPr>
          <w:rFonts w:hint="eastAsia" w:ascii="仿宋_GB2312" w:hAnsi="仿宋_GB2312" w:eastAsia="仿宋_GB2312" w:cs="仿宋_GB2312"/>
          <w:color w:val="auto"/>
          <w:sz w:val="32"/>
          <w:szCs w:val="32"/>
        </w:rPr>
        <w:t>增加21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792.27万元，增长22.38%，主要是政策性事业单位人员经费调增，另因2023年疫情开放，我厅全面恢复开展文旅宣传推广和重大文旅活动，央视广告、卫视整体文旅形象推广、博物院特展等项目增加，政策性事业单位人员经费调增，收入和支出相应增加。</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Ansi="黑体"/>
          <w:bCs/>
          <w:color w:val="auto"/>
          <w:sz w:val="32"/>
          <w:szCs w:val="32"/>
        </w:rPr>
      </w:pPr>
      <w:r>
        <w:rPr>
          <w:rFonts w:hint="eastAsia" w:hAnsi="黑体"/>
          <w:bCs/>
          <w:color w:val="auto"/>
          <w:sz w:val="32"/>
          <w:szCs w:val="32"/>
        </w:rPr>
        <w:t>二、收入决算情况说明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2023年度收入合计96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284.69万元，其中：财政拨款收入83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028.46万元，占86.23%；上级补助收入0万元，占0%；事业收入11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633.74万元，占12.08%；经营收入508.75万元，占0.53%；附属单位上缴收入0万元，占0%；其他收入1,113.74万元，占1.16%。</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Ansi="黑体"/>
          <w:bCs/>
          <w:color w:val="auto"/>
          <w:sz w:val="32"/>
          <w:szCs w:val="32"/>
        </w:rPr>
      </w:pPr>
      <w:r>
        <w:rPr>
          <w:rFonts w:hint="eastAsia" w:hAnsi="黑体"/>
          <w:bCs/>
          <w:color w:val="auto"/>
          <w:sz w:val="32"/>
          <w:szCs w:val="32"/>
        </w:rPr>
        <w:t>三、支出决算情况说明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2023年度支出合计102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624.87万元，其中：基本支出37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359.57万元，占36.40%；项目支出64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756.55万元，占63.10%；上缴上级支出0万元，占0%；经营支出508.75万元，占0.50%；对附属单位补助支出0万元，占0%。</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Ansi="黑体"/>
          <w:bCs/>
          <w:color w:val="auto"/>
          <w:sz w:val="32"/>
          <w:szCs w:val="32"/>
        </w:rPr>
      </w:pPr>
      <w:r>
        <w:rPr>
          <w:rFonts w:hint="eastAsia" w:hAnsi="黑体"/>
          <w:bCs/>
          <w:color w:val="auto"/>
          <w:sz w:val="32"/>
          <w:szCs w:val="32"/>
        </w:rPr>
        <w:t>四、财政拨款收入支出决算总体情况说明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2023年度财政拨款收、支总计102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192.65万元，与上年相比，增加18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568.05万元，增长22.20%，主要是政策性事业单位人员经费调增，另因2023年疫情开放，我厅全面恢复开展文旅宣传推广和重大文旅活动，央视广告、卫视整体文旅形象推广、博物院特展等项目增加，政策性事业单位人员经费调增，收入和支出相应增加。</w:t>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Cs/>
          <w:color w:val="auto"/>
          <w:sz w:val="32"/>
          <w:szCs w:val="32"/>
        </w:rPr>
      </w:pPr>
      <w:r>
        <w:rPr>
          <w:rFonts w:hint="eastAsia" w:hAnsi="黑体"/>
          <w:bCs/>
          <w:color w:val="auto"/>
          <w:sz w:val="32"/>
          <w:szCs w:val="32"/>
        </w:rPr>
        <w:t>五、一般公共预算财政拨款支出决算情况说明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（一）一般公共预算财政拨款支出决算总体情况</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2023年度财政拨款支出87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218.19万元，占本年支出合计的84.99%，与上年相比，财政拨款支出增加23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741.2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增长37.40%，主要是政策性事业单位人员经费调增，另因2023年疫情开放，我厅全面恢复开展文旅宣传推广和重大文旅活动，央视广告、卫视整体文旅形象推广、博物院特展等项目增加，政策性事业单位人员经费调增，收入和支出相应增加。</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（二）一般公共预算财政拨款支出决算结构情况</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2023年度财政拨款支出87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218.19万元，主要用于以下方面：一般公共服务（类）支出800.61万元，占0.92%；公共安全（类）支出84.5万元，占0.10%；教育（类）支出312.58万元，占0.36%；科学技术（类）支出112.31万元，占0.13%；文化旅游体育与传媒（类）支出80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337.73万元，占92.11%；社会保障和就业（类）支出2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819.85万元，占3.23%；卫生健康（类）支出147.62万元，占0.17%；节能环保（类）支出58.23万元，占0.07%；住房保障（类）支出2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544.75万元，占2.91%。</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（三）一般公共预算财政拨款支出决算具体情况</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2023年度财政拨款支出年初预算数为54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517.11万元，支出决算数为87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218.19万元，完成年初预算的1</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%，其中：</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一般公共服务支出（类）发展与改革事务（款）其他发展与改革事务支出（项）。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年初预算为0万元，支出决算为799.61万元，决算数大于年初预算数的主要原因是：该笔资金为厅机关年中追加的送客入村奖励资金。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民族事务（类）其他共产党事务支出（款）一般行政管理事务（项）。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年初预算为0万元，支出决算为1万元，决算数大于年初预算数的主要原因是：该笔资金为厅本级年中追加的省直工委机关党建立项课题研究经费。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公共安全支出（类）公安（款）一般行政管理事务（项）。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年初预算为0万元，支出决算为34.65万元，决算数大于年初预算数的主要原因是：该笔资金为厅本级年中追加的中央政法纪检监察转移支付禁毒专项经费。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公共安全支出（类）公安（款）执法办案（项）。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年初预算为50万元，支出决算为49.85万元，完成年初预算的99.70%，决算数小于年初预算数的主要原因是：基本按照预算执行。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教育支出（类）普通教育（款）学前教育（项）。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年初预算为0万元，支出决算为139万元，决算数大于年初预算数的主要原因是：该笔资金为厅艺术幼儿园年中追加的2023年省属幼儿园学前教育省级补助资金和2023年省属幼儿园学前教育生均公用经费省级补助资金。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教育支出（类）进修及培训（款）培训支出（项）。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年初预算为214.33万元，支出决算为163.67万元，完成年初预算的76.36%，决算数小于年初预算数的主要原因是：原计划年底召开的培训因工作调整至2024年初开展。</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教育支出（类）进修及培训（款）其他进修及培训（项）。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年初预算为15万元，支出决算为9.91万元，完成年初预算的66.07%，决算数小于年初预算数的主要原因是：原计划年底召开的培训因工作调整至2024年初开展。</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科学技术支出（类）社会科学（款）社科基金支出（项）。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年初预算为12万元，支出决算为13.26万元，完成年初预算的110.50%，决算数大于年初预算数的主要原因是：省考古院年中追加了专业特色智库建设经费。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科学技术支出（类）科技重大项目（款）重点研发计划（项）。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年初预算为0万元，支出决算为59.05万元，决算数大于年初预算数的主要原因是：该笔资金为湖南博物院和省考古院年中追加的创新型省份建设专项。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科学技术支出（类）其他科学技术支出（款）其他科学技术支出（项）。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年初预算为30万元，支出决算为40万元，完成年初预算的133.33%，决算数大于年初预算数的主要原因是：省木偶中心年中追加了2023年湖湘青年英才项目资金。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文化旅游体育与传媒支出（类）文化和旅游（款）行政运行（项）。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038</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万元，支出决算为4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003.14万元，完成年初预算的99.14%，决算数小于年初预算数的主要原因是：基本按照预算执行。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文化旅游体育与传媒支出（类）文化和旅游（款）一般行政管理事务（项）。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年初预算为75万元，支出决算为74.2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万元，完成年初预算的98.93%，决算数小于年初预算数的主要原因是：基本按照预算执行。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文化旅游体育与传媒支出（类）文化和旅游（款）图书馆（项）。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375.76万元，支出决算为8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180.02万元，完成年初预算的128.30%，决算数大于年初预算数的主要原因是：湖南图书馆和省少儿图书馆年中追加的省直事业单位人员经费。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文化旅游体育与传媒支出（类）文化和旅游（款）艺术表演场所（项）。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年初预算为420.82万元，支出决算为420.82万元，完成年初预算的100%，决算与预算一致。</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文化旅游体育与传媒支出（类）文化和旅游（款）艺术表演团体（项）。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510.97万元，支出决算为6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337.41万元，完成年初预算的140.49%，决算数大于年初预算数的主要原因是：省花鼓中心、省京剧中心、省木偶中心和省湘剧院年中追加的省直事业单位人员经费。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文化旅游体育与传媒支出（类）文化和旅游（款）群众文化（项）。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730.13万元，支出决算为2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448.97万元，完成年初预算的141.55%，决算数大于年初预算数的主要原因是：省文化馆年中追加的省直事业单位人员经费和“湘”遇非遗生活展示体验基地项目资金。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文化旅游体育与传媒支出（类）文化和旅游（款）文化创作与保护（项）。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228.12万元，支出决算为1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820.27万元，完成年初预算的148.22%，决算数大于年初预算数的主要原因是：年中追加的2023年国家级非物质文化遗产保护专项资金。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文化旅游体育与传媒支出（类）文化和旅游（款）文化和旅游市场管理（项）。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年初预算为159.26万元，支出决算为156.1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万元，完成年初预算的98.02%，决算数小于年初预算数的主要原因是：基本按照预算执行。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文化旅游体育与传媒支出（类）文化和旅游（款）旅游宣传（项）。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年初预算为985.26万元，支出决算为9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618.57万元，完成年初预算的976.25%，决算数大于年初预算数的主要原因是：厅本级年中追加的2023年央视广告费用和湖南卫视、芒果TV等媒体推广费用。</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文化旅游体育与传媒支出（类）文化和旅游（款）文化和旅游管理事务（项）。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年初预算为275.8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万元，支出决算为245.98万元，完成年初预算的89.19%，决算数小于年初预算数的主要原因是：导游职称考试非税收入短收，对应支出减少。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文化旅游体育与传媒支出（类）文化和旅游（款）其他文化和旅游支出（项）。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327.49万元，支出决算为24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014.64万元，完成年初预算的167.61%，决算数大于年初预算数的主要原因是：年中追加了重大文旅活动项目资金。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文化旅游体育与传媒支出（类）文物（款）行政运行（项）。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年初预算为906.2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万元，支出决算为952.39万元，完成年初预算的105.10%，决算数大于年初预算数的主要原因是：省文物局年中追加了2022年度省直机关单位年度考核奖。</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文化旅游体育与传媒支出（类）文物（款）文物保护（项）。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394.46万元，支出决算为2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019.18万元，完成年初预算的144.80%，决算数大于年初预算数的主要原因是：年中省考古院追加了公众考古研学与文物考古展示湖南省科普基地提质项目资金和文物保护专项资金。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文化旅游体育与传媒支出（类）文物（款）博物馆（项）。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260.59万元，支出决算为13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440.02万元，完成年初预算的162.70%，决算数大于年初预算数的主要原因是：年中省博物院追加了湖南博物院省直事业单位人员经费，以及国家级重点博物馆补助资金、中央补助地方免费开放补助资金和服务支援湖南革命军事馆筹建日常运行经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文化旅游体育与传媒支出（类）文物（款）其他文物支出（项）。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021.89万元，支出决算为2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857.75万元，完成年初预算的141.34%，决算数大于年初预算数的主要原因是：年中省博物院和省考古院追加了国家文物保护专项资金。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文化旅游体育与传媒支出（类）其他文化旅游体育与传媒支出（款）其他文化旅游体育与传媒支出（项）。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876.63万元，支出决算为3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748.27万元，完成年初预算的199.73%，决算数大于年初预算数的主要原因是：年中部分厅直单位追加了2023年度省级文化事业发展专项资金、2023年中央支持地方公共文化服务体系建设奖励资金、2023年文化旅游体育和传媒项目资金和文化和旅游专项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社会保障和就业支出（类）行政事业单位养老支出（款）行政单位离退休（项）。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年初预算为179.5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万元，支出决算为244.85万元，完成年初预算的136.41%，决算数大于年初预算数的主要原因是：2022年新冠疫情导致厅本级离退休干部去世人数增加，年中调剂追加了抚恤金。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社会保障和就业支出（类）行政事业单位养老支出（款）机关事业单位基本养老保险缴费支出（项）。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318.98万元，支出决算为2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177.02万元，完成年初预算的93.88%，决算数小于年初预算数的主要原因是：因机关人员年中调出，较预算略有减少。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社会保障和就业支出（类）行政事业单位养老支出（款）机关事业单位职业年金缴费支出（项）。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年初预算为335.39万元，支出决算为316.78万元，完成年初预算的94.45%，决算数小于年初预算数的主要原因是：因厅直事业单位年中人员减少，较预算略有减少。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社会保障和就业支出（类）抚恤（款）死亡抚恤（项）。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年初预算为0万元，支出决算为77.83万元，决算数大于年初预算数的主要原因是：年中部分厅直单位追加的离退休抚恤金。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社会保障和就业支出（类）其他社会保障和就业支出（款）其他社会保障和就业支出（项）。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年初预算为4.44万元，支出决算为3.36万元，完成年初预算的75.68%，决算数小于年初预算数的主要原因是：因厅直事业单位年中人员减少，较预算略有减少。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卫生健康支出（类）行政事业单位医疗（款）行政单位医疗（项）。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年初预算为45万元，支出决算为40.24万元，完成年初预算的89.42%，决算数小于年初预算数的主要原因是：2023年离休干部身体较好，医药费支出较少。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卫生健康支出（类）行政事业单位医疗（款）事业单位医疗（项）。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年初预算为105.89万元，支出决算为106.58万元，完成年初预算的100.65%，决算数大于年初预算数的主要原因是：基本参照预算执行。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卫生健康支出（类）其他卫生健康支出（款）其他卫生健康支出（项）。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年初预算为2万元，支出决算为0.8万元，完成年初预算的40%，决算数小于年初预算数的主要原因是：省博物院和省考古院已调剂支出退休人员相关补助，该指标未支付。</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节能环保支出（类）污染防治（款）其他污染防治支出（项）。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年初预算为0万元，支出决算为20万元，决算数大于年初预算数的主要原因是：厅本级从机关事务局调入的降塑资金。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节能环保支出（类）能源节约利用（款）能源节约利用（项）。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年初预算为0万元，支出决算为38.23万元，决算数大于年初预算数的主要原因是：该笔资金为厅本级和省博物院年中追加的省级公共机构节能资金。</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住房保障支出（类）住房改革支出（款）住房公积金（项）。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218.69万元，支出决算为2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145.13万元，完成年初预算的96.68%，决算数小于年初预算数的主要原因是：基本参照预算执行。</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住房保障支出（类）住房改革支出（款）购房补贴（项）。</w:t>
      </w: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年初预算为399.52万元，支出决算为399.62万元，完成年初预算的100.03%，决算数大于年初预算数的主要原因是：基本参照预算执行。</w:t>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 w:val="0"/>
          <w:bCs/>
          <w:color w:val="auto"/>
          <w:sz w:val="32"/>
          <w:szCs w:val="32"/>
        </w:rPr>
      </w:pPr>
      <w:r>
        <w:rPr>
          <w:rFonts w:hint="eastAsia" w:hAnsi="黑体"/>
          <w:b w:val="0"/>
          <w:bCs/>
          <w:color w:val="auto"/>
          <w:sz w:val="32"/>
          <w:szCs w:val="32"/>
        </w:rPr>
        <w:t>六、一般公共预算财政拨款基本支出决算情况说明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2023年度财政拨款基本支出32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592.55万元，其中：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人员经费</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050.53万元，占基本支出的92.20%,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公用经费</w:t>
      </w:r>
      <w:r>
        <w:rPr>
          <w:rFonts w:hint="eastAsia" w:ascii="仿宋_GB2312" w:hAnsi="仿宋_GB2312" w:eastAsia="仿宋_GB2312" w:cs="仿宋_GB2312"/>
          <w:color w:val="auto"/>
          <w:sz w:val="32"/>
          <w:szCs w:val="32"/>
        </w:rPr>
        <w:t>2542.02万元，占基本支出的7.80%，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其他资本性支出。</w:t>
      </w:r>
    </w:p>
    <w:p>
      <w:pPr>
        <w:pStyle w:val="20"/>
        <w:keepNext w:val="0"/>
        <w:keepLines w:val="0"/>
        <w:pageBreakBefore w:val="0"/>
        <w:widowControl w:val="0"/>
        <w:kinsoku/>
        <w:wordWrap/>
        <w:overflowPunct/>
        <w:topLinePunct w:val="0"/>
        <w:bidi w:val="0"/>
        <w:snapToGrid w:val="0"/>
        <w:spacing w:line="560" w:lineRule="exact"/>
        <w:ind w:firstLine="640" w:firstLineChars="200"/>
        <w:rPr>
          <w:rFonts w:ascii="Times New Roman" w:hAnsi="Times New Roman" w:eastAsia="仿宋_GB2312"/>
          <w:b/>
          <w:color w:val="auto"/>
          <w:sz w:val="32"/>
          <w:szCs w:val="32"/>
        </w:rPr>
      </w:pPr>
      <w:r>
        <w:rPr>
          <w:rFonts w:hint="eastAsia" w:hAnsi="黑体"/>
          <w:bCs/>
          <w:color w:val="auto"/>
          <w:sz w:val="32"/>
          <w:szCs w:val="32"/>
        </w:rPr>
        <w:t>七、财政拨款三公经费支出决算情况说明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（一）“三公”经费财政拨款支出决算总体情况说明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“三公”经费财政拨款支出预算为356.56万元，支出决算为292.69万元，完成预算的82.09%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决算数小于预算数的主要原因是我厅严格按照“三公”经费管理要求，厉行节约，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经费较预算有所压减，与上年相比增加96.59万元，增长49.26%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增长的主要原因是2023年疫情放开后，我厅对外交流及境外文旅宣传推广活动逐步恢复，外事接待和出国费较上年增加，但较疫情前2019年的支出数据仍有压减。其中：</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因公出国（境）费支出预算为178.8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万元，支出决算为130.38万元，完成预算的72.92%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决算数小于预算数的主要原因是我厅严格按照“三公”经费管理要求，厉行节约，出国（境）支出较预算有所压减，与上年相比增加127.27万元，增长4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092.28%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增长的主要原因是2023年疫情放开后，我厅对外交流及境外文旅宣传推广活动逐步恢复，但较疫情前2019年的支出数据仍有压减。</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公务接待费支出预算为48.72万元，支出决算为36.54万元，完成预算的75.00%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决算数小于预算数的主要原因是我厅严格按照“三公”经费管理要求，厉行节约，公务接待费支出较预算有所压减，与上年相比增加18.92万元，增长107.38%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增长的主要原因是2023年疫情放开后，外事接待有所增加，但较疫情前2019年的支出数据仍有压减。</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公务用车购置费支出预算为56万元，支出决算为55.2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万元，完成预算的98.57%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决算数小于预算数的主要原因是公务用车实际购买价格较预算略有压减，与上年相比减少47.35万元，减少46.17%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减少的主要原因是根据车辆更换需求，2023年较2022年减少购置2辆公务用车。</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公务用车运行维护费支出预算为73.03万元，支出决算为70.57万元，完成预算的96.63%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决算数小于预算数的主要原因是我厅严格按照“三公”经费管理要求，厉行节约，公务用车运行维护费支出较预算有所压减，与上年相比2.24万元，减少3.08%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减少的主要原因是按“三公”经费管理要求，为控制公务用车支出总量，厉行节约，公务车运行费用较上年略有压减。</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（二）“三公”经费财政拨款支出决算具体情况说明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2023年度“三公”经费财政拨款支出决算中，公务接待费支出决算36.54万元，占12.48%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因公出国（境）费支出决算130.38万元，占44.55%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公务用车购置费及运行维护费支出决算125.77万元，占42.97%。其中：</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因公出国（境）费支出决算为130.38万元，全年安排因公出国（境）团组10个，累计28人次，开支内容包括：</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（1）2023年湖南-粤港澳大湾区投资贸易洽谈周暨湖南文旅推广活动支出4.75万元，主要用于厅本级2023年湖南-粤港澳大湾区投资贸易洽谈周暨湖南文旅推广活动相关人员费用；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（2）第11届澳门国际旅游（产业）博览会支出3.52万元，主要用于厅本级参加第11届澳门国际旅游（产业）博览会相关人员费用；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（3）香港招商推介支出2.61万元，主要用于厅本级香港招商推介相关人员费用；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（4）国际文化交流慰问演出7.78万元，主要用于厅本级赴新西兰、汤加开展国际文化交流慰问演出相关人员费用；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（5）2023日本大阪国际旅游博览会1.21万元，主要用于厅本级参加2023日本大阪国际旅游博览会相关人员费用；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（6）“三湘四水 湘约湖南”走进东（南）亚文旅推广活动19.61万元，主要用于厅本级赴新加坡、日本、韩国开展文旅推广活动相关人员费用；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（7）“三湘四水 湘约湖南”走进中美洲文旅推广活动15.41万元，主要用于厅本级赴墨西哥、多米尼加开展文旅推广活动相关人员费用；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（8）“三湘四水 湘约湖南”走进中美洲文旅推广活动19.79万元，主要用于厅本级赴墨西哥、古巴、多米尼加开展文旅推广活动相关人员费用；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（9）湖南重大文旅产业项目欧洲两国招商推介活动20.81万元，主要用于厅本级赴英国和法国开展文旅推广活动相关人员费用；</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（10）湖南文旅推广系列活动出国费支出34.88万元，主要用于省文化馆“三湘四水、相约湖南”湖南文旅推广系列活动开支。</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公务接待费支出决算为36.54万元，全年共接待来访团组207个、来宾2172人次，主要是日常业务工作、文旅活动、外事接待发生的接待支出。</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ascii="楷体" w:hAnsi="楷体" w:eastAsia="楷体" w:cs="楷体"/>
          <w:b/>
          <w:bCs/>
          <w:i/>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务用车购置费及运行维护费支出决算为125.77万元，其中：公务用车购置费55.2万元，厅本级更新公务用车1辆，省文物局更新公务用车1辆。公务用车运行维护费70.57万元，主要是公务和业务用车所需车辆燃料费、维修费、过桥过路费、保险费等车辆运行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截止2023年12月31日，我单位开支财政拨款的公务用车保有量为27辆。</w:t>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Cs/>
          <w:color w:val="auto"/>
          <w:sz w:val="32"/>
          <w:szCs w:val="32"/>
        </w:rPr>
      </w:pPr>
      <w:r>
        <w:rPr>
          <w:rFonts w:hint="eastAsia" w:hAnsi="黑体"/>
          <w:bCs/>
          <w:color w:val="auto"/>
          <w:sz w:val="32"/>
          <w:szCs w:val="32"/>
        </w:rPr>
        <w:t>八、政府性基金预算收入支出决算情况</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Times New Roman" w:hAnsi="Times New Roman" w:eastAsia="仿宋_GB2312" w:cs="Arial"/>
          <w:color w:val="auto"/>
          <w:kern w:val="2"/>
          <w:sz w:val="32"/>
          <w:szCs w:val="32"/>
        </w:rPr>
      </w:pPr>
      <w:r>
        <w:rPr>
          <w:rFonts w:hint="eastAsia" w:ascii="Times New Roman" w:hAnsi="Times New Roman" w:eastAsia="仿宋_GB2312" w:cs="Arial"/>
          <w:color w:val="auto"/>
          <w:kern w:val="2"/>
          <w:sz w:val="32"/>
          <w:szCs w:val="32"/>
        </w:rPr>
        <w:t>我部门没有政府性基金收入，也没有使用政府性基金安排的支出。</w:t>
      </w:r>
    </w:p>
    <w:p>
      <w:pPr>
        <w:pStyle w:val="20"/>
        <w:keepNext w:val="0"/>
        <w:keepLines w:val="0"/>
        <w:pageBreakBefore w:val="0"/>
        <w:widowControl w:val="0"/>
        <w:numPr>
          <w:ilvl w:val="0"/>
          <w:numId w:val="0"/>
        </w:numPr>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shd w:val="clear" w:color="auto" w:fill="auto"/>
        </w:rPr>
      </w:pPr>
      <w:r>
        <w:rPr>
          <w:rFonts w:hint="eastAsia" w:hAnsi="黑体" w:cs="黑体"/>
          <w:color w:val="auto"/>
          <w:sz w:val="32"/>
          <w:szCs w:val="32"/>
          <w:shd w:val="clear" w:color="auto" w:fill="auto"/>
          <w:lang w:val="en-US" w:eastAsia="zh-CN"/>
        </w:rPr>
        <w:t>九、</w:t>
      </w:r>
      <w:r>
        <w:rPr>
          <w:rFonts w:hint="eastAsia" w:ascii="黑体" w:hAnsi="黑体" w:eastAsia="黑体" w:cs="黑体"/>
          <w:color w:val="auto"/>
          <w:sz w:val="32"/>
          <w:szCs w:val="32"/>
          <w:shd w:val="clear" w:color="auto" w:fill="auto"/>
        </w:rPr>
        <w:t>国有资本经营</w:t>
      </w:r>
      <w:r>
        <w:rPr>
          <w:rFonts w:hint="eastAsia" w:ascii="黑体" w:hAnsi="黑体" w:eastAsia="黑体" w:cs="黑体"/>
          <w:bCs/>
          <w:color w:val="auto"/>
          <w:sz w:val="32"/>
          <w:szCs w:val="32"/>
          <w:shd w:val="clear" w:color="auto" w:fill="auto"/>
        </w:rPr>
        <w:t>预算收入支出决算情况</w:t>
      </w:r>
    </w:p>
    <w:p>
      <w:pPr>
        <w:pStyle w:val="20"/>
        <w:keepNext w:val="0"/>
        <w:keepLines w:val="0"/>
        <w:pageBreakBefore w:val="0"/>
        <w:widowControl w:val="0"/>
        <w:numPr>
          <w:ilvl w:val="0"/>
          <w:numId w:val="0"/>
        </w:numPr>
        <w:kinsoku/>
        <w:wordWrap/>
        <w:overflowPunct/>
        <w:topLinePunct w:val="0"/>
        <w:bidi w:val="0"/>
        <w:snapToGrid w:val="0"/>
        <w:spacing w:line="560" w:lineRule="exact"/>
        <w:rPr>
          <w:rFonts w:hint="default" w:ascii="黑体" w:hAnsi="黑体" w:eastAsia="黑体" w:cs="黑体"/>
          <w:bCs/>
          <w:color w:val="auto"/>
          <w:sz w:val="32"/>
          <w:szCs w:val="32"/>
          <w:shd w:val="clear" w:color="auto" w:fill="auto"/>
          <w:lang w:val="en-US" w:eastAsia="zh-CN"/>
        </w:rPr>
      </w:pPr>
      <w:r>
        <w:rPr>
          <w:rFonts w:hint="eastAsia" w:hAnsi="黑体" w:cs="黑体"/>
          <w:bCs/>
          <w:color w:val="auto"/>
          <w:sz w:val="32"/>
          <w:szCs w:val="32"/>
          <w:shd w:val="clear" w:color="auto" w:fill="auto"/>
          <w:lang w:val="en-US" w:eastAsia="zh-CN"/>
        </w:rPr>
        <w:t xml:space="preserve">    </w:t>
      </w:r>
      <w:r>
        <w:rPr>
          <w:rFonts w:hint="eastAsia" w:ascii="Times New Roman" w:hAnsi="Times New Roman" w:eastAsia="仿宋_GB2312" w:cs="Arial"/>
          <w:color w:val="auto"/>
          <w:kern w:val="2"/>
          <w:sz w:val="32"/>
          <w:szCs w:val="32"/>
        </w:rPr>
        <w:t>我部门没有</w:t>
      </w:r>
      <w:r>
        <w:rPr>
          <w:rFonts w:hint="eastAsia" w:ascii="Times New Roman" w:hAnsi="Times New Roman" w:eastAsia="仿宋_GB2312" w:cs="Arial"/>
          <w:color w:val="auto"/>
          <w:kern w:val="2"/>
          <w:sz w:val="32"/>
          <w:szCs w:val="32"/>
          <w:lang w:val="en-US" w:eastAsia="zh-CN"/>
        </w:rPr>
        <w:t>国有资本经营预算</w:t>
      </w:r>
      <w:r>
        <w:rPr>
          <w:rFonts w:hint="eastAsia" w:ascii="Times New Roman" w:hAnsi="Times New Roman" w:eastAsia="仿宋_GB2312" w:cs="Arial"/>
          <w:color w:val="auto"/>
          <w:kern w:val="2"/>
          <w:sz w:val="32"/>
          <w:szCs w:val="32"/>
        </w:rPr>
        <w:t>收入，也没有使用</w:t>
      </w:r>
      <w:r>
        <w:rPr>
          <w:rFonts w:hint="eastAsia" w:ascii="Times New Roman" w:hAnsi="Times New Roman" w:eastAsia="仿宋_GB2312" w:cs="Arial"/>
          <w:color w:val="auto"/>
          <w:kern w:val="2"/>
          <w:sz w:val="32"/>
          <w:szCs w:val="32"/>
          <w:lang w:val="en-US" w:eastAsia="zh-CN"/>
        </w:rPr>
        <w:t>国有资本经营预算</w:t>
      </w:r>
      <w:r>
        <w:rPr>
          <w:rFonts w:hint="eastAsia" w:ascii="Times New Roman" w:hAnsi="Times New Roman" w:eastAsia="仿宋_GB2312" w:cs="Arial"/>
          <w:color w:val="auto"/>
          <w:kern w:val="2"/>
          <w:sz w:val="32"/>
          <w:szCs w:val="32"/>
        </w:rPr>
        <w:t>安排的支出。</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黑体" w:hAnsi="黑体" w:eastAsia="黑体" w:cs="黑体"/>
          <w:b w:val="0"/>
          <w:bCs/>
          <w:color w:val="auto"/>
          <w:sz w:val="32"/>
          <w:szCs w:val="32"/>
        </w:rPr>
      </w:pPr>
      <w:r>
        <w:rPr>
          <w:rFonts w:hint="eastAsia" w:hAnsi="黑体" w:cs="黑体"/>
          <w:b w:val="0"/>
          <w:bCs/>
          <w:color w:val="auto"/>
          <w:sz w:val="32"/>
          <w:szCs w:val="32"/>
          <w:lang w:val="en-US" w:eastAsia="zh-CN"/>
        </w:rPr>
        <w:t>十、</w:t>
      </w:r>
      <w:r>
        <w:rPr>
          <w:rFonts w:hint="eastAsia" w:ascii="黑体" w:hAnsi="黑体" w:eastAsia="黑体" w:cs="黑体"/>
          <w:b w:val="0"/>
          <w:bCs/>
          <w:color w:val="auto"/>
          <w:sz w:val="32"/>
          <w:szCs w:val="32"/>
        </w:rPr>
        <w:t>关于机关运行经费支出说明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本部门2023年度机关运行经费支出798.17万元，比上年决算数增加60.98万元，增长8.27%。主要原因是：厅机关落实审计整改，增加行政审批窗口聘用人员劳务费，另外，疫情结束后厅机关和省文物局差旅费等增加。</w:t>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val="en-US" w:eastAsia="zh-CN"/>
        </w:rPr>
        <w:t>一</w:t>
      </w:r>
      <w:r>
        <w:rPr>
          <w:rFonts w:hint="eastAsia" w:hAnsi="黑体"/>
          <w:bCs/>
          <w:color w:val="auto"/>
          <w:sz w:val="32"/>
          <w:szCs w:val="32"/>
        </w:rPr>
        <w:t>、一般性支出情况说明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2023年本部门开支会议费90.66万元，主要用于召开以下会议：</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用于召开2023年全省文化和旅游局长会议，人数114人，内容为学习贯彻全国文化和旅游厅局长会议精神，总结2022年文化旅游工作，部署2023年重点工作；</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用于召开推进公共文化服务高质量发展工作会议，人数104人，内容为总结2022 年全省文化和旅游公共服务领域工作情况，部署2023年重点工作任务，表彰2022 年度全省文化和旅游公共服务领域获得国家级和省级表彰荣誉的单位和个人；</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用于召开2023年全省文化旅游市场管理工作会议，人数107人，内容为传达学习文化和旅游部《2023年工作要点》，总结2022年全省文化旅游市场管理工作，安排部署2023年全省文化旅游市场管理工作要点；</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用于召开全省文化市场综合行政执法工作会议，人数70人，内容为明确我省文化市场综合执法队伍2023年主要工作；</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用于召开2023年全省艺术创作工作会议，人数85人，内容为总结2022年工作情况，交流经验，部署2023年主要工作；</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用于召开张家界首届旅发大会筹备工作推进大会，人数39人，内容为安排部署下阶段筹备工作；</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用于召开首届湖南旅发大会惠民助企文旅消费券暨旅行社“引客入张”活动启动仪式及省文化和旅游重点项目及产业运行调度会费用，人数61人，内容为汇报相关工作，参会人员围绕会议主题发言；</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用于召开精神文明建设工作推进会，人数102人，内容为总结2022年全省文化和旅游行业精神文明建设工作，安排部署2023年度工作任务;</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用于召开2023年人事职称评审，人数285人，内容为初中高级职称评审等；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用于召开湖南省工业旅游高质量发展座谈会，人数144人，内容为研究《关于加快推进工业旅游高质量发展的实施意见（征求意见稿）》；</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用于召开全国古籍重点保护单位符合抽查工作会议，人数28人，内容为考察湖南图书馆古籍保护工作情况；</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用于召开《皿方罍》专家研讨会议，人数35人，内容为《皿方罍》舞台艺术创作跟踪指导研讨；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用于召开2024年度国家艺术基金项目申报工作会议，人数320人，内容为2024年度国家艺术基金项目申报培训；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用于召开“加强马王堆汉墓及文物科学研究”专家座谈会、“神游-历史时空中的数字艺术国际学术会议”等会议，人数78人，内容为马王堆汉墓研究及展览项目学术研究；</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用于召开全省文物工作会议，人数116人，内容为部署加强全省文物保护利用工作；</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用于召开2024年度省级文物保护单位安全防护工程计划专家评审会会议，人数10人，内容为2024年度省级文物保护单位安全防护工程计划专家评审；</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用于召开2024年度全国重点文物保护单位安全防护工程计划专家评审会会议，人数10人，内容为2024年度全国重点文物保护单位安全防护工程计划专家评审；</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用于召开湖南省第四次全国文物普查实施方案评审会会议，人数14人，内容为组织专家对《湖南省第四次全国文物普查实施方案》评审；</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用于召开文物安全工作座谈会会议，人数24人，内容为建立健全我省文物安全长效机制；</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用于召开《湖南省历史文化和文物保护国土空间专项规划》听证会会议，人数26人，内容为对《湖南省历史文化和文物保护国土空间专项规划（2023-2035年）》有关问题进行听证；</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用于召开2024年度考古汇报会，考古学术会，人数约1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500人，内容为考古学术交流，考古业务能力提升等。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开支培训费340.52万元，主要用于开展以下培训：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开展2021-2022年度全省文化市场综合执法案卷评查培训，人数48人，内容为2021-2022年度全省文化市场综合执法案卷评查及案卷制作培训；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开展全省文化市场综合行政执法案卷工作培训，人数44人，内容为全省文化市场综合行政执法案卷工作培训；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开展2023年全省文艺精英人才（高级编剧）提升班，人数35人，内容为邀请专家授课、研讨论坛、创作采风、观摩演出；</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开展全省旅游资源开发培训班，人数92人，内容为全省旅游资源开发相关培训；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2023年湖南文旅高质量发展培训班，人数54人，内容为学习习近平总书记关于文化旅游工作的重要论述，文旅赋能乡村振兴建设，文创产业的体系构建及环境营造等。通过专题讲座、交流研讨、现场教学等形式，进一步提升全省文旅干部的管理水平和业务能力；</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开展全国等级旅游民宿评定标准宣贯培训班，人数115人，内容为评定标准、评定工作规程等进行讲解和现场教学；</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湖南艰苦边远地区和基层一线文化工作管理人员服务能力提升培训班，人数96人，内容为学习习近平总书记关于人才工作的重要论述;艰苦边远地区和基层一线文化工作相关人事、财务等政策法规;乡镇、村（社区）综合文化服务中心建设与服务规范;非遗传承与保护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开展2022-2023年全省文化市场行政执法重大案件评审培训班，人数28人，内容为全省文化市场行政执法重大案件评审相关培训；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湖南省文旅系统青年科研人才培训班人数63人，内容为以习近平新时代中国特色社会主义思想为指导，学习贯彻党的二十大全会精神，紧扣2023年文化和旅游系统青年科研人才扶持计划研究主题“促进文旅深度融合的传统文化艺术资源活化及线上传播”，提升青年科研工作者相关科研知识水平；</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开展厅系统财务工作培训暨会计继续教育培训人数69人，内容为总结2023年厅系统财务工作和文化文物和旅游统计工作，安排部署2024年厅系统财务管理工作和文化文物和旅游统计工作任务；</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开展2023年度全省文旅系统宣传信息工作培训班，人数108人，内容为文旅政务信息、网络舆情处置、文旅意识形态、新闻发布会的组织等工作以及微信、微博、抖音、视频号等政务新媒体的传播与推广业务培训；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开展2023年党务干部培训，人数45人，内容为党务干部相关培训；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全省基层一线文化工作者培训班，人数140人，内容为学习习近平总书记关于文化思想的重要论述，基层公共文化服务政策法规，湖南优秀传统文化、非物质文化遗产传承保护与创新发展；舞蹈、民乐、交响、书法等多门类艺术鉴赏；</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开展专业技术培训，人数6人，内容为高空作业培训和人力资源培训；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开展各类专业技术培训，人数238人，内容为事业单位公需科目培训、编目培训、会计继续教育培训和政府采购业务培训；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开展事业单位人员在岗培训、业务人员戏曲培训，人数78人，内容为2023年度事业单位人员在岗培训、演员戏曲学习培训；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开展文化旅游人才培养等培训，人数1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200余人，内容为基层文化工作者培训和导游人才培训。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开展湖南省事业单位工作人员在岗培训，人数136人，内容为事业单位公需科目及相关专业科目；</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开展书法培训和事业单位继续教育培训，人数126人，内容为2023年湖南书法高研班开设理论（评论）班、简帛正书班、简帛行草班三个班级,共招收学员90余人；</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开展教师培训，人数162人，内容为《读懂儿童》等；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开展赴沈阳参加书画鉴定培训班、开办“2023金属类文物鉴定培训班”等培训，人数32人，内容为书画及金属类文物鉴定培训；</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2023年度省文物安全监管培训班、2023年全省第四次全国文物普查培训班（一期）、2023年度考古勘探培训班、吐鲁番市文物保护管理业务能力提升培训班，人数362人，内容为文物安全监管与保护，考古勘探业务能力提升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举办节庆、晚会、论坛、赛事活动，开支1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139.43万元，具体如下：</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举办2022年湖南省禁毒文化宣传季活动，开支49.85万元，主要是禁毒创意卡通形象及公益广告征集、优秀书法作品、文艺作品征集展示、禁毒宣传片等；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举办湖南省第五届文化市场综合行政执法技能竞赛决赛，开支54.89万元，主要是食宿费、场地费、决赛舞台搭建费用、竞赛资料打印费用、广告宣传费用等；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举办湖南省电子竞技大赛，开支59.97万元，主要是场地租赁费、媒体宣传费、奖金、证书、奖杯奖牌等费用；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举办“湘戏新角“2023全省青年戏曲演员大赛，开支195.5万元，主要是评委、演职人员及工作人员食宿费用、评委劳务费、剧场场租、舞台灯光布景费用、媒体宣传等费用；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举办“艺心向党·诗意潇湘”——庆祝二十大主题活动，开支16.25万元，主要是媒体宣传等费用；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举办2023湖南文旅产业投融资大会活动，开支185.67万元，主要是项目调研、项目手册编印、会务执行及宣传报道等费用；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举办2023年“欢乐潇湘”全省群众文艺汇演活动，开支164.65万元，主要是场地费，舞台租赁，参演人员的食宿费用等；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举办2023年第二届湖南数字文化产业嘉年华活动，开支50万元，主要是展览展示场地租赁费用等。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举办2023年中国红色旅游博览会，开支191.38万元，主要是场地租赁费、舞美费、推介会、媒体宣传报道等费用。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举办“大地欢歌”湖南省乡村文化活动年，开支116.55万元，主要是场地费，舞台租赁，参演人员的食宿费用等。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举办“5·18国际博物馆日”主场活动，开支29.84万元，主要是启动仪式、《西汉马王堆导引图》导引术短视频等；</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举办2023年文化和自然遗产日湖南主会场活动，开支24.88万元，主要是启动仪式、市民体验活动、星耀百年-长沙文物考古百年成就展等。</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val="en-US" w:eastAsia="zh-CN"/>
        </w:rPr>
        <w:t>二</w:t>
      </w:r>
      <w:r>
        <w:rPr>
          <w:rFonts w:hint="eastAsia" w:hAnsi="黑体"/>
          <w:bCs/>
          <w:color w:val="auto"/>
          <w:sz w:val="32"/>
          <w:szCs w:val="32"/>
        </w:rPr>
        <w:t>、关于政府采购支出说明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本部门2023年度政府采购支出总额33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282.91万元，其中：政府采购货物支出2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217</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万元、政府采购工程支出2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068.41万元、政府采购服务支出28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997.5万元。授予中小企业合同金额25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414.61万元，占政府采购支出总额的76.36%，其中：授予小微企业合同金额22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270.51万元，占授予中小企业合同金额的87.63%。货物采购授予中小企业合同金额占货物支出金额的6.23%，工程采购授予中小企业合同金额占工程支出金额的5.12%，服务采购授予中小企业合同金额占服务支出金额的70.22%。</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val="en-US" w:eastAsia="zh-CN"/>
        </w:rPr>
        <w:t>三</w:t>
      </w:r>
      <w:r>
        <w:rPr>
          <w:rFonts w:hint="eastAsia" w:hAnsi="黑体"/>
          <w:bCs/>
          <w:color w:val="auto"/>
          <w:sz w:val="32"/>
          <w:szCs w:val="32"/>
        </w:rPr>
        <w:t>、关于国有资产占用情况说明</w:t>
      </w:r>
    </w:p>
    <w:p>
      <w:pPr>
        <w:pStyle w:val="20"/>
        <w:keepNext w:val="0"/>
        <w:keepLines w:val="0"/>
        <w:pageBreakBefore w:val="0"/>
        <w:widowControl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yellow"/>
        </w:rPr>
        <w:t>截至2023年12月31日，部门（单位）共有车辆45辆，其中，副部（省）级及以上领导用车0辆、主要负责人用车1辆、机要通信用车3辆、应急保障用车5辆、执法执勤用车2辆、特种专业技术用车2辆、离退休干部服务用车2辆、其他用车30辆，其他用车主要是公务用车和业务用车；单位价值100万元以上设备（不含车辆）8台（套）。</w:t>
      </w:r>
    </w:p>
    <w:p>
      <w:pPr>
        <w:pStyle w:val="20"/>
        <w:keepNext w:val="0"/>
        <w:keepLines w:val="0"/>
        <w:pageBreakBefore w:val="0"/>
        <w:widowControl w:val="0"/>
        <w:kinsoku/>
        <w:wordWrap/>
        <w:overflowPunct/>
        <w:topLinePunct w:val="0"/>
        <w:bidi w:val="0"/>
        <w:snapToGrid w:val="0"/>
        <w:spacing w:line="560" w:lineRule="exact"/>
        <w:ind w:firstLine="640" w:firstLineChars="200"/>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val="en-US" w:eastAsia="zh-CN"/>
        </w:rPr>
        <w:t>四</w:t>
      </w:r>
      <w:r>
        <w:rPr>
          <w:rFonts w:hint="eastAsia" w:hAnsi="黑体"/>
          <w:bCs/>
          <w:color w:val="auto"/>
          <w:sz w:val="32"/>
          <w:szCs w:val="32"/>
        </w:rPr>
        <w:t>、关于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（一）绩效管理工作开展情况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依据工作计划，科学设定绩效目标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为进一步加快文旅产业发展，支持文化强省和世界旅游目的地建设，结合部门职能职责、工作实际情况，以及《中共湖南省委 湖南省人民政府关于加快建设世界旅游目的地的意见》等文件精神，我们制定了省文化旅游发展专项资金绩效目标和省文旅厅部门整体绩效目标。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一是规范工作流程，细化绩效指标。</w:t>
      </w:r>
      <w:r>
        <w:rPr>
          <w:rFonts w:hint="eastAsia" w:ascii="仿宋_GB2312" w:hAnsi="仿宋_GB2312" w:eastAsia="仿宋_GB2312" w:cs="仿宋_GB2312"/>
          <w:kern w:val="0"/>
          <w:sz w:val="32"/>
          <w:szCs w:val="32"/>
        </w:rPr>
        <w:t>省文化旅游发展专项资金绩效目标设置了七个支出方向，按照成本指标、产出指标、效益指标、满意度指标等四个一级指标共设置了74个二级指标、206个三级指标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部门整体绩效目标设置方面，省文旅厅结合部门职能职责、主责主业、工作实际等情况，组织17个厅二级预算单位参照省级专项和部门整体绩效指标设置编制绩效目标、细化量化绩效指标。经行业专家会审，绩效目标最终由省文旅厅预算绩效管理工作领导小组审定后报省财政厅。</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二是结合文旅工作特色，我们丰富了部分文旅指标。</w:t>
      </w:r>
      <w:r>
        <w:rPr>
          <w:rFonts w:hint="eastAsia" w:ascii="仿宋_GB2312" w:hAnsi="仿宋_GB2312" w:eastAsia="仿宋_GB2312" w:cs="仿宋_GB2312"/>
          <w:kern w:val="0"/>
          <w:sz w:val="32"/>
          <w:szCs w:val="32"/>
        </w:rPr>
        <w:t>如：</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经济成本方面。</w:t>
      </w:r>
      <w:r>
        <w:rPr>
          <w:rFonts w:hint="eastAsia" w:ascii="仿宋_GB2312" w:hAnsi="仿宋_GB2312" w:eastAsia="仿宋_GB2312" w:cs="仿宋_GB2312"/>
          <w:kern w:val="0"/>
          <w:sz w:val="32"/>
          <w:szCs w:val="32"/>
        </w:rPr>
        <w:t>根据《中共湖南省委 湖南省人民政府关于加快建设世界旅游目的地的意见》以及湘发[2022]16号文件两个文件，设定了“湖南省旅游发展大会相关配套经费”指标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根据真抓实干督查激励实施方案，设定了“真抓实干奖补市州”和“真抓实干奖补县市区”两个指标，有效控制了资金规模。</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生态环境成本方面</w:t>
      </w:r>
      <w:r>
        <w:rPr>
          <w:rFonts w:hint="eastAsia" w:ascii="仿宋_GB2312" w:hAnsi="仿宋_GB2312" w:eastAsia="仿宋_GB2312" w:cs="仿宋_GB2312"/>
          <w:kern w:val="0"/>
          <w:sz w:val="32"/>
          <w:szCs w:val="32"/>
        </w:rPr>
        <w:t>。根据《中共湖南省委 湖南省人民政府关于加快建设世界旅游目的地的意见》中“用地用林支持，对集中连片林草地开展生态修复的面积达到800亩以上的，生态保护修复主体可以依法依规利用不超过3%的修复面积从事生态旅游产业开发。”等规定，设定了“生态旅游产业开发面积”指标，进一步保护生态环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经济效益指标方面</w:t>
      </w:r>
      <w:r>
        <w:rPr>
          <w:rFonts w:hint="eastAsia" w:ascii="仿宋_GB2312" w:hAnsi="仿宋_GB2312" w:eastAsia="仿宋_GB2312" w:cs="仿宋_GB2312"/>
          <w:sz w:val="32"/>
          <w:szCs w:val="32"/>
        </w:rPr>
        <w:t>。根据《湖南省文化和旅游厅关于贯彻落实&lt;中共湖南省委 湖南省人民政府关于加快建设世界旅游目的地的意见&gt;三年行动计划（2023-2025年）》：“行动目标：2024年全省旅游总收入达到9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500亿元以上，接待游客6.3亿人次以上，均消费1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元以上，旅游增加值占地区生产总值的6.1%左右。”等要求，结合2023年度旅游市场情况和“十四五”全省目标，设定“2024年全省旅游收入增长率达到14%左右”、“接待游客人数增长率达到15%左右”、“规上文化和相关产业企业营收达到4000亿元左右”等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另外还</w:t>
      </w:r>
      <w:r>
        <w:rPr>
          <w:rFonts w:hint="eastAsia" w:ascii="仿宋_GB2312" w:hAnsi="仿宋_GB2312" w:eastAsia="仿宋_GB2312" w:cs="仿宋_GB2312"/>
          <w:kern w:val="0"/>
          <w:sz w:val="32"/>
          <w:szCs w:val="32"/>
        </w:rPr>
        <w:t>设定</w:t>
      </w:r>
      <w:r>
        <w:rPr>
          <w:rFonts w:hint="eastAsia" w:ascii="仿宋_GB2312" w:hAnsi="仿宋_GB2312" w:eastAsia="仿宋_GB2312" w:cs="仿宋_GB2312"/>
          <w:sz w:val="32"/>
          <w:szCs w:val="32"/>
        </w:rPr>
        <w:t>了“规上文化和相关产业企业营收”、等特色指标，促进全省旅游业发展。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满意度指标方面。</w:t>
      </w:r>
      <w:r>
        <w:rPr>
          <w:rFonts w:hint="eastAsia" w:ascii="仿宋_GB2312" w:hAnsi="仿宋_GB2312" w:eastAsia="仿宋_GB2312" w:cs="仿宋_GB2312"/>
          <w:sz w:val="32"/>
          <w:szCs w:val="32"/>
        </w:rPr>
        <w:t>根据《“游客满意度在湖南”行动计划实施方案》及往年情况，设定游客满意度和当地群众满意度为不低于90%。</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三是绩效目标与年度考核相结合。</w:t>
      </w:r>
      <w:r>
        <w:rPr>
          <w:rFonts w:hint="eastAsia" w:ascii="仿宋_GB2312" w:hAnsi="仿宋_GB2312" w:eastAsia="仿宋_GB2312" w:cs="仿宋_GB2312"/>
          <w:sz w:val="32"/>
          <w:szCs w:val="32"/>
          <w:shd w:val="clear" w:color="auto" w:fill="FFFFFF"/>
        </w:rPr>
        <w:t>结合年度工作考核工作计划，将部分绩效指标纳入工作考核指标。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kern w:val="0"/>
          <w:sz w:val="32"/>
          <w:szCs w:val="32"/>
        </w:rPr>
        <w:t>数量指标方面</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丰富了艺术创作、演艺惠民数量指标</w:t>
      </w:r>
      <w:r>
        <w:rPr>
          <w:rFonts w:hint="eastAsia" w:ascii="仿宋_GB2312" w:hAnsi="仿宋_GB2312" w:eastAsia="仿宋_GB2312" w:cs="仿宋_GB2312"/>
          <w:sz w:val="32"/>
          <w:szCs w:val="32"/>
        </w:rPr>
        <w:t>，如根据《湖南省艺术创作三年规划（2022-2024）》中主要任务及2024年“送戏下乡”演艺惠民工作方案，按照具体安排及要求，设定“活动场次不低于500场”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往年项目申报和实际完成情况，设定“演艺惠民活动次数”等场次指标。丰富了非遗保护方面的数量指标。如根据中共中央办公厅和国务院办公厅印发的《关于进一步加强非物质文化遗产保护工作的意见》我厅结合我省实际，设定“保护传承活</w:t>
      </w:r>
      <w:r>
        <w:rPr>
          <w:rFonts w:hint="eastAsia" w:ascii="仿宋_GB2312" w:hAnsi="仿宋_GB2312" w:eastAsia="仿宋_GB2312" w:cs="仿宋_GB2312"/>
          <w:sz w:val="32"/>
          <w:szCs w:val="32"/>
          <w:shd w:val="clear" w:color="auto" w:fill="FFFFFF"/>
        </w:rPr>
        <w:t>动”、“省级非物质文化遗产代表性传承人开展传承活动”、“省级非遗传承人补助”、“文化本源与旅游体验相融合的非遗民俗活动”等数量指标，促进非遗项目的实施。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多维度收集绩效数据，为评价提供依据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文旅绩效业务数据收集主要有三点：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相关政策文件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文旅相关的财务数据，</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文旅综合统计数据。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一是来源于</w:t>
      </w:r>
      <w:r>
        <w:rPr>
          <w:rFonts w:hint="eastAsia" w:ascii="仿宋_GB2312" w:hAnsi="仿宋_GB2312" w:eastAsia="仿宋_GB2312" w:cs="仿宋_GB2312"/>
          <w:sz w:val="32"/>
          <w:szCs w:val="32"/>
        </w:rPr>
        <w:t>相关政策文件，</w:t>
      </w:r>
      <w:r>
        <w:rPr>
          <w:rFonts w:hint="eastAsia" w:ascii="仿宋_GB2312" w:hAnsi="仿宋_GB2312" w:eastAsia="仿宋_GB2312" w:cs="仿宋_GB2312"/>
          <w:kern w:val="0"/>
          <w:sz w:val="32"/>
          <w:szCs w:val="32"/>
        </w:rPr>
        <w:t>如：</w:t>
      </w:r>
      <w:r>
        <w:rPr>
          <w:rFonts w:hint="eastAsia" w:ascii="仿宋_GB2312" w:hAnsi="仿宋_GB2312" w:eastAsia="仿宋_GB2312" w:cs="仿宋_GB2312"/>
          <w:sz w:val="32"/>
          <w:szCs w:val="32"/>
        </w:rPr>
        <w:t>《关于&lt;湖南省“十四五”文化和旅游发展规划&gt;和&lt;湖南省“十四五”旅游业发展规划&gt;实施情况中期评估的报告》“旅游总收入”目标值调整至1.2万亿元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将“接待游客人次”目标值调整至8亿人次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将“旅游及相关产业增加值占GDP比重”调整至6%。</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二是财务数据</w:t>
      </w:r>
      <w:r>
        <w:rPr>
          <w:rFonts w:hint="eastAsia" w:ascii="仿宋_GB2312" w:hAnsi="仿宋_GB2312" w:eastAsia="仿宋_GB2312" w:cs="仿宋_GB2312"/>
          <w:sz w:val="32"/>
          <w:szCs w:val="32"/>
        </w:rPr>
        <w:t>：宏观上主要源于文旅单位的预决算、相关会计凭证、专项资金指标文等；微观上主要源于财务总账、报表数据以及财务指标。总账数据填制的财务报表数据，财务报表主要包括:“资产负债表”、“损益表”以及“现金流量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财务指标，是企业总结和评价财务状况和经营成果的相对指标，包括偿债能力指标、营运能力指标、盈利能力指标等。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三是文旅综合统计数据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一方面</w:t>
      </w:r>
      <w:r>
        <w:rPr>
          <w:rFonts w:hint="eastAsia" w:ascii="仿宋_GB2312" w:hAnsi="仿宋_GB2312" w:eastAsia="仿宋_GB2312" w:cs="仿宋_GB2312"/>
          <w:sz w:val="32"/>
          <w:szCs w:val="32"/>
        </w:rPr>
        <w:t>来源于文旅综合年报、季报、月报。根据文旅部《全国文化文物和旅游统计调查制度》相关要求，由基层单位在网上填报全国文化文物和旅游网上直报系统、省文旅综合统计平台填报月报、季报、年报并逐级汇总，并分析形成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另一方面</w:t>
      </w:r>
      <w:r>
        <w:rPr>
          <w:rFonts w:hint="eastAsia" w:ascii="仿宋_GB2312" w:hAnsi="仿宋_GB2312" w:eastAsia="仿宋_GB2312" w:cs="仿宋_GB2312"/>
          <w:sz w:val="32"/>
          <w:szCs w:val="32"/>
        </w:rPr>
        <w:t>来源于大数据假日统计监测。我厅使用智慧旅游平台大数据作为假期文旅统计公布指标。大数据游客接待数据来自移动手机信令建模分析，假期旅游花费数据来自湖南智慧文旅平台的银联大数据接口，景区监测点数据来自监控摄像头直接捕捉，均为高精度、高时效的联网直报“一手数据”。</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
          <w:bCs w:val="0"/>
          <w:kern w:val="44"/>
          <w:sz w:val="32"/>
          <w:szCs w:val="32"/>
        </w:rPr>
      </w:pPr>
      <w:r>
        <w:rPr>
          <w:rFonts w:hint="eastAsia" w:ascii="仿宋_GB2312" w:hAnsi="仿宋_GB2312" w:eastAsia="仿宋_GB2312" w:cs="仿宋_GB2312"/>
          <w:b/>
          <w:bCs w:val="0"/>
          <w:kern w:val="44"/>
          <w:sz w:val="32"/>
          <w:szCs w:val="32"/>
          <w:lang w:val="en-US" w:eastAsia="zh-CN"/>
        </w:rPr>
        <w:t>3.</w:t>
      </w:r>
      <w:r>
        <w:rPr>
          <w:rFonts w:hint="eastAsia" w:ascii="仿宋_GB2312" w:hAnsi="仿宋_GB2312" w:eastAsia="仿宋_GB2312" w:cs="仿宋_GB2312"/>
          <w:b/>
          <w:bCs w:val="0"/>
          <w:kern w:val="44"/>
          <w:sz w:val="32"/>
          <w:szCs w:val="32"/>
        </w:rPr>
        <w:t>注重结果应用，绩效管理的效果不断凸显</w:t>
      </w:r>
    </w:p>
    <w:p>
      <w:pPr>
        <w:keepNext w:val="0"/>
        <w:keepLines w:val="0"/>
        <w:pageBreakBefore w:val="0"/>
        <w:widowControl w:val="0"/>
        <w:kinsoku/>
        <w:wordWrap/>
        <w:overflowPunct/>
        <w:topLinePunct w:val="0"/>
        <w:bidi w:val="0"/>
        <w:adjustRightInd w:val="0"/>
        <w:snapToGrid w:val="0"/>
        <w:spacing w:line="560" w:lineRule="exact"/>
        <w:ind w:firstLine="640" w:firstLineChars="200"/>
        <w:rPr>
          <w:sz w:val="32"/>
          <w:szCs w:val="32"/>
        </w:rPr>
      </w:pPr>
      <w:r>
        <w:rPr>
          <w:rFonts w:hint="eastAsia" w:ascii="仿宋_GB2312" w:hAnsi="仿宋_GB2312" w:eastAsia="仿宋_GB2312" w:cs="仿宋_GB2312"/>
          <w:kern w:val="0"/>
          <w:sz w:val="32"/>
          <w:szCs w:val="32"/>
        </w:rPr>
        <w:t>为把绩效管理要求贯穿到财政资金使用全过程、各方面，更好发挥绩效管理“指挥棒”和“风向标”作用，我厅开展绩效评价结果应用，形成“花钱必问效、无效必问责”的鲜明导向。</w:t>
      </w:r>
    </w:p>
    <w:p>
      <w:pPr>
        <w:keepNext w:val="0"/>
        <w:keepLines w:val="0"/>
        <w:pageBreakBefore w:val="0"/>
        <w:widowControl w:val="0"/>
        <w:kinsoku/>
        <w:wordWrap/>
        <w:overflowPunct/>
        <w:topLinePunct w:val="0"/>
        <w:bidi w:val="0"/>
        <w:adjustRightInd w:val="0"/>
        <w:snapToGrid w:val="0"/>
        <w:spacing w:line="560" w:lineRule="exact"/>
        <w:ind w:firstLine="616" w:firstLineChars="200"/>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spacing w:val="-6"/>
          <w:kern w:val="0"/>
          <w:sz w:val="32"/>
          <w:szCs w:val="32"/>
        </w:rPr>
        <w:t>（1）落实专项资金整改，评价结果与资金安排挂钩</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2023年我厅委托第三方机构对相关预算资金进行绩效评价，经商省财政厅后，形成了正式绩效评价报告。</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对于绩效评价中部分项目存在的问题，我们要求项目单位做好整改工作；</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对于存在较严重问题的项目，在要求落实整改的同时，配合省财政厅下达《湖南省财政厅关于收回相关省级专项资金额度的通知》湘财文指〔2023〕43号等，共收回违规资金259.13万元。</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下发通知，在绩效评价中，对绩效较差的市州减少项目申报名额，对绩效较好的单位适当增加项目申报名额。经查实的违规使用资金情况，要求收回项目资金。</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（2）落实整体支出评价整改，加快预算执行</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针对厅系统单位预算执行率低的情况，厅下发《关于预算执行问题改进的通知》《关于加快预算执行的通知》，督促相关单位办理支付上年结转项目资金，加快预算执行进度。</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在部门绩效评价中，对绩效较差的二级单位削减预算安排，对绩效较好的单位适当增加预算安排，强化绩效评价应用。</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（二）部门（单位）整体支出绩效情况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在省委、省政府的正确领导下，在厅党组的高度重视和坚强领导下，以学习贯彻习近平新时代中国特色社会主义思想主题教育为抓手，认真贯彻落实省委、省政府工作部署，紧紧围绕“打好发展六仗”、加快建设文化强省和世界旅游目的地，扎扎实实“学思想、强党性、重实践、建新功”，各个处室密切配合、服务大局，各项工作干在实处、下足实功，较好地完成了各项工作。主要工作成效如下：</w:t>
      </w:r>
    </w:p>
    <w:p>
      <w:pPr>
        <w:pStyle w:val="2"/>
        <w:keepNext w:val="0"/>
        <w:keepLines w:val="0"/>
        <w:pageBreakBefore w:val="0"/>
        <w:widowControl w:val="0"/>
        <w:kinsoku/>
        <w:wordWrap/>
        <w:overflowPunct/>
        <w:topLinePunct w:val="0"/>
        <w:autoSpaceDE/>
        <w:autoSpaceDN/>
        <w:bidi w:val="0"/>
        <w:snapToGrid w:val="0"/>
        <w:spacing w:line="560" w:lineRule="exact"/>
        <w:ind w:firstLine="643"/>
        <w:jc w:val="both"/>
        <w:textAlignment w:val="auto"/>
        <w:rPr>
          <w:rFonts w:hint="eastAsia" w:ascii="仿宋_GB2312" w:hAnsi="仿宋_GB2312" w:eastAsia="仿宋_GB2312" w:cs="仿宋_GB2312"/>
        </w:rPr>
      </w:pPr>
      <w:bookmarkStart w:id="3" w:name="_Toc10762"/>
      <w:r>
        <w:rPr>
          <w:rFonts w:hint="eastAsia" w:ascii="仿宋_GB2312" w:hAnsi="仿宋_GB2312" w:eastAsia="仿宋_GB2312" w:cs="仿宋_GB2312"/>
        </w:rPr>
        <w:t>1</w:t>
      </w:r>
      <w:r>
        <w:rPr>
          <w:rFonts w:hint="eastAsia" w:ascii="仿宋_GB2312" w:hAnsi="仿宋_GB2312" w:eastAsia="仿宋_GB2312" w:cs="仿宋_GB2312"/>
          <w:lang w:val="en-US" w:eastAsia="zh-CN"/>
        </w:rPr>
        <w:t>.</w:t>
      </w:r>
      <w:r>
        <w:rPr>
          <w:rFonts w:hint="eastAsia" w:ascii="仿宋_GB2312" w:hAnsi="仿宋_GB2312" w:eastAsia="仿宋_GB2312" w:cs="仿宋_GB2312"/>
        </w:rPr>
        <w:t>把准艺术工作方向，聚焦精品创作，提升湖湘文化影响力</w:t>
      </w:r>
      <w:bookmarkEnd w:id="3"/>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bookmarkStart w:id="4" w:name="_Toc12811"/>
      <w:bookmarkStart w:id="5" w:name="_Toc20655"/>
      <w:r>
        <w:rPr>
          <w:rFonts w:hint="eastAsia" w:ascii="仿宋_GB2312" w:hAnsi="仿宋_GB2312" w:eastAsia="仿宋_GB2312" w:cs="仿宋_GB2312"/>
          <w:b/>
          <w:bCs/>
          <w:sz w:val="32"/>
          <w:szCs w:val="32"/>
        </w:rPr>
        <w:t>（1）聚焦时代主题，艺术创作成果丰硕。</w:t>
      </w:r>
      <w:r>
        <w:rPr>
          <w:rFonts w:hint="eastAsia" w:ascii="仿宋_GB2312" w:hAnsi="仿宋_GB2312" w:eastAsia="仿宋_GB2312" w:cs="仿宋_GB2312"/>
          <w:sz w:val="32"/>
          <w:szCs w:val="32"/>
        </w:rPr>
        <w:t>紧紧围绕毛泽东同志诞辰130周年、乡村振兴、第八届湖南艺术节、湖湘红色文化等重大题材和重要时间节点抓好现实题材剧目创作，记录新时代、书写新时代、讴歌新时代，艺术创作成果丰硕。我厅多次组织剧本论证会和首演审看会，严把艺术质量和意识形态关。2023年修改、提升、新创30多台大型舞台精品剧目，创作40多个小型舞台作品。舞台剧《热血当歌》，花鼓戏《花猪司令》、《左相训女》、《敲门》、《春草闯堂》，歌剧《八百矿工上矿山》，巴陵戏《共饮一江水》，话剧《湘伢子雷锋》，音乐剧《九歌》、《倩之韵秋》等新创、修改、提升大型剧目完成审查演出。文旅融合舞台演艺产品《天宠湖南》、《德夯幻境》、《恰同学少年》、《圣山下的苗寨》、《彩云郴阳》、《柳叶船说》等先后投放市场。湘剧《山路弯弯》，花鼓戏《火宫殿》、《仰望星空》，京剧《皿方罍》，舞剧《王船山》，木偶剧《我要飞翔》等大型剧目正在创排中。湘剧《山路弯弯》被省委宣传部列入2023年全省重点文艺项目，花鼓戏《夫子正传》喜获第九届中国戏剧奖曹禺剧本奖（第25届剧本奖）。</w:t>
      </w:r>
    </w:p>
    <w:bookmarkEnd w:id="4"/>
    <w:bookmarkEnd w:id="5"/>
    <w:p>
      <w:pPr>
        <w:pStyle w:val="26"/>
        <w:keepNext w:val="0"/>
        <w:keepLines w:val="0"/>
        <w:pageBreakBefore w:val="0"/>
        <w:widowControl w:val="0"/>
        <w:kinsoku/>
        <w:wordWrap/>
        <w:overflowPunct/>
        <w:topLinePunct w:val="0"/>
        <w:autoSpaceDE/>
        <w:autoSpaceDN/>
        <w:bidi w:val="0"/>
        <w:snapToGrid w:val="0"/>
        <w:spacing w:line="560" w:lineRule="exact"/>
        <w:ind w:firstLine="643"/>
        <w:jc w:val="both"/>
        <w:textAlignment w:val="auto"/>
        <w:rPr>
          <w:rFonts w:hint="eastAsia" w:ascii="仿宋_GB2312" w:hAnsi="仿宋_GB2312" w:eastAsia="仿宋_GB2312" w:cs="仿宋_GB2312"/>
          <w:szCs w:val="32"/>
        </w:rPr>
      </w:pPr>
      <w:bookmarkStart w:id="6" w:name="_Toc4527"/>
      <w:r>
        <w:rPr>
          <w:rFonts w:hint="eastAsia" w:ascii="仿宋_GB2312" w:hAnsi="仿宋_GB2312" w:eastAsia="仿宋_GB2312" w:cs="仿宋_GB2312"/>
          <w:b/>
          <w:bCs w:val="0"/>
          <w:szCs w:val="32"/>
        </w:rPr>
        <w:t>（2）以推出精品力作为核心，创新讲好湖南故事。</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围绕“建国75周年”、习近平总书记在文艺工作座谈会上讲话10周年、乡村振兴等主题抓好现实题材剧目创作。</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引导文艺院团立足本土特色、发挥剧种优势，</w:t>
      </w:r>
      <w:r>
        <w:rPr>
          <w:rFonts w:hint="eastAsia" w:ascii="仿宋_GB2312" w:hAnsi="仿宋_GB2312" w:eastAsia="仿宋_GB2312" w:cs="仿宋_GB2312"/>
          <w:szCs w:val="32"/>
          <w:lang w:val="zh-CN"/>
        </w:rPr>
        <w:t>创作一批接地气、有温度、有影响的适合小剧场演出的小戏、小品和小节目。</w:t>
      </w:r>
      <w:r>
        <w:rPr>
          <w:rFonts w:hint="eastAsia" w:ascii="仿宋_GB2312" w:hAnsi="仿宋_GB2312" w:eastAsia="仿宋_GB2312" w:cs="仿宋_GB2312"/>
          <w:b/>
          <w:bCs/>
          <w:szCs w:val="32"/>
          <w:lang w:val="zh-CN"/>
        </w:rPr>
        <w:t>三是</w:t>
      </w:r>
      <w:r>
        <w:rPr>
          <w:rFonts w:hint="eastAsia" w:ascii="仿宋_GB2312" w:hAnsi="仿宋_GB2312" w:eastAsia="仿宋_GB2312" w:cs="仿宋_GB2312"/>
          <w:szCs w:val="32"/>
        </w:rPr>
        <w:t>支持国有文艺院团进景区驻场演出，</w:t>
      </w:r>
      <w:r>
        <w:rPr>
          <w:rFonts w:hint="eastAsia" w:ascii="仿宋_GB2312" w:hAnsi="仿宋_GB2312" w:eastAsia="仿宋_GB2312" w:cs="仿宋_GB2312"/>
          <w:szCs w:val="32"/>
          <w:lang w:val="zh-CN"/>
        </w:rPr>
        <w:t>探索艺术与旅游深入融合路径，针对旅游景点打造演艺精品</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四是</w:t>
      </w:r>
      <w:r>
        <w:rPr>
          <w:rFonts w:hint="eastAsia" w:ascii="仿宋_GB2312" w:hAnsi="仿宋_GB2312" w:eastAsia="仿宋_GB2312" w:cs="仿宋_GB2312"/>
          <w:szCs w:val="32"/>
        </w:rPr>
        <w:t>实施美术精品创作工程，以本省红色文化、生态文化为重点，开展美术创作、举办主题展览。五是加强文艺评论和文艺研究工作，将</w:t>
      </w:r>
      <w:r>
        <w:rPr>
          <w:rFonts w:hint="eastAsia" w:ascii="仿宋_GB2312" w:hAnsi="仿宋_GB2312" w:eastAsia="仿宋_GB2312" w:cs="仿宋_GB2312"/>
          <w:bCs/>
          <w:szCs w:val="32"/>
        </w:rPr>
        <w:t>文艺评论贯穿到优秀文艺作品创作生产的全过程。做好《湖南花鼓戏唱腔与中国民族声乐交流互鉴与创新发展研究》课题的持续升华和成果转化等工作。</w:t>
      </w:r>
      <w:bookmarkEnd w:id="6"/>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sz w:val="32"/>
          <w:szCs w:val="32"/>
        </w:rPr>
        <w:t>以办好重大活动为关键，提升湖湘文化影响力。一是拟报请文化和</w:t>
      </w:r>
      <w:r>
        <w:rPr>
          <w:rFonts w:hint="eastAsia" w:ascii="仿宋_GB2312" w:hAnsi="仿宋_GB2312" w:eastAsia="仿宋_GB2312" w:cs="仿宋_GB2312"/>
          <w:kern w:val="0"/>
          <w:sz w:val="32"/>
          <w:szCs w:val="32"/>
        </w:rPr>
        <w:t>旅游部、省人民政府共同主办2024全国优秀新创小戏剧展演，组织全国100个左右优秀小戏剧来湘集中展演。二是积极向文旅部艺术司汇报沟通，筹办首届全国优秀目连戏展暨学术研讨会，促进目连戏传播交流、保护传承与发展。三是在以往办节传统基础上，创新举办第八届湖南艺术节，进一步扩大节会规模、创新活动内容、丰富活动形式，力争打造一届成功的高质量的艺术节。</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sz w:val="32"/>
          <w:szCs w:val="32"/>
        </w:rPr>
        <w:t>以强化民生工程为保障，扩大文化惠民覆盖面。开展演艺惠民活动，</w:t>
      </w:r>
      <w:r>
        <w:rPr>
          <w:rFonts w:hint="eastAsia" w:ascii="仿宋_GB2312" w:hAnsi="仿宋_GB2312" w:eastAsia="仿宋_GB2312" w:cs="仿宋_GB2312"/>
          <w:kern w:val="0"/>
          <w:sz w:val="32"/>
          <w:szCs w:val="32"/>
        </w:rPr>
        <w:t>持续实施“湖南公共文化进村入户·戏曲进乡村”文化惠民项目，全省各县市区组织各类戏曲艺术表演团体深入全省3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819个乡镇（村）开展惠民活动13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000余场。实施戏曲公益性演出（濒危剧种免费或低票价演出）项目，在中央财政资金转移支付投入的基础上，省级配套部分资金，推动濒危剧种保护扶持。圆满完成全国性重大群众文艺活动。完成了“启航新征程幸福中国年”、“青云之上马路溪”全国“村晚”示范展示活动，全年组织四季“村晚”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757场，参与2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725.22万人次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完成了“大地情深”全国优秀群众文艺作品区域示范性巡演（湖南）活动，获评“大地情深”全国优秀群众文艺作品巡演活动优秀组织单位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承办了2023年全国广场舞展演——湖南郴州片区（湖南、福建、江西、广东、海南、广西）广场舞大会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完成了《和美乡村推荐官》全国交流展示首站活动。</w:t>
      </w:r>
    </w:p>
    <w:p>
      <w:pPr>
        <w:pStyle w:val="11"/>
        <w:keepNext w:val="0"/>
        <w:keepLines w:val="0"/>
        <w:pageBreakBefore w:val="0"/>
        <w:widowControl w:val="0"/>
        <w:kinsoku/>
        <w:wordWrap/>
        <w:overflowPunct/>
        <w:topLinePunct w:val="0"/>
        <w:autoSpaceDE/>
        <w:autoSpaceDN/>
        <w:bidi w:val="0"/>
        <w:snapToGrid w:val="0"/>
        <w:spacing w:after="0" w:line="560" w:lineRule="exact"/>
        <w:ind w:left="0" w:leftChars="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（5）创新开展多个特色群众性文化品牌活动。</w:t>
      </w:r>
      <w:r>
        <w:rPr>
          <w:rFonts w:hint="eastAsia" w:ascii="仿宋_GB2312" w:hAnsi="仿宋_GB2312" w:eastAsia="仿宋_GB2312" w:cs="仿宋_GB2312"/>
          <w:sz w:val="32"/>
          <w:szCs w:val="32"/>
        </w:rPr>
        <w:t>组织开展了2023年“欢乐潇湘”群众文艺巡展演活动。在全省组织实施了“四季村晚”，活动创新结合了“四季”乡村旅游节，引导各地以“村晚”为平台，助推文旅融合，展现乡村风采，提升群众幸福感。持续实施“湖南公共文化进村入户·戏曲进乡村”文化惠民项目。组织实施“到群众最需要的地方去”学雷锋月活动及5场省级示范活动、暑期大学生下乡志愿服务活动。圆满完成6地32场文旅部、国家民委“春雨工程”文化惠民、文化传承等交流活动。全省全年开展群众文化活动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622场，参与人次63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918.94 万。</w:t>
      </w:r>
    </w:p>
    <w:p>
      <w:pPr>
        <w:pStyle w:val="11"/>
        <w:keepNext w:val="0"/>
        <w:keepLines w:val="0"/>
        <w:pageBreakBefore w:val="0"/>
        <w:widowControl w:val="0"/>
        <w:kinsoku/>
        <w:wordWrap/>
        <w:overflowPunct/>
        <w:topLinePunct w:val="0"/>
        <w:autoSpaceDE/>
        <w:autoSpaceDN/>
        <w:bidi w:val="0"/>
        <w:snapToGrid w:val="0"/>
        <w:spacing w:after="0" w:line="560" w:lineRule="exact"/>
        <w:ind w:left="0" w:leftChars="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（6）聚焦关键领域、突出重要节点，确保文化市场规范有序。</w:t>
      </w:r>
      <w:r>
        <w:rPr>
          <w:rFonts w:hint="eastAsia" w:ascii="仿宋_GB2312" w:hAnsi="仿宋_GB2312" w:eastAsia="仿宋_GB2312" w:cs="仿宋_GB2312"/>
          <w:sz w:val="32"/>
          <w:szCs w:val="32"/>
        </w:rPr>
        <w:t>按照厅党组年度工作决策部署，坚持围绕中心、服务大局，坚持依法监督、依法执法，扎实推动年度工作落实。2023年度全省各级文化市场综合执法队伍共出动检查752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766次、检查经营单位260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575家次、责令改正1196家，责令停业整顿51家、吊销许可证4家、取缔2家，坚定维护了意识形态安全和文化安全，确保了文化市场平稳有序。</w:t>
      </w:r>
    </w:p>
    <w:p>
      <w:pPr>
        <w:pStyle w:val="2"/>
        <w:keepNext w:val="0"/>
        <w:keepLines w:val="0"/>
        <w:pageBreakBefore w:val="0"/>
        <w:widowControl w:val="0"/>
        <w:kinsoku/>
        <w:wordWrap/>
        <w:overflowPunct/>
        <w:topLinePunct w:val="0"/>
        <w:autoSpaceDE/>
        <w:autoSpaceDN/>
        <w:bidi w:val="0"/>
        <w:snapToGrid w:val="0"/>
        <w:spacing w:line="560" w:lineRule="exact"/>
        <w:ind w:firstLine="643"/>
        <w:textAlignment w:val="auto"/>
        <w:rPr>
          <w:rFonts w:hint="eastAsia" w:ascii="仿宋_GB2312" w:hAnsi="仿宋_GB2312" w:eastAsia="仿宋_GB2312" w:cs="仿宋_GB2312"/>
          <w:sz w:val="32"/>
          <w:szCs w:val="32"/>
        </w:rPr>
      </w:pPr>
      <w:bookmarkStart w:id="7" w:name="_Toc11053"/>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强化政策引领和项目推动，激发消费活力，文旅市场供需两旺</w:t>
      </w:r>
      <w:bookmarkEnd w:id="7"/>
    </w:p>
    <w:p>
      <w:pPr>
        <w:pStyle w:val="2"/>
        <w:keepNext w:val="0"/>
        <w:keepLines w:val="0"/>
        <w:pageBreakBefore w:val="0"/>
        <w:widowControl w:val="0"/>
        <w:kinsoku/>
        <w:wordWrap/>
        <w:overflowPunct/>
        <w:topLinePunct w:val="0"/>
        <w:autoSpaceDE/>
        <w:autoSpaceDN/>
        <w:bidi w:val="0"/>
        <w:snapToGrid w:val="0"/>
        <w:spacing w:line="560" w:lineRule="exact"/>
        <w:ind w:firstLine="643"/>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（1）强化政策引领，促进文旅市场复苏。</w:t>
      </w:r>
      <w:r>
        <w:rPr>
          <w:rFonts w:hint="eastAsia" w:ascii="仿宋_GB2312" w:hAnsi="仿宋_GB2312" w:eastAsia="仿宋_GB2312" w:cs="仿宋_GB2312"/>
          <w:b w:val="0"/>
          <w:bCs w:val="0"/>
          <w:color w:val="auto"/>
          <w:sz w:val="32"/>
          <w:szCs w:val="32"/>
          <w:shd w:val="clear" w:color="auto" w:fill="auto"/>
        </w:rPr>
        <w:t>年初制定了《打好全省文旅经济增长主动仗工作方案》，多方联动促进消费、系统施策扩大投资、整合资源丰富供给等八个方面统筹全省全年全行业重点工作，围绕目标、找准路径、明确措施、夯实责任、科学推进。我厅出台了《湖南促进文旅业复苏发展若干措施，重点从财政金融助力文旅投融资、多措并举激发新消费、丰富供给保障多样需求等五个方面，精准引导和支持全行业复苏发展。同时，通过出台“引客入湘”奖补政策、文明执法强化市场基础、加强人才培育提升市场服务等举措，进一步优化文旅市场发展空间和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（2）坚持项目推动，文旅投资整体向好。</w:t>
      </w:r>
      <w:r>
        <w:rPr>
          <w:rFonts w:hint="eastAsia" w:ascii="仿宋_GB2312" w:hAnsi="仿宋_GB2312" w:eastAsia="仿宋_GB2312" w:cs="仿宋_GB2312"/>
          <w:sz w:val="32"/>
          <w:szCs w:val="32"/>
        </w:rPr>
        <w:t>全省各地通过举办旅发大会推进重大文旅项目498个，郴州市文化艺术中心、711时光小镇等大批项目“变废为宝”“重获新生”。编印《第二届湖南旅游发展大会重点文旅项目招商手册》，</w:t>
      </w:r>
      <w:r>
        <w:rPr>
          <w:rFonts w:hint="eastAsia" w:ascii="仿宋_GB2312" w:hAnsi="仿宋_GB2312" w:eastAsia="仿宋_GB2312" w:cs="仿宋_GB2312"/>
          <w:sz w:val="32"/>
          <w:szCs w:val="32"/>
          <w:shd w:val="clear" w:color="auto" w:fill="FFFFFF"/>
        </w:rPr>
        <w:t>推出了湖南省重点文旅招商项目340个。</w:t>
      </w:r>
      <w:r>
        <w:rPr>
          <w:rFonts w:hint="eastAsia" w:ascii="仿宋_GB2312" w:hAnsi="仿宋_GB2312" w:eastAsia="仿宋_GB2312" w:cs="仿宋_GB2312"/>
          <w:sz w:val="32"/>
          <w:szCs w:val="32"/>
        </w:rPr>
        <w:t>重点聚焦粤港澳、长三角等地，组织招商小分队开展叩门招商活动；在上海等地开展系列招商活动，共完成省级签约项目50个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旅发大会办会机制，张家界市在英国伦敦举办了文化旅游推介会、怀化市赴马拉维举办中国（怀化）—马拉维投资经贸推介会，成功引进签约项目154个、拟签约项目94个。成功主办2023年湖南红色旅游文化节和2023中国红色旅游博览会，在上海成功举办“2023湘沪红色旅游合作交流暨推进韶山全国红色旅游融合试点工作推介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（3）激发消费活力，文旅市场强势回暖。</w:t>
      </w:r>
      <w:r>
        <w:rPr>
          <w:rFonts w:hint="eastAsia" w:ascii="仿宋_GB2312" w:hAnsi="仿宋_GB2312" w:eastAsia="仿宋_GB2312" w:cs="仿宋_GB2312"/>
          <w:sz w:val="32"/>
          <w:szCs w:val="32"/>
        </w:rPr>
        <w:t>2023年湖南文化旅游产业博览会，以“新科技、新文旅、新消费”为主题，展览面积6万多平米，布局省内特色旅游目的地形象展区等六大特色展区，共有8省市区1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000余家优质文旅企业参展，300余家专业采购商现场咨询订购，合同意向合作1.5亿元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现场观展人次逾5万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创下旅博会十三届以来成交单位、单日零售总额、合同订购单数、总成交额等多项最高纪录。2023年度，全省文旅业持续火爆，共接待游客6.58亿人次，实现旅游总收入9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565.18亿元，分别同比增长51.28%、47.43%。中秋、国庆假期全省文旅行业“热力迸发”，共接待游客3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068.2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人次，较2022年同期增长82.87%。各夜间消费聚集区发展势头良好，湖南“夜经济”热度持续攀升。美团发布的数据显示，夜间玩乐消费TOP5城市，长沙位列全国第三，五一广场商圈跻身全国夜间消费最火的五大商圈之一。茶颜悦色、文和友等80余个全国知名文旅新消费品牌在长沙强势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（4）助推产业升级，数字文化产业加速发展。</w:t>
      </w:r>
      <w:r>
        <w:rPr>
          <w:rFonts w:hint="eastAsia" w:ascii="仿宋_GB2312" w:hAnsi="仿宋_GB2312" w:eastAsia="仿宋_GB2312" w:cs="仿宋_GB2312"/>
          <w:sz w:val="32"/>
          <w:szCs w:val="32"/>
        </w:rPr>
        <w:t>充分利用政策、资金，加大对文化产业示范园区和基地的支持力度，现有动漫及相关经营机构3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381个，网络游戏企业5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072家，相关从业人员约8.4万人，共有29家企业获得国家动漫企业认定，194家网络游戏企业完成国家实名认证系统接入，其中规模超过亿元的企业12家。浏阳开展数字烟花技术设计，打造数字烟花，推进烟花产业链，实现全要素数字化转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（5）以“游客满意”为发力点，服务质量实现新提升。</w:t>
      </w:r>
      <w:r>
        <w:rPr>
          <w:rFonts w:hint="eastAsia" w:ascii="仿宋_GB2312" w:hAnsi="仿宋_GB2312" w:eastAsia="仿宋_GB2312" w:cs="仿宋_GB2312"/>
          <w:sz w:val="32"/>
          <w:szCs w:val="32"/>
        </w:rPr>
        <w:t>举行“游客满意在湖南·我们在行动”启动式，统筹抓好四项工程。修改起草《关于推动湖南高品质旅游住宿业发展的若干意见》。健全真抓实干激励考核和质量考核（信用）评价体系。2023年度新创2家五星级旅游饭店，7家四星级旅游饭店，评定性复核8家五星级旅游饭店、4家四星级旅游饭店，创建5家金树叶级绿色旅游饭店。指导饭店、民宿、旅行社、自驾游等行业协会和企业主体开展系列主题活动，推动服务质量大提升大跨越。指导湘西凤凰古城景区开展5A景区现场验收迎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张家界大峡谷、紫鹊界梯田和洪江古商城的5A景区创建提升规划评审会。全省共复核A级旅游景区463家，复核率为78%。对39家复核不达标的等级旅游景区分别做出了处理，其中取消等级5家，严重警告4家，警告5家，通报批评25家。</w:t>
      </w:r>
    </w:p>
    <w:p>
      <w:pPr>
        <w:pStyle w:val="2"/>
        <w:keepNext w:val="0"/>
        <w:keepLines w:val="0"/>
        <w:pageBreakBefore w:val="0"/>
        <w:widowControl w:val="0"/>
        <w:kinsoku/>
        <w:wordWrap/>
        <w:overflowPunct/>
        <w:topLinePunct w:val="0"/>
        <w:autoSpaceDE/>
        <w:autoSpaceDN/>
        <w:bidi w:val="0"/>
        <w:snapToGrid w:val="0"/>
        <w:spacing w:line="560" w:lineRule="exact"/>
        <w:ind w:firstLine="643"/>
        <w:textAlignment w:val="auto"/>
        <w:rPr>
          <w:rFonts w:hint="eastAsia" w:ascii="仿宋_GB2312" w:hAnsi="仿宋_GB2312" w:eastAsia="仿宋_GB2312" w:cs="仿宋_GB2312"/>
          <w:sz w:val="32"/>
          <w:szCs w:val="32"/>
        </w:rPr>
      </w:pPr>
      <w:bookmarkStart w:id="8" w:name="_Toc4707"/>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聚焦保护传承，服务经济社会发展</w:t>
      </w:r>
      <w:bookmarkEnd w:id="8"/>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（1）聚焦保护传承，着力固本强基。</w:t>
      </w:r>
      <w:r>
        <w:rPr>
          <w:rFonts w:hint="eastAsia" w:ascii="仿宋_GB2312" w:hAnsi="仿宋_GB2312" w:eastAsia="仿宋_GB2312" w:cs="仿宋_GB2312"/>
          <w:sz w:val="32"/>
          <w:szCs w:val="32"/>
        </w:rPr>
        <w:t>重点支持鼓励“湘”字号非遗项目保护单位或老字号企业等积极申报国家级、省级非遗代表性传承项目和代表性传承人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黑茶（茯砖茶）制作技艺、黑茶（千两茶）制作技艺、黄茶（君山银针茶）制作技艺国家级代表性项目传承人及项目保护单位代表前往福州参加文化和旅游部非遗司主办的“茶和天下·共享非遗”主场活动。完成2022年度国家级代表性传承人的评估工作，19名传承人获评优秀并对外公示。组织参加文化和旅游部非遗司在昆明举办的中国非物质文化遗产传承人研修培训计划现场交流活动，我省完成的7期研培班全部通过考核。</w:t>
      </w:r>
    </w:p>
    <w:p>
      <w:pPr>
        <w:pStyle w:val="3"/>
        <w:keepNext w:val="0"/>
        <w:keepLines w:val="0"/>
        <w:pageBreakBefore w:val="0"/>
        <w:widowControl w:val="0"/>
        <w:kinsoku/>
        <w:wordWrap/>
        <w:overflowPunct/>
        <w:topLinePunct w:val="0"/>
        <w:autoSpaceDE/>
        <w:autoSpaceDN/>
        <w:bidi w:val="0"/>
        <w:snapToGrid w:val="0"/>
        <w:spacing w:line="560" w:lineRule="exact"/>
        <w:ind w:lef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（2）深化文旅融合，服务发展大局。</w:t>
      </w:r>
      <w:r>
        <w:rPr>
          <w:rFonts w:hint="eastAsia" w:ascii="仿宋_GB2312" w:hAnsi="仿宋_GB2312" w:eastAsia="仿宋_GB2312" w:cs="仿宋_GB2312"/>
          <w:sz w:val="32"/>
          <w:szCs w:val="32"/>
        </w:rPr>
        <w:t>圆满完成湖南省第二届“非物质文化遗产博览会”，五结合六特色”，共组织全国各地共有约150余个非遗项目、近1000名非遗传承人及演职人员参展参演，规模再创新高。</w:t>
      </w:r>
    </w:p>
    <w:p>
      <w:pPr>
        <w:pStyle w:val="3"/>
        <w:keepNext w:val="0"/>
        <w:keepLines w:val="0"/>
        <w:pageBreakBefore w:val="0"/>
        <w:widowControl w:val="0"/>
        <w:kinsoku/>
        <w:wordWrap/>
        <w:overflowPunct/>
        <w:topLinePunct w:val="0"/>
        <w:autoSpaceDE/>
        <w:autoSpaceDN/>
        <w:bidi w:val="0"/>
        <w:snapToGrid w:val="0"/>
        <w:spacing w:line="560" w:lineRule="exact"/>
        <w:ind w:lef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（3）加强推广传播，推动人民共享。</w:t>
      </w:r>
      <w:r>
        <w:rPr>
          <w:rFonts w:hint="eastAsia" w:ascii="仿宋_GB2312" w:hAnsi="仿宋_GB2312" w:eastAsia="仿宋_GB2312" w:cs="仿宋_GB2312"/>
          <w:sz w:val="32"/>
          <w:szCs w:val="32"/>
        </w:rPr>
        <w:t>协助文化和旅游部和中央广播电视总台推出的大型文化节目《非遗里的中国（湖南篇）》在湖南郴州录制，共组织25个非遗项目参演，节目于6月24日端午期间在央视综合频道（CCTV-1）黄金档播出，向世人全面展现了湖湘非遗的独特魅力和精湛技艺。举办2023年湖南省“文化进万家——视频直播家乡年”暨“春暖大匠院·欢乐非遗年”湖南非遗新春集市上，长沙弹词、打铁水、炭花舞、地花鼓、皮影戏、木偶戏等130余项好看、好玩、好吃的非遗项目精彩纷呈，奉上一场盛大的非遗新春礼。湖南省“文化和自然遗产日”非遗宣传展示主场活动暨第四届湖南非遗购物节成功举办，全省非遗购物节中非遗工坊、老字号企业覆盖量达389家，创经济效益近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300万元。</w:t>
      </w:r>
    </w:p>
    <w:p>
      <w:pPr>
        <w:pStyle w:val="2"/>
        <w:keepNext w:val="0"/>
        <w:keepLines w:val="0"/>
        <w:pageBreakBefore w:val="0"/>
        <w:widowControl w:val="0"/>
        <w:kinsoku/>
        <w:wordWrap/>
        <w:overflowPunct/>
        <w:topLinePunct w:val="0"/>
        <w:bidi w:val="0"/>
        <w:snapToGrid w:val="0"/>
        <w:spacing w:line="560" w:lineRule="exact"/>
        <w:ind w:firstLine="643"/>
        <w:jc w:val="both"/>
        <w:textAlignment w:val="auto"/>
        <w:rPr>
          <w:rFonts w:hint="eastAsia" w:ascii="仿宋_GB2312" w:hAnsi="仿宋_GB2312" w:eastAsia="仿宋_GB2312" w:cs="仿宋_GB2312"/>
        </w:rPr>
      </w:pPr>
      <w:bookmarkStart w:id="9" w:name="_Toc17424"/>
      <w:r>
        <w:rPr>
          <w:rFonts w:hint="eastAsia" w:ascii="仿宋_GB2312" w:hAnsi="仿宋_GB2312" w:eastAsia="仿宋_GB2312" w:cs="仿宋_GB2312"/>
        </w:rPr>
        <w:t>4</w:t>
      </w:r>
      <w:r>
        <w:rPr>
          <w:rFonts w:hint="eastAsia" w:ascii="仿宋_GB2312" w:hAnsi="仿宋_GB2312" w:eastAsia="仿宋_GB2312" w:cs="仿宋_GB2312"/>
          <w:lang w:val="en-US" w:eastAsia="zh-CN"/>
        </w:rPr>
        <w:t>.</w:t>
      </w:r>
      <w:r>
        <w:rPr>
          <w:rFonts w:hint="eastAsia" w:ascii="仿宋_GB2312" w:hAnsi="仿宋_GB2312" w:eastAsia="仿宋_GB2312" w:cs="仿宋_GB2312"/>
        </w:rPr>
        <w:t>推动融合发展，新型业态不断涌现</w:t>
      </w:r>
      <w:bookmarkEnd w:id="9"/>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（1）着力打造融合业态。</w:t>
      </w:r>
      <w:r>
        <w:rPr>
          <w:rFonts w:hint="eastAsia" w:ascii="仿宋_GB2312" w:hAnsi="仿宋_GB2312" w:eastAsia="仿宋_GB2312" w:cs="仿宋_GB2312"/>
          <w:sz w:val="32"/>
          <w:szCs w:val="32"/>
        </w:rPr>
        <w:t>推进文旅与工业、农业、教育、体育、康养等产业深度融合，抓好抓实国家文化产业和旅游产业融合发展示范区创建，推动文化产业赋能乡村振兴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19部门出台《关于进一步推动文化和旅游赋能乡村振兴的若干措施》，推动文化产业人才、资金、项目、消费下乡，促进创意、设计、音乐、美术、动漫、科技等融入乡村经济社会发展，积极组织开展了国家文化产业赋能乡村振兴试点工作，岳阳市平江县等3地入选国家文化产业赋能乡村振兴试点单位。加强特色文旅小镇规范管理，发布综合评价排名，推先督后，23家省级特色文旅小镇上半年总产值同比增长119%。</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（2）大力培育湖南文旅新业态。</w:t>
      </w:r>
      <w:r>
        <w:rPr>
          <w:rFonts w:hint="eastAsia" w:ascii="仿宋_GB2312" w:hAnsi="仿宋_GB2312" w:eastAsia="仿宋_GB2312" w:cs="仿宋_GB2312"/>
          <w:sz w:val="32"/>
          <w:szCs w:val="32"/>
        </w:rPr>
        <w:t>加快起草《湖南文旅新业态培育发展三年行动计划》（2023-2025）（简称《计划》）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引导文旅业与优秀文化、森林康养、体育运动、高新技术制造、数字创意等特色资源、产业融合发展，培育引导国风潮玩、森林康养、低空飞行、数字创意、冰雪旅游、沉浸体验等12类文旅新业态项目400家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评定新业态示范基地项目200家左右，评定首批新业态示范基地68家，支持融合创新项目26个，推出方特东方神画等首批20个湖南文旅沉浸式体验新空间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张家界的实景剧《遇见大庸》获评文旅部首批文旅新业态示范案例。</w:t>
      </w:r>
    </w:p>
    <w:p>
      <w:pPr>
        <w:pStyle w:val="20"/>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rPr>
        <w:t>（3）强化金融支持文旅消费创新发展。</w:t>
      </w:r>
      <w:r>
        <w:rPr>
          <w:rFonts w:hint="eastAsia" w:ascii="仿宋_GB2312" w:hAnsi="仿宋_GB2312" w:eastAsia="仿宋_GB2312" w:cs="仿宋_GB2312"/>
          <w:color w:val="auto"/>
          <w:sz w:val="32"/>
          <w:szCs w:val="32"/>
        </w:rPr>
        <w:t>2023湖南文旅产业投融资大会发布了长沙县乐运魔方等200个湖南文旅消费“新生代·新场景”名单，并遴选20个“新生代·新场景”进行现场授牌。省文旅厅、长沙银行、北京银行长沙分行联合出台了《金融支持文旅消费“新生代·新场景”创新发展》文件</w:t>
      </w:r>
      <w:r>
        <w:rPr>
          <w:rFonts w:hint="eastAsia" w:ascii="仿宋_GB2312" w:hAnsi="仿宋_GB2312" w:eastAsia="仿宋_GB2312" w:cs="仿宋_GB2312"/>
          <w:color w:val="auto"/>
          <w:sz w:val="32"/>
          <w:szCs w:val="32"/>
          <w:lang w:eastAsia="zh-CN"/>
        </w:rPr>
        <w:t>。</w:t>
      </w:r>
      <w:bookmarkStart w:id="14" w:name="_GoBack"/>
      <w:bookmarkEnd w:id="14"/>
      <w:r>
        <w:rPr>
          <w:rFonts w:hint="eastAsia" w:ascii="仿宋_GB2312" w:hAnsi="仿宋_GB2312" w:eastAsia="仿宋_GB2312" w:cs="仿宋_GB2312"/>
          <w:color w:val="auto"/>
          <w:sz w:val="32"/>
          <w:szCs w:val="32"/>
        </w:rPr>
        <w:t>两家银行将针对名单内相关企业推出系列金融产品，并在未来三年内新发放贷款各不低于100亿元，支持湖南文旅消费新场景创新发展</w:t>
      </w:r>
      <w:r>
        <w:rPr>
          <w:rFonts w:hint="eastAsia" w:ascii="仿宋_GB2312" w:hAnsi="仿宋_GB2312" w:eastAsia="仿宋_GB2312" w:cs="仿宋_GB2312"/>
          <w:color w:val="auto"/>
          <w:sz w:val="32"/>
          <w:szCs w:val="32"/>
          <w:shd w:val="clear" w:color="auto" w:fill="FFFFFF"/>
        </w:rPr>
        <w:t>。</w:t>
      </w:r>
    </w:p>
    <w:p>
      <w:pPr>
        <w:pStyle w:val="20"/>
        <w:keepNext w:val="0"/>
        <w:keepLines w:val="0"/>
        <w:pageBreakBefore w:val="0"/>
        <w:widowControl w:val="0"/>
        <w:kinsoku/>
        <w:wordWrap/>
        <w:overflowPunct/>
        <w:topLinePunct w:val="0"/>
        <w:bidi w:val="0"/>
        <w:snapToGrid w:val="0"/>
        <w:spacing w:line="56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（三）存在的问题及原因分析</w:t>
      </w:r>
    </w:p>
    <w:p>
      <w:pPr>
        <w:pStyle w:val="2"/>
        <w:keepNext w:val="0"/>
        <w:keepLines w:val="0"/>
        <w:pageBreakBefore w:val="0"/>
        <w:widowControl w:val="0"/>
        <w:kinsoku/>
        <w:wordWrap/>
        <w:overflowPunct/>
        <w:topLinePunct w:val="0"/>
        <w:bidi w:val="0"/>
        <w:snapToGrid w:val="0"/>
        <w:spacing w:line="560" w:lineRule="exact"/>
        <w:ind w:firstLine="640"/>
        <w:rPr>
          <w:rFonts w:ascii="仿宋_GB2312" w:eastAsia="仿宋_GB2312" w:cs="仿宋_GB2312" w:hAnsiTheme="minorHAnsi"/>
          <w:b w:val="0"/>
          <w:bCs w:val="0"/>
          <w:kern w:val="0"/>
        </w:rPr>
      </w:pPr>
      <w:bookmarkStart w:id="10" w:name="_Toc26696"/>
      <w:r>
        <w:rPr>
          <w:rFonts w:hint="eastAsia" w:ascii="仿宋_GB2312" w:eastAsia="仿宋_GB2312" w:cs="仿宋_GB2312" w:hAnsiTheme="minorHAnsi"/>
          <w:b w:val="0"/>
          <w:bCs w:val="0"/>
          <w:kern w:val="0"/>
        </w:rPr>
        <w:t>1</w:t>
      </w:r>
      <w:r>
        <w:rPr>
          <w:rFonts w:hint="eastAsia" w:ascii="仿宋_GB2312" w:eastAsia="仿宋_GB2312" w:cs="仿宋_GB2312" w:hAnsiTheme="minorHAnsi"/>
          <w:b w:val="0"/>
          <w:bCs w:val="0"/>
          <w:kern w:val="0"/>
          <w:lang w:val="en-US" w:eastAsia="zh-CN"/>
        </w:rPr>
        <w:t>.</w:t>
      </w:r>
      <w:r>
        <w:rPr>
          <w:rFonts w:hint="eastAsia" w:ascii="仿宋_GB2312" w:eastAsia="仿宋_GB2312" w:cs="仿宋_GB2312" w:hAnsiTheme="minorHAnsi"/>
          <w:b w:val="0"/>
          <w:bCs w:val="0"/>
          <w:kern w:val="0"/>
        </w:rPr>
        <w:t>绩效目标设置不科学，</w:t>
      </w:r>
      <w:r>
        <w:rPr>
          <w:rFonts w:ascii="仿宋_GB2312" w:eastAsia="仿宋_GB2312" w:cs="仿宋_GB2312" w:hAnsiTheme="minorHAnsi"/>
          <w:b w:val="0"/>
          <w:bCs w:val="0"/>
          <w:kern w:val="0"/>
        </w:rPr>
        <w:t>绩效管理</w:t>
      </w:r>
      <w:r>
        <w:rPr>
          <w:rFonts w:hint="eastAsia" w:ascii="仿宋_GB2312" w:eastAsia="仿宋_GB2312" w:cs="仿宋_GB2312" w:hAnsiTheme="minorHAnsi"/>
          <w:b w:val="0"/>
          <w:bCs w:val="0"/>
          <w:kern w:val="0"/>
        </w:rPr>
        <w:t>意识不强</w:t>
      </w:r>
      <w:bookmarkEnd w:id="10"/>
      <w:r>
        <w:rPr>
          <w:rFonts w:hint="eastAsia" w:ascii="仿宋_GB2312" w:eastAsia="仿宋_GB2312" w:cs="仿宋_GB2312" w:hAnsiTheme="minorHAnsi"/>
          <w:b w:val="0"/>
          <w:bCs w:val="0"/>
          <w:kern w:val="0"/>
        </w:rPr>
        <w:t>。主要原因是核心指标融入不足，部分指标不可衡量，绩效指标值设置不合理，执行偏离度大。</w:t>
      </w:r>
    </w:p>
    <w:p>
      <w:pPr>
        <w:pStyle w:val="2"/>
        <w:keepNext w:val="0"/>
        <w:keepLines w:val="0"/>
        <w:pageBreakBefore w:val="0"/>
        <w:widowControl w:val="0"/>
        <w:kinsoku/>
        <w:wordWrap/>
        <w:overflowPunct/>
        <w:topLinePunct w:val="0"/>
        <w:bidi w:val="0"/>
        <w:snapToGrid w:val="0"/>
        <w:spacing w:line="560" w:lineRule="exact"/>
        <w:ind w:firstLine="640"/>
        <w:rPr>
          <w:rFonts w:ascii="仿宋_GB2312" w:eastAsia="仿宋_GB2312" w:cs="仿宋_GB2312" w:hAnsiTheme="minorHAnsi"/>
          <w:b w:val="0"/>
          <w:bCs w:val="0"/>
          <w:kern w:val="0"/>
        </w:rPr>
      </w:pPr>
      <w:bookmarkStart w:id="11" w:name="_Toc11892"/>
      <w:r>
        <w:rPr>
          <w:rFonts w:hint="eastAsia" w:ascii="仿宋_GB2312" w:eastAsia="仿宋_GB2312" w:cs="仿宋_GB2312" w:hAnsiTheme="minorHAnsi"/>
          <w:b w:val="0"/>
          <w:bCs w:val="0"/>
          <w:kern w:val="0"/>
        </w:rPr>
        <w:t>2</w:t>
      </w:r>
      <w:r>
        <w:rPr>
          <w:rFonts w:hint="eastAsia" w:ascii="仿宋_GB2312" w:eastAsia="仿宋_GB2312" w:cs="仿宋_GB2312" w:hAnsiTheme="minorHAnsi"/>
          <w:b w:val="0"/>
          <w:bCs w:val="0"/>
          <w:kern w:val="0"/>
          <w:lang w:val="en-US" w:eastAsia="zh-CN"/>
        </w:rPr>
        <w:t>.</w:t>
      </w:r>
      <w:r>
        <w:rPr>
          <w:rFonts w:hint="eastAsia" w:ascii="仿宋_GB2312" w:eastAsia="仿宋_GB2312" w:cs="仿宋_GB2312" w:hAnsiTheme="minorHAnsi"/>
          <w:b w:val="0"/>
          <w:bCs w:val="0"/>
          <w:kern w:val="0"/>
        </w:rPr>
        <w:t>年中追加预算较多，预算执行</w:t>
      </w:r>
      <w:bookmarkEnd w:id="11"/>
      <w:r>
        <w:rPr>
          <w:rFonts w:hint="eastAsia" w:ascii="仿宋_GB2312" w:eastAsia="仿宋_GB2312" w:cs="仿宋_GB2312" w:hAnsiTheme="minorHAnsi"/>
          <w:b w:val="0"/>
          <w:bCs w:val="0"/>
          <w:kern w:val="0"/>
        </w:rPr>
        <w:t>差异大。主要原因是年中追加预算幅度大，部分项目</w:t>
      </w:r>
      <w:r>
        <w:rPr>
          <w:rFonts w:ascii="仿宋_GB2312" w:eastAsia="仿宋_GB2312" w:cs="仿宋_GB2312" w:hAnsiTheme="minorHAnsi"/>
          <w:b w:val="0"/>
          <w:bCs w:val="0"/>
          <w:kern w:val="0"/>
        </w:rPr>
        <w:t>预算执行</w:t>
      </w:r>
      <w:r>
        <w:rPr>
          <w:rFonts w:hint="eastAsia" w:ascii="仿宋_GB2312" w:eastAsia="仿宋_GB2312" w:cs="仿宋_GB2312" w:hAnsiTheme="minorHAnsi"/>
          <w:b w:val="0"/>
          <w:bCs w:val="0"/>
          <w:kern w:val="0"/>
        </w:rPr>
        <w:t>率低，项目</w:t>
      </w:r>
      <w:r>
        <w:rPr>
          <w:rFonts w:ascii="仿宋_GB2312" w:eastAsia="仿宋_GB2312" w:cs="仿宋_GB2312" w:hAnsiTheme="minorHAnsi"/>
          <w:b w:val="0"/>
          <w:bCs w:val="0"/>
          <w:kern w:val="0"/>
        </w:rPr>
        <w:t>预算执行</w:t>
      </w:r>
      <w:r>
        <w:rPr>
          <w:rFonts w:hint="eastAsia" w:ascii="仿宋_GB2312" w:eastAsia="仿宋_GB2312" w:cs="仿宋_GB2312" w:hAnsiTheme="minorHAnsi"/>
          <w:b w:val="0"/>
          <w:bCs w:val="0"/>
          <w:kern w:val="0"/>
        </w:rPr>
        <w:t>均衡性差</w:t>
      </w:r>
      <w:r>
        <w:rPr>
          <w:rFonts w:ascii="仿宋_GB2312" w:eastAsia="仿宋_GB2312" w:cs="仿宋_GB2312" w:hAnsiTheme="minorHAnsi"/>
          <w:b w:val="0"/>
          <w:bCs w:val="0"/>
          <w:kern w:val="0"/>
        </w:rPr>
        <w:t>。</w:t>
      </w:r>
    </w:p>
    <w:p>
      <w:pPr>
        <w:pStyle w:val="2"/>
        <w:keepNext w:val="0"/>
        <w:keepLines w:val="0"/>
        <w:pageBreakBefore w:val="0"/>
        <w:widowControl w:val="0"/>
        <w:kinsoku/>
        <w:wordWrap/>
        <w:overflowPunct/>
        <w:topLinePunct w:val="0"/>
        <w:bidi w:val="0"/>
        <w:snapToGrid w:val="0"/>
        <w:spacing w:line="560" w:lineRule="exact"/>
        <w:ind w:firstLine="640"/>
        <w:rPr>
          <w:rFonts w:ascii="仿宋_GB2312" w:eastAsia="仿宋_GB2312" w:cs="仿宋_GB2312" w:hAnsiTheme="minorHAnsi"/>
          <w:b w:val="0"/>
          <w:bCs w:val="0"/>
          <w:kern w:val="0"/>
        </w:rPr>
      </w:pPr>
      <w:r>
        <w:rPr>
          <w:rFonts w:hint="eastAsia" w:ascii="仿宋_GB2312" w:eastAsia="仿宋_GB2312" w:cs="仿宋_GB2312" w:hAnsiTheme="minorHAnsi"/>
          <w:b w:val="0"/>
          <w:bCs w:val="0"/>
          <w:kern w:val="0"/>
        </w:rPr>
        <w:t>3</w:t>
      </w:r>
      <w:r>
        <w:rPr>
          <w:rFonts w:hint="eastAsia" w:ascii="仿宋_GB2312" w:eastAsia="仿宋_GB2312" w:cs="仿宋_GB2312" w:hAnsiTheme="minorHAnsi"/>
          <w:b w:val="0"/>
          <w:bCs w:val="0"/>
          <w:kern w:val="0"/>
          <w:lang w:val="en-US" w:eastAsia="zh-CN"/>
        </w:rPr>
        <w:t>.</w:t>
      </w:r>
      <w:r>
        <w:rPr>
          <w:rFonts w:hint="eastAsia" w:ascii="仿宋_GB2312" w:eastAsia="仿宋_GB2312" w:cs="仿宋_GB2312" w:hAnsiTheme="minorHAnsi"/>
          <w:b w:val="0"/>
          <w:bCs w:val="0"/>
          <w:kern w:val="0"/>
        </w:rPr>
        <w:t>项目管理履职不到位，过程监管有效性不足。主要原因是项目监控责任未压实，力度不大，项目监控流于形式。</w:t>
      </w:r>
    </w:p>
    <w:p>
      <w:pPr>
        <w:keepNext w:val="0"/>
        <w:keepLines w:val="0"/>
        <w:pageBreakBefore w:val="0"/>
        <w:widowControl w:val="0"/>
        <w:kinsoku/>
        <w:wordWrap/>
        <w:overflowPunct/>
        <w:topLinePunct w:val="0"/>
        <w:bidi w:val="0"/>
        <w:snapToGrid w:val="0"/>
        <w:spacing w:line="560" w:lineRule="exact"/>
        <w:ind w:firstLine="640" w:firstLineChars="200"/>
        <w:rPr>
          <w:rFonts w:ascii="仿宋_GB2312" w:eastAsia="仿宋_GB2312" w:cs="仿宋_GB2312"/>
          <w:kern w:val="0"/>
          <w:sz w:val="32"/>
          <w:szCs w:val="32"/>
        </w:rPr>
      </w:pPr>
      <w:bookmarkStart w:id="12" w:name="_Toc29652"/>
      <w:r>
        <w:rPr>
          <w:rFonts w:hint="eastAsia" w:ascii="仿宋_GB2312" w:eastAsia="仿宋_GB2312" w:cs="仿宋_GB2312"/>
          <w:kern w:val="0"/>
          <w:sz w:val="32"/>
          <w:szCs w:val="32"/>
        </w:rPr>
        <w:t>4</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部分单位</w:t>
      </w:r>
      <w:r>
        <w:rPr>
          <w:rFonts w:ascii="仿宋_GB2312" w:eastAsia="仿宋_GB2312" w:cs="仿宋_GB2312"/>
          <w:kern w:val="0"/>
          <w:sz w:val="32"/>
          <w:szCs w:val="32"/>
        </w:rPr>
        <w:t>政府采购</w:t>
      </w:r>
      <w:r>
        <w:rPr>
          <w:rFonts w:hint="eastAsia" w:ascii="仿宋_GB2312" w:eastAsia="仿宋_GB2312" w:cs="仿宋_GB2312"/>
          <w:kern w:val="0"/>
          <w:sz w:val="32"/>
          <w:szCs w:val="32"/>
        </w:rPr>
        <w:t>基础工作不扎实，管理效能有待提升</w:t>
      </w:r>
      <w:bookmarkEnd w:id="12"/>
      <w:r>
        <w:rPr>
          <w:rFonts w:hint="eastAsia" w:ascii="仿宋_GB2312" w:eastAsia="仿宋_GB2312" w:cs="仿宋_GB2312"/>
          <w:kern w:val="0"/>
          <w:sz w:val="32"/>
          <w:szCs w:val="32"/>
        </w:rPr>
        <w:t>。由于多数单位绩效负责人隶属财务部门且日常事务繁忙，部分单位政府采购职能归属其他部门，二者信息沟通协调不畅，经办人员对经办事项没能及时了解政府采购相关情况，政府采购管理效能没有充分发挥</w:t>
      </w:r>
      <w:r>
        <w:rPr>
          <w:rFonts w:ascii="仿宋_GB2312" w:eastAsia="仿宋_GB2312" w:cs="仿宋_GB2312"/>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仿宋_GB2312" w:hAnsiTheme="minorHAnsi"/>
          <w:b w:val="0"/>
          <w:bCs w:val="0"/>
          <w:kern w:val="0"/>
        </w:rPr>
      </w:pPr>
      <w:bookmarkStart w:id="13" w:name="_Toc1984"/>
      <w:r>
        <w:rPr>
          <w:rFonts w:hint="eastAsia" w:ascii="仿宋_GB2312" w:eastAsia="仿宋_GB2312" w:cs="仿宋_GB2312" w:hAnsiTheme="minorHAnsi"/>
          <w:b w:val="0"/>
          <w:bCs w:val="0"/>
          <w:kern w:val="0"/>
          <w:lang w:val="en-US" w:eastAsia="zh-CN"/>
        </w:rPr>
        <w:t>5.</w:t>
      </w:r>
      <w:r>
        <w:rPr>
          <w:rFonts w:hint="eastAsia" w:ascii="仿宋_GB2312" w:eastAsia="仿宋_GB2312" w:cs="仿宋_GB2312" w:hAnsiTheme="minorHAnsi"/>
          <w:b w:val="0"/>
          <w:bCs w:val="0"/>
          <w:kern w:val="0"/>
        </w:rPr>
        <w:t>部分单位财务制度落实不到位，基础</w:t>
      </w:r>
      <w:r>
        <w:rPr>
          <w:rFonts w:ascii="仿宋_GB2312" w:eastAsia="仿宋_GB2312" w:cs="仿宋_GB2312" w:hAnsiTheme="minorHAnsi"/>
          <w:b w:val="0"/>
          <w:bCs w:val="0"/>
          <w:kern w:val="0"/>
        </w:rPr>
        <w:t>管理有待</w:t>
      </w:r>
      <w:r>
        <w:rPr>
          <w:rFonts w:hint="eastAsia" w:ascii="仿宋_GB2312" w:eastAsia="仿宋_GB2312" w:cs="仿宋_GB2312" w:hAnsiTheme="minorHAnsi"/>
          <w:b w:val="0"/>
          <w:bCs w:val="0"/>
          <w:kern w:val="0"/>
        </w:rPr>
        <w:t>加强</w:t>
      </w:r>
      <w:bookmarkEnd w:id="13"/>
      <w:r>
        <w:rPr>
          <w:rFonts w:hint="eastAsia" w:ascii="仿宋_GB2312" w:eastAsia="仿宋_GB2312" w:cs="仿宋_GB2312" w:hAnsiTheme="minorHAnsi"/>
          <w:b w:val="0"/>
          <w:bCs w:val="0"/>
          <w:kern w:val="0"/>
        </w:rPr>
        <w:t>。主要原因是财务制度不严谨，财务管理基础工作不扎实，会计凭证附件不完整。</w:t>
      </w:r>
    </w:p>
    <w:p>
      <w:pPr>
        <w:pStyle w:val="2"/>
        <w:keepNext w:val="0"/>
        <w:keepLines w:val="0"/>
        <w:pageBreakBefore w:val="0"/>
        <w:widowControl w:val="0"/>
        <w:kinsoku/>
        <w:wordWrap/>
        <w:overflowPunct/>
        <w:topLinePunct w:val="0"/>
        <w:bidi w:val="0"/>
        <w:snapToGrid w:val="0"/>
        <w:spacing w:line="560" w:lineRule="exact"/>
        <w:ind w:firstLine="640"/>
        <w:rPr>
          <w:rFonts w:ascii="Times New Roman" w:hAnsi="Times New Roman" w:eastAsia="仿宋_GB2312"/>
          <w:color w:val="auto"/>
          <w:sz w:val="32"/>
          <w:szCs w:val="32"/>
        </w:rPr>
      </w:pPr>
      <w:r>
        <w:rPr>
          <w:rFonts w:hint="eastAsia" w:ascii="仿宋_GB2312" w:eastAsia="仿宋_GB2312" w:cs="仿宋_GB2312" w:hAnsiTheme="minorHAnsi"/>
          <w:b w:val="0"/>
          <w:bCs w:val="0"/>
          <w:kern w:val="0"/>
        </w:rPr>
        <w:t>下一步，我厅将</w:t>
      </w:r>
      <w:r>
        <w:rPr>
          <w:rFonts w:ascii="仿宋_GB2312" w:eastAsia="仿宋_GB2312" w:cs="仿宋_GB2312" w:hAnsiTheme="minorHAnsi"/>
          <w:b w:val="0"/>
          <w:bCs w:val="0"/>
          <w:kern w:val="0"/>
        </w:rPr>
        <w:t>加强绩效管理体系建设，</w:t>
      </w:r>
      <w:r>
        <w:rPr>
          <w:rFonts w:hint="eastAsia" w:ascii="仿宋_GB2312" w:eastAsia="仿宋_GB2312" w:cs="仿宋_GB2312" w:hAnsiTheme="minorHAnsi"/>
          <w:b w:val="0"/>
          <w:bCs w:val="0"/>
          <w:kern w:val="0"/>
        </w:rPr>
        <w:t>夯实绩效</w:t>
      </w:r>
      <w:r>
        <w:rPr>
          <w:rFonts w:ascii="仿宋_GB2312" w:eastAsia="仿宋_GB2312" w:cs="仿宋_GB2312" w:hAnsiTheme="minorHAnsi"/>
          <w:b w:val="0"/>
          <w:bCs w:val="0"/>
          <w:kern w:val="0"/>
        </w:rPr>
        <w:t>管理</w:t>
      </w:r>
      <w:r>
        <w:rPr>
          <w:rFonts w:hint="eastAsia" w:ascii="仿宋_GB2312" w:eastAsia="仿宋_GB2312" w:cs="仿宋_GB2312" w:hAnsiTheme="minorHAnsi"/>
          <w:b w:val="0"/>
          <w:bCs w:val="0"/>
          <w:kern w:val="0"/>
        </w:rPr>
        <w:t>工作基础；强化</w:t>
      </w:r>
      <w:r>
        <w:rPr>
          <w:rFonts w:ascii="仿宋_GB2312" w:eastAsia="仿宋_GB2312" w:cs="仿宋_GB2312" w:hAnsiTheme="minorHAnsi"/>
          <w:b w:val="0"/>
          <w:bCs w:val="0"/>
          <w:kern w:val="0"/>
        </w:rPr>
        <w:t>预算编制精细化管理，提高预算资金使用效益</w:t>
      </w:r>
      <w:r>
        <w:rPr>
          <w:rFonts w:hint="eastAsia" w:ascii="仿宋_GB2312" w:eastAsia="仿宋_GB2312" w:cs="仿宋_GB2312" w:hAnsiTheme="minorHAnsi"/>
          <w:b w:val="0"/>
          <w:bCs w:val="0"/>
          <w:kern w:val="0"/>
        </w:rPr>
        <w:t>；压实项目管理责任</w:t>
      </w:r>
      <w:r>
        <w:rPr>
          <w:rFonts w:ascii="仿宋_GB2312" w:eastAsia="仿宋_GB2312" w:cs="仿宋_GB2312" w:hAnsiTheme="minorHAnsi"/>
          <w:b w:val="0"/>
          <w:bCs w:val="0"/>
          <w:kern w:val="0"/>
        </w:rPr>
        <w:t>，</w:t>
      </w:r>
      <w:r>
        <w:rPr>
          <w:rFonts w:hint="eastAsia" w:ascii="仿宋_GB2312" w:eastAsia="仿宋_GB2312" w:cs="仿宋_GB2312" w:hAnsiTheme="minorHAnsi"/>
          <w:b w:val="0"/>
          <w:bCs w:val="0"/>
          <w:kern w:val="0"/>
        </w:rPr>
        <w:t>提升动态化监管效能；压实项目管理责任</w:t>
      </w:r>
      <w:r>
        <w:rPr>
          <w:rFonts w:ascii="仿宋_GB2312" w:eastAsia="仿宋_GB2312" w:cs="仿宋_GB2312" w:hAnsiTheme="minorHAnsi"/>
          <w:b w:val="0"/>
          <w:bCs w:val="0"/>
          <w:kern w:val="0"/>
        </w:rPr>
        <w:t>，</w:t>
      </w:r>
      <w:r>
        <w:rPr>
          <w:rFonts w:hint="eastAsia" w:ascii="仿宋_GB2312" w:eastAsia="仿宋_GB2312" w:cs="仿宋_GB2312" w:hAnsiTheme="minorHAnsi"/>
          <w:b w:val="0"/>
          <w:bCs w:val="0"/>
          <w:kern w:val="0"/>
        </w:rPr>
        <w:t>提升动态化监管效能；严格履行复核稽核职责，抓实</w:t>
      </w:r>
      <w:r>
        <w:rPr>
          <w:rFonts w:ascii="仿宋_GB2312" w:eastAsia="仿宋_GB2312" w:cs="仿宋_GB2312" w:hAnsiTheme="minorHAnsi"/>
          <w:b w:val="0"/>
          <w:bCs w:val="0"/>
          <w:kern w:val="0"/>
        </w:rPr>
        <w:t>财务管理</w:t>
      </w:r>
      <w:r>
        <w:rPr>
          <w:rFonts w:hint="eastAsia" w:ascii="仿宋_GB2312" w:eastAsia="仿宋_GB2312" w:cs="仿宋_GB2312" w:hAnsiTheme="minorHAnsi"/>
          <w:b w:val="0"/>
          <w:bCs w:val="0"/>
          <w:kern w:val="0"/>
        </w:rPr>
        <w:t>工作。</w:t>
      </w:r>
    </w:p>
    <w:p>
      <w:pPr>
        <w:pStyle w:val="20"/>
        <w:jc w:val="both"/>
        <w:rPr>
          <w:color w:val="auto"/>
          <w:sz w:val="72"/>
          <w:szCs w:val="72"/>
        </w:rPr>
        <w:sectPr>
          <w:pgSz w:w="11906" w:h="16838"/>
          <w:pgMar w:top="2098" w:right="1531" w:bottom="1531" w:left="1531" w:header="851" w:footer="992" w:gutter="0"/>
          <w:cols w:space="425" w:num="1"/>
          <w:docGrid w:type="linesAndChars" w:linePitch="312" w:charSpace="0"/>
        </w:sectPr>
      </w:pPr>
    </w:p>
    <w:p>
      <w:pPr>
        <w:pStyle w:val="20"/>
        <w:jc w:val="both"/>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pPr>
        <w:jc w:val="center"/>
        <w:rPr>
          <w:rFonts w:ascii="方正小标宋_GBK" w:hAnsi="方正小标宋_GBK" w:eastAsia="方正小标宋_GBK" w:cs="方正小标宋_GBK"/>
          <w:kern w:val="0"/>
          <w:sz w:val="70"/>
          <w:szCs w:val="70"/>
        </w:rPr>
      </w:pPr>
    </w:p>
    <w:p>
      <w:pPr>
        <w:jc w:val="center"/>
        <w:rPr>
          <w:rFonts w:ascii="方正小标宋_GBK" w:hAnsi="方正小标宋_GBK" w:eastAsia="方正小标宋_GBK" w:cs="方正小标宋_GBK"/>
          <w:kern w:val="0"/>
          <w:sz w:val="70"/>
          <w:szCs w:val="70"/>
        </w:rPr>
      </w:pPr>
      <w:r>
        <w:rPr>
          <w:rFonts w:hint="eastAsia" w:ascii="方正小标宋_GBK" w:hAnsi="方正小标宋_GBK" w:eastAsia="方正小标宋_GBK" w:cs="方正小标宋_GBK"/>
          <w:kern w:val="0"/>
          <w:sz w:val="70"/>
          <w:szCs w:val="70"/>
        </w:rPr>
        <w:t>名词解释</w:t>
      </w:r>
    </w:p>
    <w:p>
      <w:pPr>
        <w:widowControl/>
        <w:jc w:val="left"/>
        <w:rPr>
          <w:rFonts w:cs="黑体" w:asciiTheme="minorEastAsia" w:hAnsiTheme="minorEastAsia"/>
          <w:kern w:val="0"/>
          <w:sz w:val="32"/>
          <w:szCs w:val="32"/>
        </w:rPr>
      </w:pPr>
      <w:r>
        <w:rPr>
          <w:rFonts w:hint="eastAsia" w:ascii="方正小标宋_GBK" w:hAnsi="方正小标宋_GBK" w:eastAsia="方正小标宋_GBK" w:cs="方正小标宋_GBK"/>
          <w:kern w:val="0"/>
          <w:sz w:val="70"/>
          <w:szCs w:val="70"/>
        </w:rPr>
        <w:br w:type="page"/>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一、财政拨款收入：指省级财政当年拨付的资金。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二、其他收入：指除“财政拨款收入”以外的收入。主要是上级单位拨款、存款利息收入等。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五、年初结转和结余：指以前年度尚未完成、结转到本年仍按原规定用途继续使用的资金，或项目已完成等产生的结余资金。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p>
    <w:p>
      <w:pPr>
        <w:rPr>
          <w:rFonts w:ascii="方正小标宋_GBK" w:hAnsi="方正小标宋_GBK" w:eastAsia="方正小标宋_GBK" w:cs="方正小标宋_GBK"/>
          <w:color w:val="auto"/>
          <w:sz w:val="72"/>
          <w:szCs w:val="72"/>
        </w:rPr>
      </w:pPr>
      <w:r>
        <w:rPr>
          <w:rFonts w:ascii="方正小标宋_GBK" w:hAnsi="方正小标宋_GBK" w:eastAsia="方正小标宋_GBK" w:cs="方正小标宋_GBK"/>
          <w:color w:val="auto"/>
          <w:sz w:val="72"/>
          <w:szCs w:val="72"/>
        </w:rPr>
        <w:br w:type="page"/>
      </w: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p>
    <w:p>
      <w:pPr>
        <w:pStyle w:val="20"/>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第五部分</w:t>
      </w:r>
    </w:p>
    <w:p>
      <w:pPr>
        <w:pStyle w:val="20"/>
        <w:jc w:val="center"/>
        <w:rPr>
          <w:rFonts w:ascii="方正小标宋_GBK" w:hAnsi="方正小标宋_GBK" w:eastAsia="方正小标宋_GBK" w:cs="方正小标宋_GBK"/>
          <w:color w:val="auto"/>
          <w:sz w:val="70"/>
          <w:szCs w:val="70"/>
        </w:rPr>
      </w:pPr>
    </w:p>
    <w:p>
      <w:pPr>
        <w:pStyle w:val="20"/>
        <w:jc w:val="center"/>
        <w:rPr>
          <w:color w:val="auto"/>
          <w:sz w:val="72"/>
          <w:szCs w:val="72"/>
        </w:rPr>
      </w:pPr>
      <w:r>
        <w:rPr>
          <w:rFonts w:hint="eastAsia" w:ascii="方正小标宋_GBK" w:hAnsi="方正小标宋_GBK" w:eastAsia="方正小标宋_GBK" w:cs="方正小标宋_GBK"/>
          <w:color w:val="auto"/>
          <w:sz w:val="70"/>
          <w:szCs w:val="70"/>
        </w:rPr>
        <w:t>附件</w:t>
      </w:r>
    </w:p>
    <w:p>
      <w:pPr>
        <w:rPr>
          <w:sz w:val="72"/>
          <w:szCs w:val="72"/>
        </w:rPr>
      </w:pPr>
      <w:r>
        <w:rPr>
          <w:sz w:val="72"/>
          <w:szCs w:val="72"/>
        </w:rPr>
        <w:br w:type="page"/>
      </w:r>
    </w:p>
    <w:p>
      <w:pPr>
        <w:pStyle w:val="20"/>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附件：2023年度部门(单位)整体支出绩效自评报告</w:t>
      </w:r>
    </w:p>
    <w:p>
      <w:pPr>
        <w:pStyle w:val="20"/>
        <w:spacing w:line="600" w:lineRule="exact"/>
        <w:ind w:firstLine="640" w:firstLineChars="200"/>
        <w:rPr>
          <w:rFonts w:ascii="Times New Roman" w:hAnsi="Times New Roman" w:eastAsia="仿宋_GB2312"/>
          <w:color w:val="auto"/>
          <w:sz w:val="32"/>
          <w:szCs w:val="32"/>
        </w:rPr>
      </w:pPr>
    </w:p>
    <w:p>
      <w:pPr>
        <w:pStyle w:val="20"/>
        <w:jc w:val="center"/>
        <w:rPr>
          <w:color w:val="auto"/>
          <w:sz w:val="72"/>
          <w:szCs w:val="72"/>
        </w:rPr>
      </w:pPr>
    </w:p>
    <w:p>
      <w:pPr>
        <w:pStyle w:val="20"/>
        <w:jc w:val="center"/>
        <w:rPr>
          <w:color w:val="auto"/>
          <w:sz w:val="72"/>
          <w:szCs w:val="72"/>
        </w:rPr>
      </w:pPr>
    </w:p>
    <w:p>
      <w:pPr>
        <w:jc w:val="left"/>
        <w:rPr>
          <w:rFonts w:cs="黑体" w:asciiTheme="minorEastAsia" w:hAnsiTheme="minorEastAsia"/>
          <w:kern w:val="0"/>
          <w:sz w:val="32"/>
          <w:szCs w:val="32"/>
        </w:rPr>
      </w:pPr>
    </w:p>
    <w:sectPr>
      <w:pgSz w:w="11906" w:h="16838"/>
      <w:pgMar w:top="2098" w:right="1531" w:bottom="153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华文仿宋"/>
    <w:panose1 w:val="02010600030101010101"/>
    <w:charset w:val="86"/>
    <w:family w:val="auto"/>
    <w:pitch w:val="default"/>
    <w:sig w:usb0="00000000" w:usb1="00000000" w:usb2="00000016" w:usb3="00000000" w:csb0="0004000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WU3MWI1ZWE2ZWJlNWM3MmUwNzE5NGEzNGUzMzMifQ=="/>
  </w:docVars>
  <w:rsids>
    <w:rsidRoot w:val="004506F9"/>
    <w:rsid w:val="0002229B"/>
    <w:rsid w:val="000273BD"/>
    <w:rsid w:val="00040CBC"/>
    <w:rsid w:val="000415B7"/>
    <w:rsid w:val="00041E3F"/>
    <w:rsid w:val="00055DAA"/>
    <w:rsid w:val="00061F7B"/>
    <w:rsid w:val="000658A3"/>
    <w:rsid w:val="00074155"/>
    <w:rsid w:val="000A3F69"/>
    <w:rsid w:val="000A5964"/>
    <w:rsid w:val="000C1F44"/>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4756"/>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77B14"/>
    <w:rsid w:val="009A0F95"/>
    <w:rsid w:val="009B3ADF"/>
    <w:rsid w:val="009C337D"/>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AE3368"/>
    <w:rsid w:val="030D40BE"/>
    <w:rsid w:val="04A40A52"/>
    <w:rsid w:val="075E75DE"/>
    <w:rsid w:val="086C5D2B"/>
    <w:rsid w:val="088F5575"/>
    <w:rsid w:val="0A2F7010"/>
    <w:rsid w:val="0B6A2D4C"/>
    <w:rsid w:val="0BCF2858"/>
    <w:rsid w:val="0D583AF2"/>
    <w:rsid w:val="0ECA5559"/>
    <w:rsid w:val="0F1F3516"/>
    <w:rsid w:val="113969C6"/>
    <w:rsid w:val="11EE77B0"/>
    <w:rsid w:val="14CF1B1B"/>
    <w:rsid w:val="14CF5677"/>
    <w:rsid w:val="14F275B8"/>
    <w:rsid w:val="154716B1"/>
    <w:rsid w:val="15C11327"/>
    <w:rsid w:val="16610551"/>
    <w:rsid w:val="16CD5BE6"/>
    <w:rsid w:val="18A92683"/>
    <w:rsid w:val="19550115"/>
    <w:rsid w:val="1A562397"/>
    <w:rsid w:val="1D7C3EC2"/>
    <w:rsid w:val="1D97DEFF"/>
    <w:rsid w:val="1DF8703A"/>
    <w:rsid w:val="1DFF72E5"/>
    <w:rsid w:val="1EFC6F07"/>
    <w:rsid w:val="20FD2D5C"/>
    <w:rsid w:val="210B3EDB"/>
    <w:rsid w:val="21BC51D5"/>
    <w:rsid w:val="22B3482A"/>
    <w:rsid w:val="233B037C"/>
    <w:rsid w:val="2406098A"/>
    <w:rsid w:val="250A5BDC"/>
    <w:rsid w:val="26B172D2"/>
    <w:rsid w:val="2794527C"/>
    <w:rsid w:val="29932CBF"/>
    <w:rsid w:val="29E03A2B"/>
    <w:rsid w:val="2A7B3D45"/>
    <w:rsid w:val="2CCB2770"/>
    <w:rsid w:val="2CD74909"/>
    <w:rsid w:val="2FDF85B8"/>
    <w:rsid w:val="2FFFEE04"/>
    <w:rsid w:val="304E16EE"/>
    <w:rsid w:val="31307046"/>
    <w:rsid w:val="341C55C7"/>
    <w:rsid w:val="343D03F7"/>
    <w:rsid w:val="34DF85B0"/>
    <w:rsid w:val="351F3A1C"/>
    <w:rsid w:val="36B129D7"/>
    <w:rsid w:val="36F32FEF"/>
    <w:rsid w:val="37307DA0"/>
    <w:rsid w:val="37F0752F"/>
    <w:rsid w:val="391F00CC"/>
    <w:rsid w:val="3A9C574C"/>
    <w:rsid w:val="3B8F36BC"/>
    <w:rsid w:val="3CD1792F"/>
    <w:rsid w:val="3CE339CD"/>
    <w:rsid w:val="3F312907"/>
    <w:rsid w:val="3FE060DB"/>
    <w:rsid w:val="41F67341"/>
    <w:rsid w:val="42183041"/>
    <w:rsid w:val="42B23D5F"/>
    <w:rsid w:val="44D0671E"/>
    <w:rsid w:val="465B64BB"/>
    <w:rsid w:val="46E71357"/>
    <w:rsid w:val="471825FE"/>
    <w:rsid w:val="47794E4B"/>
    <w:rsid w:val="47F14E75"/>
    <w:rsid w:val="48C7EAC7"/>
    <w:rsid w:val="491FF225"/>
    <w:rsid w:val="4A7E6C1C"/>
    <w:rsid w:val="4AD54A8E"/>
    <w:rsid w:val="4B92297F"/>
    <w:rsid w:val="4D686C8D"/>
    <w:rsid w:val="4FBA4253"/>
    <w:rsid w:val="4FFD214C"/>
    <w:rsid w:val="50700DB5"/>
    <w:rsid w:val="52F61A46"/>
    <w:rsid w:val="53476745"/>
    <w:rsid w:val="543F11CA"/>
    <w:rsid w:val="576C0528"/>
    <w:rsid w:val="5777D4F5"/>
    <w:rsid w:val="59DD8326"/>
    <w:rsid w:val="5A625C12"/>
    <w:rsid w:val="5AA1673B"/>
    <w:rsid w:val="5ABE26ED"/>
    <w:rsid w:val="5DDE3802"/>
    <w:rsid w:val="5DEF592A"/>
    <w:rsid w:val="5E062D59"/>
    <w:rsid w:val="5F0C439F"/>
    <w:rsid w:val="5F21609C"/>
    <w:rsid w:val="5FC6BB1E"/>
    <w:rsid w:val="5FF720F1"/>
    <w:rsid w:val="620D46B6"/>
    <w:rsid w:val="67FF5C0B"/>
    <w:rsid w:val="68594AF9"/>
    <w:rsid w:val="687B74D8"/>
    <w:rsid w:val="6B43739A"/>
    <w:rsid w:val="6C515AE7"/>
    <w:rsid w:val="6C573C4E"/>
    <w:rsid w:val="6CAD5413"/>
    <w:rsid w:val="6D997745"/>
    <w:rsid w:val="6E054DDB"/>
    <w:rsid w:val="6EFC0924"/>
    <w:rsid w:val="6FB74722"/>
    <w:rsid w:val="6FEF8B7E"/>
    <w:rsid w:val="6FF15617"/>
    <w:rsid w:val="70182BA3"/>
    <w:rsid w:val="707B249D"/>
    <w:rsid w:val="71A6591B"/>
    <w:rsid w:val="71C26CE2"/>
    <w:rsid w:val="724F0914"/>
    <w:rsid w:val="737D59BA"/>
    <w:rsid w:val="756152CD"/>
    <w:rsid w:val="77C37683"/>
    <w:rsid w:val="7926293E"/>
    <w:rsid w:val="79915775"/>
    <w:rsid w:val="79FF515B"/>
    <w:rsid w:val="7C4B2553"/>
    <w:rsid w:val="7D6B7D8E"/>
    <w:rsid w:val="7DA45F17"/>
    <w:rsid w:val="7E350DC4"/>
    <w:rsid w:val="7E9E1962"/>
    <w:rsid w:val="7E9F11B4"/>
    <w:rsid w:val="7F37EC1E"/>
    <w:rsid w:val="7F7DCD9D"/>
    <w:rsid w:val="7F970A6F"/>
    <w:rsid w:val="7FC1FFF3"/>
    <w:rsid w:val="7FC69637"/>
    <w:rsid w:val="7FCA378E"/>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Lines/>
      <w:spacing w:line="600" w:lineRule="exact"/>
      <w:ind w:firstLine="880" w:firstLineChars="200"/>
      <w:outlineLvl w:val="1"/>
    </w:pPr>
    <w:rPr>
      <w:rFonts w:ascii="Calibri Light" w:hAnsi="Calibri Light" w:eastAsia="楷体_GB2312"/>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index 5"/>
    <w:next w:val="1"/>
    <w:qFormat/>
    <w:uiPriority w:val="0"/>
    <w:pPr>
      <w:widowControl w:val="0"/>
      <w:spacing w:line="600" w:lineRule="exact"/>
      <w:ind w:left="1680" w:firstLine="200" w:firstLineChars="200"/>
      <w:jc w:val="center"/>
    </w:pPr>
    <w:rPr>
      <w:rFonts w:ascii="楷体" w:hAnsi="Calibri" w:eastAsia="楷体" w:cs="Times New Roman"/>
      <w:kern w:val="2"/>
      <w:sz w:val="32"/>
      <w:szCs w:val="32"/>
      <w:lang w:val="en-US" w:eastAsia="zh-CN" w:bidi="ar-SA"/>
    </w:rPr>
  </w:style>
  <w:style w:type="paragraph" w:styleId="4">
    <w:name w:val="annotation text"/>
    <w:basedOn w:val="1"/>
    <w:semiHidden/>
    <w:unhideWhenUsed/>
    <w:qFormat/>
    <w:uiPriority w:val="99"/>
    <w:pPr>
      <w:jc w:val="left"/>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Indent 2"/>
    <w:basedOn w:val="1"/>
    <w:next w:val="1"/>
    <w:qFormat/>
    <w:uiPriority w:val="0"/>
    <w:pPr>
      <w:spacing w:after="120" w:line="480" w:lineRule="auto"/>
      <w:ind w:left="200" w:leftChars="200"/>
    </w:pPr>
    <w:rPr>
      <w:rFonts w:ascii="Times New Roman" w:hAnsi="Times New Roman" w:eastAsia="宋体" w:cs="Times New Roman"/>
    </w:r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1"/>
    <w:semiHidden/>
    <w:qFormat/>
    <w:uiPriority w:val="0"/>
    <w:pPr>
      <w:snapToGrid w:val="0"/>
      <w:jc w:val="left"/>
    </w:pPr>
    <w:rPr>
      <w:sz w:val="18"/>
      <w:szCs w:val="18"/>
    </w:rPr>
  </w:style>
  <w:style w:type="paragraph" w:styleId="11">
    <w:name w:val="Body Text First Indent 2"/>
    <w:basedOn w:val="5"/>
    <w:next w:val="12"/>
    <w:unhideWhenUsed/>
    <w:qFormat/>
    <w:uiPriority w:val="99"/>
    <w:pPr>
      <w:ind w:firstLine="420" w:firstLineChars="200"/>
    </w:pPr>
  </w:style>
  <w:style w:type="paragraph" w:styleId="12">
    <w:name w:val="Title"/>
    <w:basedOn w:val="1"/>
    <w:next w:val="1"/>
    <w:qFormat/>
    <w:uiPriority w:val="0"/>
    <w:pPr>
      <w:widowControl/>
      <w:snapToGrid w:val="0"/>
      <w:spacing w:before="240" w:after="60"/>
      <w:jc w:val="center"/>
      <w:textAlignment w:val="baseline"/>
    </w:pPr>
    <w:rPr>
      <w:rFonts w:ascii="Arial" w:hAnsi="Arial" w:eastAsia="微软雅黑"/>
      <w:b/>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paragraph" w:customStyle="1" w:styleId="17">
    <w:name w:val="样式 文字 + 首行缩进:  2 字符3"/>
    <w:qFormat/>
    <w:uiPriority w:val="0"/>
    <w:pPr>
      <w:widowControl w:val="0"/>
      <w:autoSpaceDE w:val="0"/>
      <w:autoSpaceDN w:val="0"/>
      <w:spacing w:line="360" w:lineRule="auto"/>
    </w:pPr>
    <w:rPr>
      <w:rFonts w:ascii="等线" w:hAnsi="等线" w:eastAsia="等线" w:cs="等线"/>
      <w:sz w:val="28"/>
      <w:szCs w:val="28"/>
      <w:lang w:val="zh-CN" w:eastAsia="zh-CN" w:bidi="ar-SA"/>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paragraph" w:customStyle="1" w:styleId="2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21">
    <w:name w:val="List Paragraph"/>
    <w:basedOn w:val="1"/>
    <w:qFormat/>
    <w:uiPriority w:val="34"/>
    <w:pPr>
      <w:ind w:firstLine="420" w:firstLineChars="200"/>
    </w:pPr>
  </w:style>
  <w:style w:type="character" w:customStyle="1" w:styleId="22">
    <w:name w:val="批注框文本 Char"/>
    <w:basedOn w:val="15"/>
    <w:link w:val="7"/>
    <w:semiHidden/>
    <w:qFormat/>
    <w:uiPriority w:val="99"/>
    <w:rPr>
      <w:sz w:val="18"/>
      <w:szCs w:val="18"/>
    </w:rPr>
  </w:style>
  <w:style w:type="character" w:customStyle="1" w:styleId="23">
    <w:name w:val="font01"/>
    <w:basedOn w:val="15"/>
    <w:qFormat/>
    <w:uiPriority w:val="0"/>
    <w:rPr>
      <w:rFonts w:hint="eastAsia" w:ascii="宋体" w:hAnsi="宋体" w:eastAsia="宋体" w:cs="宋体"/>
      <w:color w:val="000000"/>
      <w:sz w:val="22"/>
      <w:szCs w:val="22"/>
      <w:u w:val="none"/>
    </w:rPr>
  </w:style>
  <w:style w:type="character" w:customStyle="1" w:styleId="24">
    <w:name w:val="font21"/>
    <w:basedOn w:val="15"/>
    <w:qFormat/>
    <w:uiPriority w:val="0"/>
    <w:rPr>
      <w:rFonts w:hint="eastAsia" w:ascii="宋体" w:hAnsi="宋体" w:eastAsia="宋体" w:cs="宋体"/>
      <w:color w:val="000000"/>
      <w:sz w:val="24"/>
      <w:szCs w:val="24"/>
      <w:u w:val="none"/>
    </w:rPr>
  </w:style>
  <w:style w:type="character" w:customStyle="1" w:styleId="25">
    <w:name w:val="font11"/>
    <w:basedOn w:val="15"/>
    <w:qFormat/>
    <w:uiPriority w:val="0"/>
    <w:rPr>
      <w:rFonts w:hint="eastAsia" w:ascii="宋体" w:hAnsi="宋体" w:eastAsia="宋体" w:cs="宋体"/>
      <w:color w:val="000000"/>
      <w:sz w:val="24"/>
      <w:szCs w:val="24"/>
      <w:u w:val="none"/>
    </w:rPr>
  </w:style>
  <w:style w:type="paragraph" w:customStyle="1" w:styleId="26">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26971</Words>
  <Characters>35777</Characters>
  <Lines>279</Lines>
  <Paragraphs>78</Paragraphs>
  <TotalTime>287</TotalTime>
  <ScaleCrop>false</ScaleCrop>
  <LinksUpToDate>false</LinksUpToDate>
  <CharactersWithSpaces>36465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2024-09-09T10:33:00Z</dcterms:created>
  <dc:creator>李航 null</dc:creator>
  <cp:lastModifiedBy>greatwall</cp:lastModifiedBy>
  <cp:lastPrinted>2024-09-09T17:14:00Z</cp:lastPrinted>
  <dcterms:modified xsi:type="dcterms:W3CDTF">2024-09-10T16:10:45Z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3C966D82C147459C94834C29828C1187_13</vt:lpwstr>
  </property>
</Properties>
</file>