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289" w:afterLines="100"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第一批拟入选湖南省乡村旅游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重点村名录乡村名单</w:t>
      </w: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rPr>
          <w:rFonts w:hint="eastAsia"/>
        </w:rPr>
      </w:pP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长沙市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宁乡市黄材镇黄材村、浏阳市张坊镇田溪村、长沙县开慧镇锡福村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衡阳市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南岳区南岳镇红星村、珠晖区茶山坳镇堰头村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株洲市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炎陵县十都镇密花村、攸县酒埠江镇酒仙湖村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湘潭市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韶山市韶山乡韶山村、昭山区昭山镇七星村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邵阳市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洞口县</w:t>
      </w:r>
      <w:r>
        <w:rPr>
          <w:rFonts w:hint="eastAsia" w:ascii="SimSun-ExtB" w:hAnsi="SimSun-ExtB" w:eastAsia="SimSun-ExtB" w:cs="微软雅黑"/>
          <w:color w:val="333333"/>
          <w:sz w:val="28"/>
          <w:szCs w:val="28"/>
          <w:shd w:val="clear" w:color="auto" w:fill="FFFFFF"/>
        </w:rPr>
        <w:t>𦰡</w:t>
      </w:r>
      <w:r>
        <w:rPr>
          <w:rFonts w:hint="eastAsia" w:ascii="仿宋_GB2312" w:eastAsia="仿宋_GB2312"/>
          <w:sz w:val="32"/>
          <w:szCs w:val="32"/>
        </w:rPr>
        <w:t>溪乡宝瑶村、新宁县</w:t>
      </w:r>
      <w:r>
        <w:rPr>
          <w:rFonts w:hint="eastAsia" w:ascii="仿宋_GB2312"/>
          <w:sz w:val="32"/>
          <w:szCs w:val="32"/>
        </w:rPr>
        <w:t>崀</w:t>
      </w:r>
      <w:r>
        <w:rPr>
          <w:rFonts w:hint="eastAsia" w:ascii="仿宋_GB2312" w:eastAsia="仿宋_GB2312"/>
          <w:sz w:val="32"/>
          <w:szCs w:val="32"/>
        </w:rPr>
        <w:t>山镇石田村、隆回县虎形山乡白水洞村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岳阳市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临湘市羊楼司镇龙窖山村、屈原区河市镇三河村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常德市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桃源县枫树维回乡维回新村、津市市毛里湖镇青苗社区、石门县南北镇薛家村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张家界市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永定区尹家溪镇马儿山村、武陵源区协合乡龙尾巴居委会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益阳市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资阳区长春镇紫薇村、安化县渠江镇大安村、桃江县大栗港镇刘家村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娄底市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新化县奉家镇下团村、娄星区双江乡洪山村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郴州市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北湖区保和瑶族乡小埠村、安仁县永乐江镇山塘村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永州市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祁阳县茅竹镇三家村、宁远县湾井镇下灌村、双牌县茶林镇桐子坳村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怀化市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通道县坪坦乡皇都村、溆浦县统溪河镇穿岩山村、鹤城区</w:t>
      </w:r>
      <w:r>
        <w:rPr>
          <w:rFonts w:hint="eastAsia" w:ascii="仿宋_GB2312" w:eastAsia="仿宋_GB2312"/>
          <w:sz w:val="32"/>
          <w:szCs w:val="32"/>
          <w:lang w:eastAsia="zh-CN"/>
        </w:rPr>
        <w:t>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岩旅游度假区管理处</w:t>
      </w:r>
      <w:r>
        <w:rPr>
          <w:rFonts w:hint="eastAsia" w:ascii="仿宋_GB2312" w:eastAsia="仿宋_GB2312"/>
          <w:sz w:val="32"/>
          <w:szCs w:val="32"/>
        </w:rPr>
        <w:t>大坪村、会同县高椅乡雪峰村</w:t>
      </w:r>
    </w:p>
    <w:p>
      <w:pPr>
        <w:spacing w:line="600" w:lineRule="exact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湘西州</w:t>
      </w:r>
    </w:p>
    <w:p>
      <w:pPr>
        <w:spacing w:line="600" w:lineRule="exact"/>
        <w:ind w:firstLine="62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泸溪县浦市镇马王溪村、永顺县灵溪镇司城村、凤凰县麻冲乡竹山村</w:t>
      </w:r>
    </w:p>
    <w:p>
      <w:pPr>
        <w:snapToGrid w:val="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061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湖南省文化和旅游厅办公室                    2019年12月27日印发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2098" w:right="1531" w:bottom="1531" w:left="1531" w:header="1134" w:footer="1021" w:gutter="0"/>
      <w:pgNumType w:fmt="numberInDash"/>
      <w:cols w:space="720" w:num="1"/>
      <w:titlePg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- 4 -</w:t>
    </w:r>
    <w:r>
      <w:rPr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framePr w:wrap="around" w:vAnchor="text" w:hAnchor="margin" w:xAlign="right" w:y="1"/>
      <w:ind w:right="360"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2E60"/>
    <w:rsid w:val="47AA3A92"/>
    <w:rsid w:val="4B592DF6"/>
    <w:rsid w:val="54B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2019-12-27T07:54:00Z</dcterms:created>
  <dc:creator>熊</dc:creator>
  <cp:lastModifiedBy>熊</cp:lastModifiedBy>
  <dcterms:modified xsi:type="dcterms:W3CDTF">2019-12-27T08:38:48Z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