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520" w:lineRule="exact"/>
        <w:rPr>
          <w:rFonts w:ascii="黑体" w:eastAsia="黑体" w:cs="Times New Roman"/>
          <w:sz w:val="44"/>
          <w:szCs w:val="44"/>
        </w:rPr>
      </w:pPr>
    </w:p>
    <w:p>
      <w:pPr>
        <w:spacing w:line="520" w:lineRule="exact"/>
        <w:ind w:left="0"/>
        <w:jc w:val="center"/>
        <w:rPr>
          <w:rFonts w:hint="eastAsia" w:ascii="仿宋_GB2312" w:eastAsia="仿宋_GB2312" w:cs="Times New Roman"/>
          <w:sz w:val="32"/>
          <w:szCs w:val="32"/>
        </w:rPr>
      </w:pPr>
      <w:r>
        <w:rPr>
          <w:rFonts w:hint="eastAsia" w:ascii="黑体" w:eastAsia="黑体"/>
          <w:sz w:val="44"/>
          <w:szCs w:val="44"/>
        </w:rPr>
        <w:t>湖南省文化和旅游厅</w:t>
      </w:r>
    </w:p>
    <w:p>
      <w:pPr>
        <w:spacing w:line="520" w:lineRule="exact"/>
        <w:jc w:val="center"/>
        <w:rPr>
          <w:rFonts w:ascii="黑体" w:eastAsia="黑体"/>
          <w:sz w:val="44"/>
          <w:szCs w:val="44"/>
        </w:rPr>
      </w:pPr>
      <w:r>
        <w:rPr>
          <w:rFonts w:hint="eastAsia" w:ascii="黑体" w:eastAsia="黑体"/>
          <w:sz w:val="44"/>
          <w:szCs w:val="44"/>
        </w:rPr>
        <w:t>关于</w:t>
      </w:r>
      <w:r>
        <w:rPr>
          <w:rFonts w:hint="eastAsia" w:ascii="黑体" w:eastAsia="黑体" w:cs="仿宋_GB2312"/>
          <w:sz w:val="44"/>
          <w:szCs w:val="44"/>
        </w:rPr>
        <w:t>《湖南省文化生态旅游融合发展精品线路旅行社送客入村奖励办法》实施情况分析</w:t>
      </w:r>
      <w:r>
        <w:rPr>
          <w:rFonts w:hint="eastAsia" w:ascii="黑体" w:eastAsia="黑体"/>
          <w:sz w:val="44"/>
          <w:szCs w:val="44"/>
        </w:rPr>
        <w:t>报告服务项目采购任务书</w:t>
      </w:r>
    </w:p>
    <w:p>
      <w:pPr>
        <w:spacing w:line="520" w:lineRule="exact"/>
        <w:jc w:val="center"/>
        <w:rPr>
          <w:rFonts w:hint="eastAsia" w:ascii="黑体" w:eastAsia="黑体"/>
          <w:sz w:val="44"/>
          <w:szCs w:val="44"/>
        </w:rPr>
      </w:pPr>
    </w:p>
    <w:p>
      <w:pPr>
        <w:pStyle w:val="10"/>
        <w:autoSpaceDE w:val="0"/>
        <w:autoSpaceDN w:val="0"/>
        <w:adjustRightInd w:val="0"/>
        <w:spacing w:line="520" w:lineRule="exact"/>
        <w:rPr>
          <w:rFonts w:hint="eastAsia" w:ascii="黑体" w:eastAsia="黑体" w:cs="宋体"/>
          <w:kern w:val="0"/>
          <w:sz w:val="32"/>
          <w:szCs w:val="32"/>
        </w:rPr>
      </w:pPr>
      <w:r>
        <w:rPr>
          <w:rFonts w:hint="eastAsia" w:ascii="黑体" w:eastAsia="黑体" w:cs="宋体"/>
          <w:kern w:val="0"/>
          <w:sz w:val="32"/>
          <w:szCs w:val="32"/>
        </w:rPr>
        <w:t>一、项目背景</w:t>
      </w:r>
    </w:p>
    <w:p>
      <w:pPr>
        <w:spacing w:line="520" w:lineRule="exact"/>
        <w:ind w:firstLine="640" w:firstLineChars="200"/>
        <w:rPr>
          <w:rFonts w:ascii="仿宋" w:eastAsia="仿宋" w:cs="仿宋"/>
          <w:sz w:val="32"/>
          <w:szCs w:val="32"/>
        </w:rPr>
      </w:pPr>
      <w:r>
        <w:rPr>
          <w:rFonts w:hint="eastAsia" w:ascii="仿宋_GB2312" w:eastAsia="仿宋_GB2312" w:cs="宋体"/>
          <w:kern w:val="0"/>
          <w:sz w:val="32"/>
          <w:szCs w:val="32"/>
        </w:rPr>
        <w:t>湖南省文化生态旅游精品线路的旅行社送客入村奖励工作自实施以来取得显著成绩，在2019年-202</w:t>
      </w:r>
      <w:r>
        <w:rPr>
          <w:rFonts w:ascii="仿宋_GB2312" w:eastAsia="仿宋_GB2312" w:cs="宋体"/>
          <w:kern w:val="0"/>
          <w:sz w:val="32"/>
          <w:szCs w:val="32"/>
        </w:rPr>
        <w:t>1</w:t>
      </w:r>
      <w:r>
        <w:rPr>
          <w:rFonts w:hint="eastAsia" w:ascii="仿宋_GB2312" w:eastAsia="仿宋_GB2312" w:cs="宋体"/>
          <w:kern w:val="0"/>
          <w:sz w:val="32"/>
          <w:szCs w:val="32"/>
        </w:rPr>
        <w:t>年</w:t>
      </w:r>
      <w:r>
        <w:rPr>
          <w:rFonts w:ascii="仿宋_GB2312" w:eastAsia="仿宋_GB2312" w:cs="宋体"/>
          <w:kern w:val="0"/>
          <w:sz w:val="32"/>
          <w:szCs w:val="32"/>
        </w:rPr>
        <w:t>上半年</w:t>
      </w:r>
      <w:r>
        <w:rPr>
          <w:rFonts w:hint="eastAsia" w:ascii="仿宋_GB2312" w:eastAsia="仿宋_GB2312" w:cs="宋体"/>
          <w:kern w:val="0"/>
          <w:sz w:val="32"/>
          <w:szCs w:val="32"/>
        </w:rPr>
        <w:t>期间，</w:t>
      </w:r>
      <w:r>
        <w:rPr>
          <w:rFonts w:hint="eastAsia" w:ascii="仿宋" w:eastAsia="仿宋" w:cs="仿宋"/>
          <w:sz w:val="32"/>
          <w:szCs w:val="32"/>
        </w:rPr>
        <w:t>总计</w:t>
      </w:r>
      <w:r>
        <w:rPr>
          <w:rFonts w:ascii="仿宋" w:eastAsia="仿宋" w:cs="仿宋"/>
          <w:sz w:val="32"/>
          <w:szCs w:val="32"/>
        </w:rPr>
        <w:t>3</w:t>
      </w:r>
      <w:r>
        <w:rPr>
          <w:rFonts w:hint="eastAsia" w:ascii="仿宋" w:eastAsia="仿宋" w:cs="仿宋"/>
          <w:sz w:val="32"/>
          <w:szCs w:val="32"/>
          <w:lang w:val="en-US" w:eastAsia="zh-CN"/>
        </w:rPr>
        <w:t>87</w:t>
      </w:r>
      <w:r>
        <w:rPr>
          <w:rFonts w:ascii="仿宋" w:eastAsia="仿宋" w:cs="仿宋"/>
          <w:sz w:val="32"/>
          <w:szCs w:val="32"/>
        </w:rPr>
        <w:t>家旅行社在大湘西、大湘东共13条精品线路上发团</w:t>
      </w:r>
      <w:r>
        <w:rPr>
          <w:rFonts w:hint="eastAsia" w:ascii="仿宋" w:eastAsia="仿宋" w:cs="仿宋"/>
          <w:sz w:val="32"/>
          <w:szCs w:val="32"/>
          <w:lang w:val="en-US" w:eastAsia="zh-CN"/>
        </w:rPr>
        <w:t>69710</w:t>
      </w:r>
      <w:r>
        <w:rPr>
          <w:rFonts w:ascii="仿宋" w:eastAsia="仿宋" w:cs="仿宋"/>
          <w:sz w:val="32"/>
          <w:szCs w:val="32"/>
        </w:rPr>
        <w:t>次，精准送到特色村镇的游客达</w:t>
      </w:r>
      <w:r>
        <w:rPr>
          <w:rFonts w:hint="eastAsia" w:ascii="仿宋" w:eastAsia="仿宋" w:cs="仿宋"/>
          <w:sz w:val="32"/>
          <w:szCs w:val="32"/>
          <w:lang w:val="en-US" w:eastAsia="zh-CN"/>
        </w:rPr>
        <w:t>278.7</w:t>
      </w:r>
      <w:r>
        <w:rPr>
          <w:rFonts w:ascii="仿宋" w:eastAsia="仿宋" w:cs="仿宋"/>
          <w:sz w:val="32"/>
          <w:szCs w:val="32"/>
        </w:rPr>
        <w:t>万人，参与游客接待的特色村镇</w:t>
      </w:r>
      <w:r>
        <w:rPr>
          <w:rFonts w:hint="eastAsia" w:ascii="仿宋" w:eastAsia="仿宋" w:cs="仿宋"/>
          <w:sz w:val="32"/>
          <w:szCs w:val="32"/>
        </w:rPr>
        <w:t>27</w:t>
      </w:r>
      <w:r>
        <w:rPr>
          <w:rFonts w:hint="eastAsia" w:ascii="仿宋" w:eastAsia="仿宋" w:cs="仿宋"/>
          <w:sz w:val="32"/>
          <w:szCs w:val="32"/>
          <w:lang w:val="en-US" w:eastAsia="zh-CN"/>
        </w:rPr>
        <w:t>8</w:t>
      </w:r>
      <w:r>
        <w:rPr>
          <w:rFonts w:ascii="仿宋" w:eastAsia="仿宋" w:cs="仿宋"/>
          <w:sz w:val="32"/>
          <w:szCs w:val="32"/>
        </w:rPr>
        <w:t>个，旅行社直接经济收入</w:t>
      </w:r>
      <w:r>
        <w:rPr>
          <w:rFonts w:hint="eastAsia" w:ascii="仿宋" w:eastAsia="仿宋" w:cs="仿宋"/>
          <w:sz w:val="32"/>
          <w:szCs w:val="32"/>
          <w:lang w:val="en-US" w:eastAsia="zh-CN"/>
        </w:rPr>
        <w:t>7.53</w:t>
      </w:r>
      <w:r>
        <w:rPr>
          <w:rFonts w:ascii="仿宋" w:eastAsia="仿宋" w:cs="仿宋"/>
          <w:sz w:val="32"/>
          <w:szCs w:val="32"/>
        </w:rPr>
        <w:t>亿元，带动文旅相关产业消费</w:t>
      </w:r>
      <w:r>
        <w:rPr>
          <w:rFonts w:hint="eastAsia" w:ascii="仿宋" w:eastAsia="仿宋" w:cs="仿宋"/>
          <w:sz w:val="32"/>
          <w:szCs w:val="32"/>
          <w:lang w:val="en-US" w:eastAsia="zh-CN"/>
        </w:rPr>
        <w:t>176.17</w:t>
      </w:r>
      <w:r>
        <w:rPr>
          <w:rFonts w:ascii="仿宋" w:eastAsia="仿宋" w:cs="仿宋"/>
          <w:sz w:val="32"/>
          <w:szCs w:val="32"/>
        </w:rPr>
        <w:t>亿元</w:t>
      </w:r>
      <w:r>
        <w:rPr>
          <w:rFonts w:ascii="仿宋_GB2312" w:eastAsia="仿宋_GB2312" w:cs="宋体"/>
          <w:kern w:val="0"/>
          <w:sz w:val="32"/>
          <w:szCs w:val="32"/>
        </w:rPr>
        <w:t>。</w:t>
      </w:r>
      <w:r>
        <w:rPr>
          <w:rFonts w:hint="eastAsia" w:ascii="仿宋_GB2312" w:eastAsia="仿宋_GB2312" w:cs="宋体"/>
          <w:kern w:val="0"/>
          <w:sz w:val="32"/>
          <w:szCs w:val="32"/>
        </w:rPr>
        <w:t>该项工作获得了社会上各方面高度认同，并</w:t>
      </w:r>
      <w:r>
        <w:rPr>
          <w:rFonts w:hint="eastAsia" w:ascii="仿宋_GB2312" w:eastAsia="仿宋_GB2312" w:cs="仿宋"/>
          <w:sz w:val="32"/>
          <w:szCs w:val="32"/>
        </w:rPr>
        <w:t>被中国旅游产业影响力风云榜评为“中国旅游影响力年度营销推广活动”</w:t>
      </w:r>
      <w:r>
        <w:rPr>
          <w:rFonts w:hint="eastAsia" w:ascii="仿宋_GB2312" w:eastAsia="仿宋_GB2312" w:cs="宋体"/>
          <w:kern w:val="0"/>
          <w:sz w:val="32"/>
          <w:szCs w:val="32"/>
        </w:rPr>
        <w:t>。为准确掌握旅行社送客入村工作所带动的经济效益情况，尤其是在发挥促进乡村振兴方面的作用，进一步研究旅行社送客入村工作方式方法，省文旅厅拟邀请第三方机构提供咨询服务，通过特色村镇现场调研和平台数据精准分析，从游客消费、旅行社收益、特色村镇带动效果等多方面研究，出具湖南省旅行社送客入村工作运行报告，为湖南文旅产业发展和助力乡村振兴战略提供科学依据。</w:t>
      </w:r>
    </w:p>
    <w:p>
      <w:pPr>
        <w:pStyle w:val="10"/>
        <w:autoSpaceDE w:val="0"/>
        <w:autoSpaceDN w:val="0"/>
        <w:adjustRightInd w:val="0"/>
        <w:spacing w:line="520" w:lineRule="exact"/>
        <w:rPr>
          <w:rFonts w:hint="eastAsia" w:ascii="黑体" w:eastAsia="黑体" w:cs="宋体"/>
          <w:kern w:val="0"/>
          <w:sz w:val="32"/>
          <w:szCs w:val="32"/>
        </w:rPr>
      </w:pPr>
      <w:r>
        <w:rPr>
          <w:rFonts w:hint="eastAsia" w:ascii="黑体" w:eastAsia="黑体" w:cs="宋体"/>
          <w:kern w:val="0"/>
          <w:sz w:val="32"/>
          <w:szCs w:val="32"/>
        </w:rPr>
        <w:t>二、项目名称</w:t>
      </w:r>
    </w:p>
    <w:p>
      <w:pPr>
        <w:pStyle w:val="10"/>
        <w:autoSpaceDE w:val="0"/>
        <w:autoSpaceDN w:val="0"/>
        <w:adjustRightInd w:val="0"/>
        <w:spacing w:line="520" w:lineRule="exact"/>
        <w:rPr>
          <w:rFonts w:ascii="仿宋_GB2312" w:eastAsia="仿宋_GB2312"/>
          <w:sz w:val="32"/>
          <w:szCs w:val="32"/>
        </w:rPr>
      </w:pPr>
      <w:r>
        <w:rPr>
          <w:rFonts w:hint="eastAsia" w:ascii="仿宋_GB2312" w:eastAsia="仿宋_GB2312" w:cs="仿宋_GB2312"/>
          <w:sz w:val="32"/>
          <w:szCs w:val="32"/>
        </w:rPr>
        <w:t>《湖南省文化生态旅游融合发展精品线路旅行社送客入村奖励办法》实施情况调研分析</w:t>
      </w:r>
      <w:r>
        <w:rPr>
          <w:rFonts w:hint="eastAsia" w:ascii="仿宋_GB2312" w:eastAsia="仿宋_GB2312"/>
          <w:sz w:val="32"/>
          <w:szCs w:val="32"/>
        </w:rPr>
        <w:t>报告服务项目</w:t>
      </w:r>
    </w:p>
    <w:p>
      <w:pPr>
        <w:pStyle w:val="10"/>
        <w:autoSpaceDE w:val="0"/>
        <w:autoSpaceDN w:val="0"/>
        <w:adjustRightInd w:val="0"/>
        <w:spacing w:line="520" w:lineRule="exact"/>
        <w:rPr>
          <w:rFonts w:hint="eastAsia" w:ascii="黑体" w:eastAsia="黑体" w:cs="宋体"/>
          <w:kern w:val="0"/>
          <w:sz w:val="32"/>
          <w:szCs w:val="32"/>
        </w:rPr>
      </w:pPr>
      <w:r>
        <w:rPr>
          <w:rFonts w:hint="eastAsia" w:ascii="黑体" w:eastAsia="黑体" w:cs="宋体"/>
          <w:kern w:val="0"/>
          <w:sz w:val="32"/>
          <w:szCs w:val="32"/>
        </w:rPr>
        <w:t>三、采购预算</w:t>
      </w:r>
    </w:p>
    <w:p>
      <w:pPr>
        <w:spacing w:line="52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人民币</w:t>
      </w:r>
      <w:r>
        <w:rPr>
          <w:rFonts w:ascii="仿宋_GB2312" w:eastAsia="仿宋_GB2312" w:cs="宋体"/>
          <w:kern w:val="0"/>
          <w:sz w:val="32"/>
          <w:szCs w:val="32"/>
        </w:rPr>
        <w:t>12</w:t>
      </w:r>
      <w:r>
        <w:rPr>
          <w:rFonts w:hint="eastAsia" w:ascii="仿宋_GB2312" w:eastAsia="仿宋_GB2312" w:cs="宋体"/>
          <w:kern w:val="0"/>
          <w:sz w:val="32"/>
          <w:szCs w:val="32"/>
        </w:rPr>
        <w:t>万元以内</w:t>
      </w:r>
    </w:p>
    <w:p>
      <w:pPr>
        <w:pStyle w:val="10"/>
        <w:autoSpaceDE w:val="0"/>
        <w:autoSpaceDN w:val="0"/>
        <w:adjustRightInd w:val="0"/>
        <w:spacing w:line="520" w:lineRule="exact"/>
        <w:rPr>
          <w:rFonts w:hint="eastAsia" w:ascii="黑体" w:eastAsia="黑体" w:cs="宋体"/>
          <w:kern w:val="0"/>
          <w:sz w:val="32"/>
          <w:szCs w:val="32"/>
        </w:rPr>
      </w:pPr>
      <w:r>
        <w:rPr>
          <w:rFonts w:hint="eastAsia" w:ascii="黑体" w:eastAsia="黑体" w:cs="宋体"/>
          <w:kern w:val="0"/>
          <w:sz w:val="32"/>
          <w:szCs w:val="32"/>
        </w:rPr>
        <w:t>四、采购内容</w:t>
      </w:r>
    </w:p>
    <w:p>
      <w:pPr>
        <w:pStyle w:val="10"/>
        <w:numPr>
          <w:ilvl w:val="0"/>
          <w:numId w:val="1"/>
        </w:numPr>
        <w:autoSpaceDE w:val="0"/>
        <w:autoSpaceDN w:val="0"/>
        <w:adjustRightInd w:val="0"/>
        <w:spacing w:line="520" w:lineRule="exact"/>
        <w:ind w:firstLineChars="0"/>
        <w:rPr>
          <w:rFonts w:hint="eastAsia" w:ascii="仿宋_GB2312" w:eastAsia="仿宋_GB2312" w:cs="宋体"/>
          <w:b/>
          <w:bCs/>
          <w:kern w:val="0"/>
          <w:sz w:val="32"/>
          <w:szCs w:val="32"/>
        </w:rPr>
      </w:pPr>
      <w:r>
        <w:rPr>
          <w:rFonts w:hint="eastAsia" w:ascii="仿宋_GB2312" w:eastAsia="仿宋_GB2312" w:cs="宋体"/>
          <w:b/>
          <w:bCs/>
          <w:kern w:val="0"/>
          <w:sz w:val="32"/>
          <w:szCs w:val="32"/>
        </w:rPr>
        <w:t>分析数据，出具总体数据研究报告</w:t>
      </w:r>
    </w:p>
    <w:p>
      <w:pPr>
        <w:spacing w:line="52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结合近两年多的“送客入村”申报数据，研究送客入村游客画像、接待村镇特征、旅行社行为、地方配套政策等数据信息，解析湖南省“送客入村”总体情况和工作开展中存在的问题，并从政府、旅行社、特色村镇等角度给出“送客入村”下一步工作的指导意见和实施方法。</w:t>
      </w:r>
    </w:p>
    <w:p>
      <w:pPr>
        <w:pStyle w:val="10"/>
        <w:autoSpaceDE w:val="0"/>
        <w:autoSpaceDN w:val="0"/>
        <w:adjustRightInd w:val="0"/>
        <w:spacing w:line="520" w:lineRule="exact"/>
        <w:ind w:left="425" w:firstLine="0" w:firstLineChars="0"/>
        <w:rPr>
          <w:rFonts w:hint="eastAsia" w:ascii="仿宋_GB2312" w:eastAsia="仿宋_GB2312" w:cs="宋体"/>
          <w:b/>
          <w:bCs/>
          <w:kern w:val="0"/>
          <w:sz w:val="32"/>
          <w:szCs w:val="32"/>
        </w:rPr>
      </w:pPr>
      <w:r>
        <w:rPr>
          <w:rFonts w:ascii="仿宋_GB2312" w:eastAsia="仿宋_GB2312" w:cs="宋体"/>
          <w:b/>
          <w:bCs/>
          <w:kern w:val="0"/>
          <w:sz w:val="32"/>
          <w:szCs w:val="32"/>
        </w:rPr>
        <w:t>（二）</w:t>
      </w:r>
      <w:r>
        <w:rPr>
          <w:rFonts w:hint="eastAsia" w:ascii="仿宋_GB2312" w:eastAsia="仿宋_GB2312" w:cs="宋体"/>
          <w:b/>
          <w:bCs/>
          <w:kern w:val="0"/>
          <w:sz w:val="32"/>
          <w:szCs w:val="32"/>
        </w:rPr>
        <w:t>现场调研，提出助力乡村振兴策略</w:t>
      </w:r>
    </w:p>
    <w:p>
      <w:pPr>
        <w:spacing w:line="52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根据近两年</w:t>
      </w:r>
      <w:r>
        <w:rPr>
          <w:rFonts w:ascii="仿宋_GB2312" w:eastAsia="仿宋_GB2312" w:cs="宋体"/>
          <w:kern w:val="0"/>
          <w:sz w:val="32"/>
          <w:szCs w:val="32"/>
        </w:rPr>
        <w:t>多</w:t>
      </w:r>
      <w:r>
        <w:rPr>
          <w:rFonts w:hint="eastAsia" w:ascii="仿宋_GB2312" w:eastAsia="仿宋_GB2312" w:cs="宋体"/>
          <w:kern w:val="0"/>
          <w:sz w:val="32"/>
          <w:szCs w:val="32"/>
        </w:rPr>
        <w:t>的“送客入村”接待数据，遴选出</w:t>
      </w:r>
      <w:r>
        <w:rPr>
          <w:rFonts w:ascii="仿宋_GB2312" w:eastAsia="仿宋_GB2312" w:cs="宋体"/>
          <w:kern w:val="0"/>
          <w:sz w:val="32"/>
          <w:szCs w:val="32"/>
        </w:rPr>
        <w:t>6</w:t>
      </w:r>
      <w:r>
        <w:rPr>
          <w:rFonts w:hint="eastAsia" w:ascii="仿宋_GB2312" w:eastAsia="仿宋_GB2312" w:cs="宋体"/>
          <w:kern w:val="0"/>
          <w:sz w:val="32"/>
          <w:szCs w:val="32"/>
        </w:rPr>
        <w:t>个具有代表性、研究性、推广性的特色村镇，组织对其游客服务中心、交通、餐饮、住宿、厕所基础设施及旅游产品、营销政策等综合方面进行调研，提供大湘西地区精品线路的提质改造意见。利用研究获得的旅行社送客入村成果数据，结合湖南文旅产业发展方向，提出湖南文旅在“十四五”期间如何利用“送客入村”助力乡村振兴策略，包括面向全省开展“送客入村”的政策文件、实施路径、资金来源、效益预估、宣传推广、监管方式等具有操作性的建议书。</w:t>
      </w:r>
    </w:p>
    <w:p>
      <w:pPr>
        <w:spacing w:line="52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w:t>
      </w:r>
      <w:r>
        <w:rPr>
          <w:rFonts w:ascii="仿宋_GB2312" w:eastAsia="仿宋_GB2312" w:cs="宋体"/>
          <w:kern w:val="0"/>
          <w:sz w:val="32"/>
          <w:szCs w:val="32"/>
        </w:rPr>
        <w:t>三</w:t>
      </w:r>
      <w:r>
        <w:rPr>
          <w:rFonts w:hint="eastAsia" w:ascii="仿宋_GB2312" w:eastAsia="仿宋_GB2312" w:cs="宋体"/>
          <w:kern w:val="0"/>
          <w:sz w:val="32"/>
          <w:szCs w:val="32"/>
        </w:rPr>
        <w:t>）</w:t>
      </w:r>
      <w:r>
        <w:rPr>
          <w:rFonts w:hint="eastAsia" w:ascii="仿宋_GB2312" w:eastAsia="仿宋_GB2312" w:cs="宋体"/>
          <w:b/>
          <w:bCs/>
          <w:kern w:val="0"/>
          <w:sz w:val="32"/>
          <w:szCs w:val="32"/>
        </w:rPr>
        <w:t>宣传推广，全面推动“送客入村”工作</w:t>
      </w:r>
    </w:p>
    <w:p>
      <w:pPr>
        <w:spacing w:line="52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在省级以上主流媒体</w:t>
      </w:r>
      <w:r>
        <w:rPr>
          <w:rFonts w:hint="eastAsia" w:ascii="仿宋_GB2312" w:eastAsia="仿宋_GB2312" w:cs="仿宋_GB2312"/>
          <w:kern w:val="2"/>
          <w:sz w:val="32"/>
          <w:szCs w:val="32"/>
        </w:rPr>
        <w:t>报道</w:t>
      </w:r>
      <w:r>
        <w:rPr>
          <w:rFonts w:hint="eastAsia" w:ascii="仿宋_GB2312" w:eastAsia="仿宋_GB2312" w:cs="仿宋_GB2312"/>
          <w:sz w:val="32"/>
          <w:szCs w:val="32"/>
        </w:rPr>
        <w:t>“送客入村”相关情况，宣传</w:t>
      </w:r>
      <w:r>
        <w:rPr>
          <w:rFonts w:hint="eastAsia" w:ascii="仿宋_GB2312" w:eastAsia="仿宋_GB2312" w:cs="仿宋_GB2312"/>
          <w:kern w:val="2"/>
          <w:sz w:val="32"/>
          <w:szCs w:val="32"/>
        </w:rPr>
        <w:t>“送客入村”的新经验好方法，特色村发展文化旅游的新变化或需要帮助解决的问题，</w:t>
      </w:r>
      <w:r>
        <w:rPr>
          <w:rFonts w:hint="eastAsia" w:ascii="仿宋_GB2312" w:eastAsia="仿宋_GB2312" w:cs="仿宋_GB2312"/>
          <w:sz w:val="32"/>
          <w:szCs w:val="32"/>
        </w:rPr>
        <w:t>推广大湘西、大湘东文化生态旅游精品线路。</w:t>
      </w:r>
    </w:p>
    <w:p>
      <w:pPr>
        <w:pStyle w:val="10"/>
        <w:autoSpaceDE w:val="0"/>
        <w:autoSpaceDN w:val="0"/>
        <w:adjustRightInd w:val="0"/>
        <w:spacing w:line="520" w:lineRule="exact"/>
        <w:rPr>
          <w:rFonts w:hint="eastAsia" w:ascii="黑体" w:eastAsia="黑体" w:cs="宋体"/>
          <w:kern w:val="0"/>
          <w:sz w:val="32"/>
          <w:szCs w:val="32"/>
        </w:rPr>
      </w:pPr>
      <w:r>
        <w:rPr>
          <w:rFonts w:hint="eastAsia" w:ascii="黑体" w:eastAsia="黑体" w:cs="宋体"/>
          <w:kern w:val="0"/>
          <w:sz w:val="32"/>
          <w:szCs w:val="32"/>
        </w:rPr>
        <w:t>五、相关要求</w:t>
      </w:r>
    </w:p>
    <w:p>
      <w:pPr>
        <w:pStyle w:val="10"/>
        <w:numPr>
          <w:ilvl w:val="0"/>
          <w:numId w:val="2"/>
        </w:numPr>
        <w:autoSpaceDE w:val="0"/>
        <w:autoSpaceDN w:val="0"/>
        <w:adjustRightInd w:val="0"/>
        <w:spacing w:line="520" w:lineRule="exact"/>
        <w:ind w:firstLineChars="0"/>
        <w:rPr>
          <w:rFonts w:hint="eastAsia" w:ascii="仿宋_GB2312" w:eastAsia="仿宋_GB2312" w:cs="宋体"/>
          <w:b/>
          <w:bCs/>
          <w:kern w:val="0"/>
          <w:sz w:val="32"/>
          <w:szCs w:val="32"/>
        </w:rPr>
      </w:pPr>
      <w:r>
        <w:rPr>
          <w:rFonts w:hint="eastAsia" w:ascii="仿宋_GB2312" w:eastAsia="仿宋_GB2312" w:cs="宋体"/>
          <w:b/>
          <w:bCs/>
          <w:kern w:val="0"/>
          <w:sz w:val="32"/>
          <w:szCs w:val="32"/>
        </w:rPr>
        <w:t>时间要求</w:t>
      </w:r>
    </w:p>
    <w:p>
      <w:pPr>
        <w:spacing w:line="52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1、签订合同后</w:t>
      </w:r>
      <w:r>
        <w:rPr>
          <w:rFonts w:ascii="仿宋_GB2312" w:eastAsia="仿宋_GB2312" w:cs="宋体"/>
          <w:kern w:val="0"/>
          <w:sz w:val="32"/>
          <w:szCs w:val="32"/>
        </w:rPr>
        <w:t>3</w:t>
      </w:r>
      <w:r>
        <w:rPr>
          <w:rFonts w:hint="eastAsia" w:ascii="仿宋_GB2312" w:eastAsia="仿宋_GB2312" w:cs="宋体"/>
          <w:kern w:val="0"/>
          <w:sz w:val="32"/>
          <w:szCs w:val="32"/>
        </w:rPr>
        <w:t>0天内提交数据分析及效益研究报告。</w:t>
      </w:r>
    </w:p>
    <w:p>
      <w:pPr>
        <w:spacing w:line="520" w:lineRule="exact"/>
        <w:ind w:firstLine="640" w:firstLineChars="200"/>
        <w:rPr>
          <w:rFonts w:ascii="仿宋_GB2312" w:eastAsia="仿宋_GB2312" w:cs="宋体"/>
          <w:kern w:val="0"/>
          <w:sz w:val="32"/>
          <w:szCs w:val="32"/>
        </w:rPr>
      </w:pPr>
      <w:r>
        <w:rPr>
          <w:rFonts w:hint="eastAsia" w:ascii="仿宋_GB2312" w:eastAsia="仿宋_GB2312" w:cs="宋体"/>
          <w:kern w:val="0"/>
          <w:sz w:val="32"/>
          <w:szCs w:val="32"/>
        </w:rPr>
        <w:t>2、数据分析及效益研究报告通过后30天内，完成现场调研并提交报告。</w:t>
      </w:r>
    </w:p>
    <w:p>
      <w:pPr>
        <w:spacing w:line="520" w:lineRule="exact"/>
        <w:ind w:firstLine="640" w:firstLineChars="200"/>
        <w:rPr>
          <w:rFonts w:hint="eastAsia" w:ascii="仿宋_GB2312" w:eastAsia="仿宋_GB2312" w:cs="宋体"/>
          <w:kern w:val="0"/>
          <w:sz w:val="32"/>
          <w:szCs w:val="32"/>
        </w:rPr>
      </w:pPr>
      <w:r>
        <w:rPr>
          <w:rFonts w:ascii="仿宋_GB2312" w:eastAsia="仿宋_GB2312" w:cs="宋体"/>
          <w:kern w:val="0"/>
          <w:sz w:val="32"/>
          <w:szCs w:val="32"/>
        </w:rPr>
        <w:t>3、2021年11月3</w:t>
      </w:r>
      <w:r>
        <w:rPr>
          <w:rFonts w:hint="eastAsia" w:ascii="仿宋_GB2312" w:eastAsia="仿宋_GB2312" w:cs="宋体"/>
          <w:kern w:val="0"/>
          <w:sz w:val="32"/>
          <w:szCs w:val="32"/>
          <w:lang w:val="en-US" w:eastAsia="zh-CN"/>
        </w:rPr>
        <w:t>0</w:t>
      </w:r>
      <w:bookmarkStart w:id="0" w:name="_GoBack"/>
      <w:bookmarkEnd w:id="0"/>
      <w:r>
        <w:rPr>
          <w:rFonts w:ascii="仿宋_GB2312" w:eastAsia="仿宋_GB2312" w:cs="宋体"/>
          <w:kern w:val="0"/>
          <w:sz w:val="32"/>
          <w:szCs w:val="32"/>
        </w:rPr>
        <w:t>日前完成</w:t>
      </w:r>
      <w:r>
        <w:rPr>
          <w:rFonts w:hint="eastAsia" w:ascii="仿宋_GB2312" w:eastAsia="仿宋_GB2312" w:cs="宋体"/>
          <w:kern w:val="0"/>
          <w:sz w:val="32"/>
          <w:szCs w:val="32"/>
        </w:rPr>
        <w:t>宣传报道</w:t>
      </w:r>
      <w:r>
        <w:rPr>
          <w:rFonts w:ascii="仿宋_GB2312" w:eastAsia="仿宋_GB2312" w:cs="宋体"/>
          <w:kern w:val="0"/>
          <w:sz w:val="32"/>
          <w:szCs w:val="32"/>
        </w:rPr>
        <w:t>任务。</w:t>
      </w:r>
    </w:p>
    <w:p>
      <w:pPr>
        <w:pStyle w:val="10"/>
        <w:numPr>
          <w:ilvl w:val="0"/>
          <w:numId w:val="2"/>
        </w:numPr>
        <w:autoSpaceDE w:val="0"/>
        <w:autoSpaceDN w:val="0"/>
        <w:adjustRightInd w:val="0"/>
        <w:spacing w:line="520" w:lineRule="exact"/>
        <w:ind w:firstLineChars="0"/>
        <w:rPr>
          <w:rFonts w:hint="eastAsia" w:ascii="仿宋_GB2312" w:eastAsia="仿宋_GB2312" w:cs="宋体"/>
          <w:b/>
          <w:bCs/>
          <w:kern w:val="0"/>
          <w:sz w:val="32"/>
          <w:szCs w:val="32"/>
        </w:rPr>
      </w:pPr>
      <w:r>
        <w:rPr>
          <w:rFonts w:hint="eastAsia" w:ascii="仿宋_GB2312" w:eastAsia="仿宋_GB2312" w:cs="宋体"/>
          <w:b/>
          <w:bCs/>
          <w:kern w:val="0"/>
          <w:sz w:val="32"/>
          <w:szCs w:val="32"/>
        </w:rPr>
        <w:t>内容要求</w:t>
      </w:r>
    </w:p>
    <w:p>
      <w:pPr>
        <w:spacing w:line="52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1、要求数据分析及效益研究报告对文旅产业发展和市场消费具有一定指导意义，且具有一定真实性、科学性。</w:t>
      </w:r>
    </w:p>
    <w:p>
      <w:pPr>
        <w:spacing w:line="52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2、要求特色村镇提质升级意见书和全省实施“送客入村”建议书具有一定可行性、操作性。</w:t>
      </w:r>
    </w:p>
    <w:p>
      <w:pPr>
        <w:pStyle w:val="10"/>
        <w:numPr>
          <w:ilvl w:val="0"/>
          <w:numId w:val="2"/>
        </w:numPr>
        <w:autoSpaceDE w:val="0"/>
        <w:autoSpaceDN w:val="0"/>
        <w:adjustRightInd w:val="0"/>
        <w:spacing w:line="520" w:lineRule="exact"/>
        <w:ind w:firstLineChars="0"/>
        <w:rPr>
          <w:rFonts w:hint="eastAsia" w:ascii="仿宋_GB2312" w:eastAsia="仿宋_GB2312" w:cs="宋体"/>
          <w:b/>
          <w:bCs/>
          <w:kern w:val="0"/>
          <w:sz w:val="32"/>
          <w:szCs w:val="32"/>
        </w:rPr>
      </w:pPr>
      <w:r>
        <w:rPr>
          <w:rFonts w:hint="eastAsia" w:ascii="仿宋_GB2312" w:eastAsia="仿宋_GB2312" w:cs="宋体"/>
          <w:b/>
          <w:bCs/>
          <w:kern w:val="0"/>
          <w:sz w:val="32"/>
          <w:szCs w:val="32"/>
        </w:rPr>
        <w:t>其他要求</w:t>
      </w:r>
    </w:p>
    <w:p>
      <w:pPr>
        <w:spacing w:line="52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1、“送客入村”数据分析报告的主要数据来源于“游潇湘”精品线路云平台，以及中标方通过其他正规合法渠道获得的参考资料或文献数据。</w:t>
      </w:r>
    </w:p>
    <w:p>
      <w:pPr>
        <w:spacing w:line="52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2、中标方提交成果的所有数据产权、知识产权等，全部归湖南省文化和旅游厅所有，中标单位不得用于其他商业用途或私下在其他渠道发布。</w:t>
      </w:r>
    </w:p>
    <w:p>
      <w:pPr>
        <w:pStyle w:val="10"/>
        <w:autoSpaceDE w:val="0"/>
        <w:autoSpaceDN w:val="0"/>
        <w:adjustRightInd w:val="0"/>
        <w:spacing w:line="520" w:lineRule="exact"/>
        <w:rPr>
          <w:rFonts w:hint="eastAsia" w:ascii="黑体" w:eastAsia="黑体" w:cs="宋体"/>
          <w:kern w:val="0"/>
          <w:sz w:val="32"/>
          <w:szCs w:val="32"/>
        </w:rPr>
      </w:pPr>
      <w:r>
        <w:rPr>
          <w:rFonts w:hint="eastAsia" w:ascii="黑体" w:eastAsia="黑体" w:cs="宋体"/>
          <w:kern w:val="0"/>
          <w:sz w:val="32"/>
          <w:szCs w:val="32"/>
        </w:rPr>
        <w:t>六、交付成果</w:t>
      </w:r>
    </w:p>
    <w:p>
      <w:pPr>
        <w:spacing w:line="52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1、大湘西“送客入村”数据分析及效益研究报告。</w:t>
      </w:r>
    </w:p>
    <w:p>
      <w:pPr>
        <w:spacing w:line="52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2、</w:t>
      </w:r>
      <w:r>
        <w:rPr>
          <w:rFonts w:hint="eastAsia" w:ascii="仿宋_GB2312" w:eastAsia="仿宋_GB2312" w:cs="仿宋_GB2312"/>
          <w:sz w:val="32"/>
          <w:szCs w:val="32"/>
        </w:rPr>
        <w:t>《湖南省文化生态旅游融合发展精品线路旅行社送客入村奖励办法》实施情况分析</w:t>
      </w:r>
      <w:r>
        <w:rPr>
          <w:rFonts w:hint="eastAsia" w:ascii="仿宋_GB2312" w:eastAsia="仿宋_GB2312"/>
          <w:sz w:val="32"/>
          <w:szCs w:val="32"/>
        </w:rPr>
        <w:t>报告</w:t>
      </w:r>
      <w:r>
        <w:rPr>
          <w:rFonts w:ascii="仿宋_GB2312" w:eastAsia="仿宋_GB2312"/>
          <w:sz w:val="32"/>
          <w:szCs w:val="32"/>
        </w:rPr>
        <w:t>。</w:t>
      </w:r>
    </w:p>
    <w:p>
      <w:pPr>
        <w:spacing w:line="520" w:lineRule="exact"/>
        <w:ind w:firstLine="640" w:firstLineChars="200"/>
        <w:rPr>
          <w:rFonts w:hint="eastAsia" w:ascii="仿宋_GB2312" w:eastAsia="仿宋_GB2312" w:cs="宋体"/>
          <w:kern w:val="0"/>
          <w:sz w:val="32"/>
          <w:szCs w:val="32"/>
        </w:rPr>
      </w:pPr>
      <w:r>
        <w:rPr>
          <w:rFonts w:ascii="仿宋_GB2312" w:eastAsia="仿宋_GB2312" w:cs="宋体"/>
          <w:kern w:val="0"/>
          <w:sz w:val="32"/>
          <w:szCs w:val="32"/>
        </w:rPr>
        <w:t>3</w:t>
      </w:r>
      <w:r>
        <w:rPr>
          <w:rFonts w:hint="eastAsia" w:ascii="仿宋_GB2312" w:eastAsia="仿宋_GB2312" w:cs="宋体"/>
          <w:kern w:val="0"/>
          <w:sz w:val="32"/>
          <w:szCs w:val="32"/>
        </w:rPr>
        <w:t>、</w:t>
      </w:r>
      <w:r>
        <w:rPr>
          <w:rFonts w:ascii="仿宋_GB2312" w:eastAsia="仿宋_GB2312" w:cs="宋体"/>
          <w:kern w:val="0"/>
          <w:sz w:val="32"/>
          <w:szCs w:val="32"/>
        </w:rPr>
        <w:t>6篇</w:t>
      </w:r>
      <w:r>
        <w:rPr>
          <w:rFonts w:hint="eastAsia" w:ascii="仿宋_GB2312" w:eastAsia="仿宋_GB2312" w:cs="宋体"/>
          <w:kern w:val="0"/>
          <w:sz w:val="32"/>
          <w:szCs w:val="32"/>
        </w:rPr>
        <w:t>“送客入村”工作宣传报道。</w:t>
      </w:r>
    </w:p>
    <w:p>
      <w:pPr>
        <w:pStyle w:val="10"/>
        <w:autoSpaceDE w:val="0"/>
        <w:autoSpaceDN w:val="0"/>
        <w:adjustRightInd w:val="0"/>
        <w:spacing w:line="520" w:lineRule="exact"/>
        <w:rPr>
          <w:rFonts w:hint="eastAsia" w:ascii="黑体" w:eastAsia="黑体" w:cs="宋体"/>
          <w:kern w:val="0"/>
          <w:sz w:val="32"/>
          <w:szCs w:val="32"/>
        </w:rPr>
      </w:pPr>
      <w:r>
        <w:rPr>
          <w:rFonts w:hint="eastAsia" w:ascii="黑体" w:eastAsia="黑体" w:cs="宋体"/>
          <w:kern w:val="0"/>
          <w:sz w:val="32"/>
          <w:szCs w:val="32"/>
        </w:rPr>
        <w:t>七、验收方式</w:t>
      </w:r>
    </w:p>
    <w:p>
      <w:pPr>
        <w:spacing w:line="52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1、组织行业专家对中标方提交的项目成果进行综合评审，根据专家评审意见确定是否通过验收。</w:t>
      </w:r>
    </w:p>
    <w:p>
      <w:pPr>
        <w:spacing w:line="520" w:lineRule="exact"/>
        <w:ind w:firstLine="640" w:firstLineChars="200"/>
        <w:rPr>
          <w:rFonts w:ascii="仿宋_GB2312" w:eastAsia="仿宋_GB2312" w:cs="宋体"/>
          <w:kern w:val="0"/>
          <w:sz w:val="32"/>
          <w:szCs w:val="32"/>
        </w:rPr>
        <w:sectPr>
          <w:footerReference r:id="rId3" w:type="default"/>
          <w:pgSz w:w="11900" w:h="16840"/>
          <w:pgMar w:top="1440" w:right="1800" w:bottom="1440" w:left="1800" w:header="851" w:footer="992" w:gutter="0"/>
          <w:pgNumType w:fmt="numberInDash"/>
          <w:cols w:space="720" w:num="1"/>
          <w:docGrid w:type="lines" w:linePitch="312" w:charSpace="0"/>
        </w:sectPr>
      </w:pPr>
      <w:r>
        <w:rPr>
          <w:rFonts w:hint="eastAsia" w:ascii="仿宋_GB2312" w:eastAsia="仿宋_GB2312" w:cs="宋体"/>
          <w:kern w:val="0"/>
          <w:sz w:val="32"/>
          <w:szCs w:val="32"/>
        </w:rPr>
        <w:t>2、采购方负责邀请相关专家，评审工作中发生的有关场地费、劳务费等费用由中标方负责承担。</w:t>
      </w:r>
    </w:p>
    <w:p>
      <w:pPr>
        <w:pStyle w:val="10"/>
        <w:autoSpaceDE w:val="0"/>
        <w:autoSpaceDN w:val="0"/>
        <w:adjustRightInd w:val="0"/>
        <w:spacing w:line="520" w:lineRule="exact"/>
        <w:ind w:left="0" w:firstLine="0" w:firstLineChars="0"/>
        <w:rPr>
          <w:rFonts w:hint="eastAsia" w:ascii="黑体" w:eastAsia="黑体" w:cs="宋体"/>
          <w:kern w:val="0"/>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PAGE   \* MERGEFORMAT</w:instrText>
    </w:r>
    <w:r>
      <w:rPr>
        <w:rFonts w:hint="eastAsia" w:ascii="仿宋_GB2312" w:eastAsia="仿宋_GB2312"/>
        <w:sz w:val="32"/>
        <w:szCs w:val="32"/>
      </w:rPr>
      <w:fldChar w:fldCharType="separate"/>
    </w:r>
    <w:r>
      <w:rPr>
        <w:rFonts w:ascii="仿宋_GB2312" w:eastAsia="仿宋_GB2312"/>
        <w:sz w:val="32"/>
        <w:szCs w:val="32"/>
        <w:lang w:val="zh-CN"/>
      </w:rPr>
      <w:t>-</w:t>
    </w:r>
    <w:r>
      <w:rPr>
        <w:rFonts w:ascii="仿宋_GB2312" w:eastAsia="仿宋_GB2312"/>
        <w:sz w:val="32"/>
        <w:szCs w:val="32"/>
      </w:rPr>
      <w:t xml:space="preserve"> 3 -</w:t>
    </w:r>
    <w:r>
      <w:rPr>
        <w:rFonts w:hint="eastAsia" w:ascii="仿宋_GB2312" w:eastAsia="仿宋_GB2312"/>
        <w:sz w:val="32"/>
        <w:szCs w:val="32"/>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257A94"/>
    <w:multiLevelType w:val="multilevel"/>
    <w:tmpl w:val="09257A94"/>
    <w:lvl w:ilvl="0" w:tentative="0">
      <w:start w:val="1"/>
      <w:numFmt w:val="japaneseCounting"/>
      <w:lvlText w:val="（%1）"/>
      <w:lvlJc w:val="left"/>
      <w:pPr>
        <w:tabs>
          <w:tab w:val="left" w:pos="0"/>
        </w:tabs>
        <w:ind w:left="1505" w:hanging="1080"/>
      </w:pPr>
      <w:rPr>
        <w:rFonts w:hint="default"/>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
    <w:nsid w:val="5D4D2184"/>
    <w:multiLevelType w:val="multilevel"/>
    <w:tmpl w:val="5D4D2184"/>
    <w:lvl w:ilvl="0" w:tentative="0">
      <w:start w:val="1"/>
      <w:numFmt w:val="japaneseCounting"/>
      <w:lvlText w:val="（%1）"/>
      <w:lvlJc w:val="left"/>
      <w:pPr>
        <w:tabs>
          <w:tab w:val="left" w:pos="0"/>
        </w:tabs>
        <w:ind w:left="1505" w:hanging="1080"/>
      </w:pPr>
      <w:rPr>
        <w:rFonts w:hint="default"/>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1"/>
  <w:noPunctuationKerning w:val="1"/>
  <w:characterSpacingControl w:val="compressPunctuation"/>
  <w:compat>
    <w:spaceForUL/>
    <w:balanceSingleByteDoubleByteWidth/>
    <w:ulTrailSpace/>
    <w:doNotExpandShiftReturn/>
    <w:adjustLineHeightInTable/>
    <w:useFELayout/>
    <w:doNotUseIndentAsNumberingTabStop/>
    <w:useAltKinsokuLineBreakRules/>
    <w:compatSetting w:name="compatibilityMode" w:uri="http://schemas.microsoft.com/office/word" w:val="14"/>
  </w:compat>
  <w:docVars>
    <w:docVar w:name="commondata" w:val="eyJoZGlkIjoiYmNmYWI4Mjc1MzEzM2MwNTk2ODFhMjkwNjM4NDA3YmYifQ=="/>
  </w:docVars>
  <w:rsids>
    <w:rsidRoot w:val="00000000"/>
    <w:rsid w:val="4F5437F2"/>
    <w:rsid w:val="71B86C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4"/>
      <w:lang w:val="en-US" w:eastAsia="zh-CN" w:bidi="ar-SA"/>
    </w:rPr>
  </w:style>
  <w:style w:type="paragraph" w:styleId="2">
    <w:name w:val="heading 1"/>
    <w:basedOn w:val="1"/>
    <w:next w:val="1"/>
    <w:uiPriority w:val="0"/>
    <w:pPr>
      <w:spacing w:beforeAutospacing="1" w:afterAutospacing="1"/>
      <w:jc w:val="left"/>
      <w:outlineLvl w:val="0"/>
    </w:pPr>
    <w:rPr>
      <w:rFonts w:ascii="宋体" w:eastAsia="宋体" w:cs="Times New Roman"/>
      <w:b/>
      <w:kern w:val="44"/>
      <w:sz w:val="48"/>
      <w:szCs w:val="48"/>
    </w:rPr>
  </w:style>
  <w:style w:type="character" w:default="1" w:styleId="8">
    <w:name w:val="Default Paragraph Font"/>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Body Text"/>
    <w:basedOn w:val="1"/>
    <w:uiPriority w:val="0"/>
    <w:pPr>
      <w:spacing w:after="120"/>
    </w:pPr>
    <w:rPr>
      <w:szCs w:val="22"/>
    </w:rPr>
  </w:style>
  <w:style w:type="paragraph" w:styleId="4">
    <w:name w:val="footer"/>
    <w:uiPriority w:val="0"/>
    <w:pPr>
      <w:widowControl w:val="0"/>
      <w:tabs>
        <w:tab w:val="center" w:pos="4153"/>
        <w:tab w:val="right" w:pos="8306"/>
      </w:tabs>
      <w:snapToGrid w:val="0"/>
      <w:jc w:val="left"/>
    </w:pPr>
    <w:rPr>
      <w:rFonts w:ascii="等线" w:hAnsi="Times New Roman" w:eastAsia="等线" w:cs="Arial"/>
      <w:kern w:val="2"/>
      <w:sz w:val="18"/>
      <w:szCs w:val="18"/>
      <w:lang w:val="en-US" w:eastAsia="zh-CN" w:bidi="ar-SA"/>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spacing w:beforeAutospacing="1" w:afterAutospacing="1"/>
      <w:jc w:val="left"/>
    </w:pPr>
    <w:rPr>
      <w:rFonts w:cs="Times New Roman"/>
      <w:kern w:val="0"/>
      <w:sz w:val="24"/>
    </w:rPr>
  </w:style>
  <w:style w:type="character" w:styleId="9">
    <w:name w:val="Hyperlink"/>
    <w:basedOn w:val="8"/>
    <w:uiPriority w:val="0"/>
    <w:rPr>
      <w:color w:val="0000FF"/>
      <w:u w:val="single"/>
    </w:rPr>
  </w:style>
  <w:style w:type="paragraph" w:customStyle="1" w:styleId="10">
    <w:name w:val="List Paragraph"/>
    <w:basedOn w:val="1"/>
    <w:uiPriority w:val="0"/>
    <w:pPr>
      <w:ind w:firstLine="20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4</Pages>
  <Words>1461</Words>
  <Characters>1497</Characters>
  <Lines>128</Lines>
  <Paragraphs>58</Paragraphs>
  <TotalTime>162</TotalTime>
  <ScaleCrop>false</ScaleCrop>
  <LinksUpToDate>false</LinksUpToDate>
  <CharactersWithSpaces>1497</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2020-07-07T03:43:00Z</dcterms:created>
  <dc:creator>lvojay@qq.com</dc:creator>
  <cp:lastModifiedBy>asus</cp:lastModifiedBy>
  <cp:lastPrinted>2021-08-10T01:58:00Z</cp:lastPrinted>
  <dcterms:modified xsi:type="dcterms:W3CDTF">2023-08-23T01:29:41Z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29A969F889DD466897075BBC2E5C063C_13</vt:lpwstr>
  </property>
</Properties>
</file>