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outlineLvl w:val="0"/>
        <w:rPr>
          <w:rFonts w:ascii="黑体" w:eastAsia="黑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Times New Roman"/>
          <w:bCs/>
          <w:sz w:val="44"/>
          <w:szCs w:val="44"/>
        </w:rPr>
        <w:t>202</w:t>
      </w:r>
      <w:r>
        <w:rPr>
          <w:rFonts w:ascii="黑体" w:eastAsia="黑体" w:cs="Times New Roman"/>
          <w:bCs/>
          <w:sz w:val="44"/>
          <w:szCs w:val="44"/>
        </w:rPr>
        <w:t>2</w:t>
      </w:r>
      <w:r>
        <w:rPr>
          <w:rFonts w:hint="eastAsia" w:ascii="黑体" w:eastAsia="黑体" w:cs="Times New Roman"/>
          <w:bCs/>
          <w:sz w:val="44"/>
          <w:szCs w:val="44"/>
        </w:rPr>
        <w:t>年湖南省文化和旅游产业</w:t>
      </w:r>
    </w:p>
    <w:p>
      <w:pPr>
        <w:spacing w:line="680" w:lineRule="exact"/>
        <w:jc w:val="center"/>
        <w:outlineLvl w:val="0"/>
        <w:rPr>
          <w:rFonts w:ascii="黑体" w:eastAsia="黑体"/>
          <w:sz w:val="44"/>
          <w:szCs w:val="44"/>
        </w:rPr>
      </w:pPr>
      <w:r>
        <w:rPr>
          <w:rFonts w:hint="eastAsia" w:ascii="黑体" w:eastAsia="黑体" w:cs="Times New Roman"/>
          <w:bCs/>
          <w:sz w:val="44"/>
          <w:szCs w:val="44"/>
        </w:rPr>
        <w:t>定期形势</w:t>
      </w:r>
      <w:r>
        <w:rPr>
          <w:rFonts w:ascii="黑体" w:eastAsia="黑体" w:cs="Times New Roman"/>
          <w:bCs/>
          <w:sz w:val="44"/>
          <w:szCs w:val="44"/>
        </w:rPr>
        <w:t>分析</w:t>
      </w:r>
      <w:r>
        <w:rPr>
          <w:rFonts w:hint="eastAsia" w:ascii="黑体" w:eastAsia="黑体" w:cs="Times New Roman"/>
          <w:bCs/>
          <w:sz w:val="44"/>
          <w:szCs w:val="44"/>
        </w:rPr>
        <w:t>项目</w:t>
      </w:r>
      <w:r>
        <w:rPr>
          <w:rFonts w:ascii="黑体" w:eastAsia="黑体" w:cs="Times New Roman"/>
          <w:bCs/>
          <w:sz w:val="44"/>
          <w:szCs w:val="44"/>
        </w:rPr>
        <w:t>采购需求</w:t>
      </w:r>
    </w:p>
    <w:p>
      <w:pPr>
        <w:spacing w:line="680" w:lineRule="exact"/>
        <w:jc w:val="center"/>
        <w:outlineLvl w:val="0"/>
        <w:rPr>
          <w:rFonts w:ascii="黑体" w:eastAsia="黑体" w:cs="Times New Roman"/>
          <w:bCs/>
          <w:sz w:val="44"/>
          <w:szCs w:val="44"/>
        </w:rPr>
      </w:pPr>
    </w:p>
    <w:p>
      <w:pPr>
        <w:pStyle w:val="11"/>
        <w:numPr>
          <w:ilvl w:val="0"/>
          <w:numId w:val="1"/>
        </w:numPr>
        <w:spacing w:after="0" w:line="680" w:lineRule="exact"/>
        <w:ind w:firstLineChars="0"/>
        <w:outlineLvl w:val="0"/>
        <w:rPr>
          <w:rFonts w:ascii="黑体" w:eastAsia="黑体" w:cs="仿宋"/>
          <w:w w:val="99"/>
          <w:sz w:val="32"/>
          <w:szCs w:val="32"/>
        </w:rPr>
      </w:pPr>
      <w:r>
        <w:rPr>
          <w:rFonts w:hint="eastAsia" w:ascii="黑体" w:eastAsia="黑体" w:cs="仿宋"/>
          <w:w w:val="99"/>
          <w:sz w:val="32"/>
          <w:szCs w:val="32"/>
        </w:rPr>
        <w:t>项目名称</w:t>
      </w:r>
    </w:p>
    <w:p>
      <w:pPr>
        <w:spacing w:after="0" w:line="680" w:lineRule="exact"/>
        <w:ind w:firstLine="784" w:firstLineChars="245"/>
        <w:outlineLvl w:val="0"/>
        <w:rPr>
          <w:rFonts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>202</w:t>
      </w:r>
      <w:r>
        <w:rPr>
          <w:rFonts w:ascii="仿宋_GB2312" w:eastAsia="仿宋_GB2312" w:cs="Times New Roman"/>
          <w:bCs/>
          <w:sz w:val="32"/>
          <w:szCs w:val="32"/>
        </w:rPr>
        <w:t>2</w:t>
      </w:r>
      <w:r>
        <w:rPr>
          <w:rFonts w:hint="eastAsia" w:ascii="仿宋_GB2312" w:eastAsia="仿宋_GB2312" w:cs="Times New Roman"/>
          <w:bCs/>
          <w:sz w:val="32"/>
          <w:szCs w:val="32"/>
        </w:rPr>
        <w:t>年湖南省文化和旅游产业定期形势分析。</w:t>
      </w:r>
    </w:p>
    <w:p>
      <w:pPr>
        <w:pStyle w:val="3"/>
        <w:spacing w:after="0" w:line="680" w:lineRule="exact"/>
        <w:rPr>
          <w:rFonts w:ascii="仿宋_GB2312" w:eastAsia="仿宋_GB2312" w:cs="仿宋"/>
          <w:w w:val="99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黑体" w:eastAsia="黑体"/>
          <w:sz w:val="32"/>
          <w:szCs w:val="32"/>
        </w:rPr>
        <w:t>二、背景阐述</w:t>
      </w:r>
    </w:p>
    <w:p>
      <w:pPr>
        <w:pStyle w:val="3"/>
        <w:spacing w:after="0" w:line="680" w:lineRule="exact"/>
        <w:ind w:firstLine="632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 w:cs="仿宋"/>
          <w:w w:val="99"/>
          <w:sz w:val="32"/>
          <w:szCs w:val="32"/>
        </w:rPr>
        <w:t>为</w:t>
      </w:r>
      <w:r>
        <w:rPr>
          <w:rFonts w:hint="eastAsia" w:ascii="仿宋_GB2312" w:eastAsia="仿宋_GB2312" w:cs="Times New Roman"/>
          <w:sz w:val="32"/>
          <w:szCs w:val="32"/>
        </w:rPr>
        <w:t>全面了解全省文化旅游产业总体发展情况，科学分析文化旅游产业的发展形势，把握文化旅游产业市场发展动态，剖析面临的问题，研究和探讨文化旅游产业发展的对策和建议，突破发展瓶颈，助力文化旅游产业各领域、多方位、全链条发展，</w:t>
      </w:r>
      <w:r>
        <w:rPr>
          <w:rFonts w:hint="eastAsia" w:ascii="仿宋_GB2312" w:eastAsia="仿宋_GB2312" w:cs="仿宋"/>
          <w:w w:val="99"/>
          <w:sz w:val="32"/>
          <w:szCs w:val="32"/>
        </w:rPr>
        <w:t>推动文化和旅游深度融合，现组织力量进行</w:t>
      </w:r>
      <w:r>
        <w:rPr>
          <w:rFonts w:hint="eastAsia" w:ascii="仿宋_GB2312" w:eastAsia="仿宋_GB2312" w:cs="Times New Roman"/>
          <w:bCs/>
          <w:sz w:val="32"/>
          <w:szCs w:val="32"/>
        </w:rPr>
        <w:t>202</w:t>
      </w:r>
      <w:r>
        <w:rPr>
          <w:rFonts w:ascii="仿宋_GB2312" w:eastAsia="仿宋_GB2312" w:cs="Times New Roman"/>
          <w:bCs/>
          <w:sz w:val="32"/>
          <w:szCs w:val="32"/>
        </w:rPr>
        <w:t>2</w:t>
      </w:r>
      <w:r>
        <w:rPr>
          <w:rFonts w:hint="eastAsia" w:ascii="仿宋_GB2312" w:eastAsia="仿宋_GB2312" w:cs="Times New Roman"/>
          <w:bCs/>
          <w:sz w:val="32"/>
          <w:szCs w:val="32"/>
        </w:rPr>
        <w:t>年湖南省文化和旅游产业定期形势分析</w:t>
      </w:r>
      <w:r>
        <w:rPr>
          <w:rFonts w:hint="eastAsia" w:ascii="仿宋_GB2312" w:eastAsia="仿宋_GB2312" w:cs="仿宋"/>
          <w:w w:val="99"/>
          <w:sz w:val="32"/>
          <w:szCs w:val="32"/>
        </w:rPr>
        <w:t>。</w:t>
      </w:r>
    </w:p>
    <w:p>
      <w:pPr>
        <w:pStyle w:val="11"/>
        <w:widowControl w:val="0"/>
        <w:adjustRightInd/>
        <w:snapToGrid/>
        <w:spacing w:after="0" w:line="680" w:lineRule="exact"/>
        <w:ind w:left="772" w:right="165" w:firstLine="0" w:firstLineChars="0"/>
        <w:jc w:val="both"/>
        <w:outlineLvl w:val="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三、</w:t>
      </w:r>
      <w:r>
        <w:rPr>
          <w:rFonts w:hint="eastAsia" w:ascii="黑体" w:eastAsia="黑体" w:cs="黑体"/>
          <w:sz w:val="32"/>
          <w:szCs w:val="32"/>
        </w:rPr>
        <w:t>主要内容</w:t>
      </w:r>
    </w:p>
    <w:p>
      <w:pPr>
        <w:spacing w:line="680" w:lineRule="exact"/>
        <w:ind w:firstLine="665" w:firstLineChars="208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文化旅游产业</w:t>
      </w:r>
      <w:r>
        <w:rPr>
          <w:rFonts w:ascii="仿宋_GB2312" w:eastAsia="仿宋_GB2312" w:cs="Times New Roman"/>
          <w:sz w:val="32"/>
          <w:szCs w:val="32"/>
        </w:rPr>
        <w:t>基本情况、产业运行情况、产业链发展情况、产业发展亮点、问题和对策、趋势预测。</w:t>
      </w:r>
    </w:p>
    <w:p>
      <w:pPr>
        <w:spacing w:line="680" w:lineRule="exact"/>
        <w:ind w:firstLine="665" w:firstLineChars="20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四、</w:t>
      </w:r>
      <w:r>
        <w:rPr>
          <w:rFonts w:hint="eastAsia" w:ascii="黑体" w:eastAsia="黑体"/>
          <w:sz w:val="32"/>
          <w:szCs w:val="32"/>
        </w:rPr>
        <w:t>工作方法</w:t>
      </w:r>
    </w:p>
    <w:p>
      <w:pPr>
        <w:widowControl w:val="0"/>
        <w:adjustRightInd/>
        <w:snapToGrid/>
        <w:spacing w:after="0" w:line="680" w:lineRule="exact"/>
        <w:ind w:right="165"/>
        <w:jc w:val="both"/>
        <w:outlineLvl w:val="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 xml:space="preserve">    由厅统筹，各市（州）文旅局配合，厅产业发展处具体组织，采取购买社会服务的方式进行。具体步骤如下：</w:t>
      </w:r>
    </w:p>
    <w:p>
      <w:pPr>
        <w:widowControl w:val="0"/>
        <w:adjustRightInd/>
        <w:snapToGrid/>
        <w:spacing w:after="0" w:line="680" w:lineRule="exact"/>
        <w:ind w:right="165" w:firstLine="641" w:firstLineChars="196"/>
        <w:jc w:val="both"/>
        <w:outlineLvl w:val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"/>
          <w:b/>
          <w:bCs/>
          <w:spacing w:val="3"/>
          <w:sz w:val="32"/>
          <w:szCs w:val="32"/>
        </w:rPr>
        <w:t>（一）</w:t>
      </w:r>
      <w:r>
        <w:rPr>
          <w:rFonts w:hint="eastAsia" w:ascii="仿宋_GB2312" w:eastAsia="仿宋_GB2312" w:cs="仿宋"/>
          <w:b/>
          <w:bCs/>
          <w:sz w:val="32"/>
          <w:szCs w:val="32"/>
        </w:rPr>
        <w:t>资料收集</w:t>
      </w:r>
      <w:r>
        <w:rPr>
          <w:rFonts w:hint="eastAsia" w:ascii="仿宋_GB2312" w:eastAsia="仿宋_GB2312" w:cs="仿宋"/>
          <w:sz w:val="32"/>
          <w:szCs w:val="32"/>
        </w:rPr>
        <w:t>。各</w:t>
      </w:r>
      <w:r>
        <w:rPr>
          <w:rFonts w:hint="eastAsia" w:ascii="仿宋_GB2312" w:eastAsia="仿宋_GB2312" w:cs="Times New Roman"/>
          <w:sz w:val="32"/>
          <w:szCs w:val="32"/>
        </w:rPr>
        <w:t>市（州）分别于</w:t>
      </w:r>
      <w:r>
        <w:rPr>
          <w:rFonts w:hint="eastAsia" w:ascii="仿宋_GB2312" w:eastAsia="仿宋_GB2312" w:cs="仿宋"/>
          <w:sz w:val="32"/>
          <w:szCs w:val="32"/>
        </w:rPr>
        <w:t>2022年7月30、202</w:t>
      </w:r>
      <w:r>
        <w:rPr>
          <w:rFonts w:ascii="仿宋_GB2312" w:eastAsia="仿宋_GB2312" w:cs="仿宋"/>
          <w:sz w:val="32"/>
          <w:szCs w:val="32"/>
        </w:rPr>
        <w:t>3</w:t>
      </w:r>
      <w:r>
        <w:rPr>
          <w:rFonts w:hint="eastAsia" w:ascii="仿宋_GB2312" w:eastAsia="仿宋_GB2312" w:cs="仿宋"/>
          <w:sz w:val="32"/>
          <w:szCs w:val="32"/>
        </w:rPr>
        <w:t>年2月10日前</w:t>
      </w:r>
      <w:r>
        <w:rPr>
          <w:rFonts w:hint="eastAsia" w:ascii="仿宋_GB2312" w:eastAsia="仿宋_GB2312" w:cs="Times New Roman"/>
          <w:sz w:val="32"/>
          <w:szCs w:val="32"/>
        </w:rPr>
        <w:t>提交半年和全年报告</w:t>
      </w:r>
      <w:r>
        <w:rPr>
          <w:rFonts w:hint="eastAsia" w:ascii="仿宋_GB2312" w:eastAsia="仿宋_GB2312" w:cs="仿宋"/>
          <w:sz w:val="32"/>
          <w:szCs w:val="32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服务方全年</w:t>
      </w:r>
      <w:r>
        <w:rPr>
          <w:rFonts w:hint="eastAsia" w:ascii="仿宋_GB2312" w:eastAsia="仿宋_GB2312" w:cs="仿宋"/>
          <w:sz w:val="32"/>
          <w:szCs w:val="32"/>
        </w:rPr>
        <w:t>收集有关政策文件和市州基础性资料。</w:t>
      </w:r>
    </w:p>
    <w:p>
      <w:pPr>
        <w:spacing w:after="0" w:line="680" w:lineRule="exact"/>
        <w:ind w:right="165" w:firstLine="643" w:firstLineChars="200"/>
        <w:jc w:val="both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b/>
          <w:bCs/>
          <w:sz w:val="32"/>
          <w:szCs w:val="32"/>
        </w:rPr>
        <w:t>（二）实地调研。</w:t>
      </w:r>
      <w:r>
        <w:rPr>
          <w:rFonts w:hint="eastAsia" w:ascii="仿宋_GB2312" w:eastAsia="仿宋_GB2312" w:cs="仿宋"/>
          <w:sz w:val="32"/>
          <w:szCs w:val="32"/>
        </w:rPr>
        <w:t>2022年6月和12月分别赴各市州开展调研座谈，编制初步成果。</w:t>
      </w:r>
    </w:p>
    <w:p>
      <w:pPr>
        <w:spacing w:after="0" w:line="680" w:lineRule="exact"/>
        <w:ind w:right="165" w:firstLine="643" w:firstLineChars="200"/>
        <w:jc w:val="both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b/>
          <w:bCs/>
          <w:sz w:val="32"/>
          <w:szCs w:val="32"/>
        </w:rPr>
        <w:t>（三）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数据分析</w:t>
      </w:r>
      <w:r>
        <w:rPr>
          <w:rFonts w:hint="eastAsia" w:ascii="仿宋_GB2312" w:eastAsia="仿宋_GB2312" w:cs="仿宋"/>
          <w:b/>
          <w:bCs/>
          <w:sz w:val="32"/>
          <w:szCs w:val="32"/>
        </w:rPr>
        <w:t>。</w:t>
      </w:r>
      <w:r>
        <w:rPr>
          <w:rFonts w:hint="eastAsia" w:ascii="仿宋_GB2312" w:eastAsia="仿宋_GB2312" w:cs="仿宋"/>
          <w:sz w:val="32"/>
          <w:szCs w:val="32"/>
        </w:rPr>
        <w:t>2022年6月和12月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服务方进行</w:t>
      </w:r>
      <w:r>
        <w:rPr>
          <w:rFonts w:hint="eastAsia" w:ascii="仿宋_GB2312" w:eastAsia="仿宋_GB2312" w:cs="Times New Roman"/>
          <w:sz w:val="32"/>
          <w:szCs w:val="32"/>
        </w:rPr>
        <w:t>大数据信息技术分析，</w:t>
      </w:r>
      <w:r>
        <w:rPr>
          <w:rFonts w:hint="eastAsia" w:ascii="仿宋_GB2312" w:eastAsia="仿宋_GB2312" w:cs="仿宋"/>
          <w:sz w:val="32"/>
          <w:szCs w:val="32"/>
        </w:rPr>
        <w:t>编制分析报告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spacing w:after="0" w:line="680" w:lineRule="exact"/>
        <w:ind w:right="165" w:firstLine="643" w:firstLineChars="200"/>
        <w:jc w:val="both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b/>
          <w:bCs/>
          <w:sz w:val="32"/>
          <w:szCs w:val="32"/>
        </w:rPr>
        <w:t>（四）专家评审。</w:t>
      </w:r>
      <w:r>
        <w:rPr>
          <w:rFonts w:hint="eastAsia" w:ascii="仿宋_GB2312" w:eastAsia="仿宋_GB2312" w:cs="仿宋"/>
          <w:sz w:val="32"/>
          <w:szCs w:val="32"/>
        </w:rPr>
        <w:t>2022年5、8、10月和202</w:t>
      </w:r>
      <w:r>
        <w:rPr>
          <w:rFonts w:ascii="仿宋_GB2312" w:eastAsia="仿宋_GB2312" w:cs="仿宋"/>
          <w:sz w:val="32"/>
          <w:szCs w:val="32"/>
        </w:rPr>
        <w:t>3</w:t>
      </w:r>
      <w:r>
        <w:rPr>
          <w:rFonts w:hint="eastAsia" w:ascii="仿宋_GB2312" w:eastAsia="仿宋_GB2312" w:cs="仿宋"/>
          <w:sz w:val="32"/>
          <w:szCs w:val="32"/>
        </w:rPr>
        <w:t>年2月，召开专家评审会；</w:t>
      </w:r>
    </w:p>
    <w:p>
      <w:pPr>
        <w:spacing w:after="0" w:line="680" w:lineRule="exact"/>
        <w:ind w:firstLine="668" w:firstLineChars="208"/>
        <w:jc w:val="both"/>
        <w:rPr>
          <w:rFonts w:ascii="黑体" w:eastAsia="黑体" w:cs="楷体"/>
          <w:sz w:val="32"/>
          <w:szCs w:val="32"/>
        </w:rPr>
      </w:pPr>
      <w:r>
        <w:rPr>
          <w:rFonts w:hint="eastAsia" w:ascii="仿宋_GB2312" w:eastAsia="仿宋_GB2312" w:cs="仿宋"/>
          <w:b/>
          <w:bCs/>
          <w:sz w:val="32"/>
          <w:szCs w:val="32"/>
        </w:rPr>
        <w:t>（五）提交报告。</w:t>
      </w:r>
      <w:r>
        <w:rPr>
          <w:rFonts w:hint="eastAsia" w:ascii="仿宋_GB2312" w:eastAsia="仿宋_GB2312" w:cs="仿宋"/>
          <w:sz w:val="32"/>
          <w:szCs w:val="32"/>
        </w:rPr>
        <w:t>分别于2022年5月20前和202</w:t>
      </w:r>
      <w:r>
        <w:rPr>
          <w:rFonts w:ascii="仿宋_GB2312" w:eastAsia="仿宋_GB2312" w:cs="仿宋"/>
          <w:sz w:val="32"/>
          <w:szCs w:val="32"/>
        </w:rPr>
        <w:t>3</w:t>
      </w:r>
      <w:r>
        <w:rPr>
          <w:rFonts w:hint="eastAsia" w:ascii="仿宋_GB2312" w:eastAsia="仿宋_GB2312" w:cs="仿宋"/>
          <w:sz w:val="32"/>
          <w:szCs w:val="32"/>
        </w:rPr>
        <w:t>年9月20日前提交</w:t>
      </w:r>
      <w:r>
        <w:rPr>
          <w:rFonts w:hint="eastAsia" w:ascii="仿宋_GB2312" w:eastAsia="仿宋_GB2312" w:cs="Times New Roman"/>
          <w:sz w:val="32"/>
          <w:szCs w:val="32"/>
        </w:rPr>
        <w:t>形势分析简报。</w:t>
      </w:r>
      <w:r>
        <w:rPr>
          <w:rFonts w:hint="eastAsia" w:ascii="仿宋_GB2312" w:eastAsia="仿宋_GB2312" w:cs="仿宋"/>
          <w:sz w:val="32"/>
          <w:szCs w:val="32"/>
        </w:rPr>
        <w:t>于2022年8月20日前和</w:t>
      </w:r>
      <w:r>
        <w:rPr>
          <w:rFonts w:ascii="仿宋_GB2312" w:eastAsia="仿宋_GB2312" w:cs="仿宋"/>
          <w:sz w:val="32"/>
          <w:szCs w:val="32"/>
        </w:rPr>
        <w:t>2023</w:t>
      </w:r>
      <w:r>
        <w:rPr>
          <w:rFonts w:hint="eastAsia" w:ascii="仿宋_GB2312" w:eastAsia="仿宋_GB2312" w:cs="仿宋"/>
          <w:sz w:val="32"/>
          <w:szCs w:val="32"/>
        </w:rPr>
        <w:t>年2月20日前提交</w:t>
      </w:r>
      <w:r>
        <w:rPr>
          <w:rFonts w:hint="eastAsia" w:ascii="仿宋_GB2312" w:eastAsia="仿宋_GB2312" w:cs="Times New Roman"/>
          <w:sz w:val="32"/>
          <w:szCs w:val="32"/>
        </w:rPr>
        <w:t>形势分析报告。</w:t>
      </w:r>
    </w:p>
    <w:p>
      <w:pPr>
        <w:pStyle w:val="3"/>
        <w:spacing w:after="0" w:line="680" w:lineRule="exact"/>
        <w:jc w:val="center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B6529"/>
    <w:multiLevelType w:val="multilevel"/>
    <w:tmpl w:val="5B6B6529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149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61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032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45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87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292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71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413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5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40566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  <w:rPr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967</Words>
  <Characters>1060</Characters>
  <Lines>75</Lines>
  <Paragraphs>37</Paragraphs>
  <TotalTime>358</TotalTime>
  <ScaleCrop>false</ScaleCrop>
  <LinksUpToDate>false</LinksUpToDate>
  <CharactersWithSpaces>1071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2020-07-07T03:43:00Z</dcterms:created>
  <dc:creator>lvojay@qq.com</dc:creator>
  <cp:lastModifiedBy>yzy</cp:lastModifiedBy>
  <cp:lastPrinted>2022-03-15T00:21:00Z</cp:lastPrinted>
  <dcterms:modified xsi:type="dcterms:W3CDTF">2022-03-15T08:28:30Z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F4A71279D9B4467AB963019D013EB07A</vt:lpwstr>
  </property>
</Properties>
</file>