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outlineLvl w:val="0"/>
        <w:rPr>
          <w:rFonts w:hint="eastAsia" w:ascii="方正小标宋简体" w:eastAsia="方正小标宋简体" w:cs="Times New Roman" w:hAnsiTheme="majorEastAsia"/>
          <w:b w:val="0"/>
          <w:bCs/>
          <w:kern w:val="0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 w:cs="Times New Roman" w:hAnsiTheme="majorEastAsia"/>
          <w:b w:val="0"/>
          <w:bCs/>
          <w:kern w:val="0"/>
          <w:sz w:val="40"/>
          <w:szCs w:val="40"/>
          <w:lang w:val="en-US" w:eastAsia="zh-CN" w:bidi="ar-SA"/>
        </w:rPr>
        <w:t>《2021-2023年湖南省文化、娱乐业财源建设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80" w:lineRule="exact"/>
        <w:jc w:val="center"/>
        <w:textAlignment w:val="auto"/>
        <w:outlineLvl w:val="0"/>
        <w:rPr>
          <w:rFonts w:hint="eastAsia" w:asci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Times New Roman" w:hAnsiTheme="majorEastAsia"/>
          <w:b w:val="0"/>
          <w:bCs/>
          <w:kern w:val="0"/>
          <w:sz w:val="40"/>
          <w:szCs w:val="40"/>
          <w:lang w:val="en-US" w:eastAsia="zh-CN" w:bidi="ar-SA"/>
        </w:rPr>
        <w:t>研究报告》项目采购需求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outlineLvl w:val="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2021-2023年湖南省文化、娱乐业财源建设研究报告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outlineLvl w:val="0"/>
        <w:rPr>
          <w:rFonts w:hint="eastAsia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二、背景概况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为做好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文化、娱乐业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财源建设工作，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完成《2021-2023年度省直产业主管部门财源建设预期目标》，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根据《湖南省人民政府办公厅关于服务“三高四新”战略实施财源建设工程的意见》（湘政办发〔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）精神和要求，坚持</w: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围绕经济抓财政，立足财源谋发展，力争达到增加</w: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instrText xml:space="preserve">HYPERLINK "https://baike.baidu.com/item/%E7%BB%8F%E6%B5%8E%E6%80%BB%E9%87%8F"</w:instrTex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经济总量</w: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、优化产业结构、提高</w: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instrText xml:space="preserve">HYPERLINK "https://baike.baidu.com/item/%E8%B4%A2%E6%94%BF%E6%95%88%E7%9B%8A"</w:instrTex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财政效益</w: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的良性循环的财源建设格局。现组织力量进行湖南省文化、娱乐业财源建设研究。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outlineLvl w:val="0"/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经费预算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45万。按照财源建设3年工作任务要求，用于每年开展企业调研、市州调研、建立骨干企业库和起草相关调研报告等。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outlineLvl w:val="0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四、服务内容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（一）调研重点企业，</w: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了解我省财源建设现状和结构、财源经济结构分布状况，明确主体财源，进一步强化骨干支柱财源，形成财源建设企业库。</w:t>
      </w:r>
    </w:p>
    <w:p>
      <w:pPr>
        <w:pStyle w:val="2"/>
        <w:ind w:firstLine="640" w:firstLineChars="200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（二）加强日常分析与研判，研究企业增加税收的措施，</w: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加强与税务部门的对接，利用大数据分析处理技术，对调研数据进行加工整理，分析出文化、娱乐业的财源结构及其变化特征，理清财政收入增减的经济产业根源，透视财源建设中存在的一些问题，并对我省文化</w:t>
      </w:r>
      <w:r>
        <w:rPr>
          <w:rFonts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娱乐业财源建设提出科学合理的建议和措施，形成专项调研报告。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outlineLvl w:val="0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五、成果要求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（一）湖南省文化和娱乐业财源建设企业库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（二）全年报告：《2021年湖南省文化和娱乐业财源建设调研报告》《2022年湖南省文化和娱乐业财源建设调研报告》《2023年湖南省文化和娱乐业财源建设调研报告》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（三）半年度报告：《2022年上半年湖南省文化和娱乐业财源建设调研报告》《2023年上半年湖南省文化和娱乐业财源建设调研报告》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（四）季度简报：《2022年一季度、三季度湖南省文化和娱乐业财源建设调研报告（简报）》《2023年一季度、三季度湖南省文化和娱乐业财源建设调研报告（简报）》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（五）提交时间：季度简报分别于4月、10月提交，半年度报告于8月提交，全年报告于次年2月提交，企业库成果与该年度全年报告一起提交。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outlineLvl w:val="0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六、其他要求</w:t>
      </w:r>
    </w:p>
    <w:p>
      <w:pPr>
        <w:pStyle w:val="5"/>
        <w:widowControl/>
        <w:shd w:val="clear" w:color="auto" w:fill="FFFFFF"/>
        <w:spacing w:beforeAutospacing="0" w:afterAutospacing="0" w:line="27" w:lineRule="atLeast"/>
        <w:ind w:firstLine="630"/>
        <w:jc w:val="both"/>
        <w:rPr>
          <w:rFonts w:ascii="等线" w:hAnsi="等线" w:eastAsia="等线" w:cs="等线"/>
          <w:color w:val="000000"/>
          <w:sz w:val="21"/>
          <w:szCs w:val="21"/>
        </w:rPr>
      </w:pPr>
      <w:r>
        <w:rPr>
          <w:rFonts w:ascii="仿宋_GB2312" w:hAnsi="等线" w:eastAsia="仿宋_GB2312" w:cs="仿宋_GB2312"/>
          <w:color w:val="000000"/>
          <w:sz w:val="32"/>
          <w:szCs w:val="32"/>
          <w:shd w:val="clear" w:color="auto" w:fill="FFFFFF"/>
        </w:rPr>
        <w:t>采购方对</w:t>
      </w:r>
      <w:r>
        <w:rPr>
          <w:rFonts w:hint="eastAsia" w:ascii="仿宋_GB2312" w:hAnsi="等线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项目</w:t>
      </w:r>
      <w:r>
        <w:rPr>
          <w:rFonts w:ascii="仿宋_GB2312" w:hAnsi="等线" w:eastAsia="仿宋_GB2312" w:cs="仿宋_GB2312"/>
          <w:color w:val="000000"/>
          <w:sz w:val="32"/>
          <w:szCs w:val="32"/>
          <w:shd w:val="clear" w:color="auto" w:fill="FFFFFF"/>
        </w:rPr>
        <w:t>实施情况进行实时监督检查，服务单位在服务期间内出现下列情形之一，视情节给予取消服务资格：</w:t>
      </w:r>
    </w:p>
    <w:p>
      <w:pPr>
        <w:pStyle w:val="5"/>
        <w:widowControl/>
        <w:shd w:val="clear" w:color="auto" w:fill="FFFFFF"/>
        <w:spacing w:beforeAutospacing="0" w:afterAutospacing="0" w:line="27" w:lineRule="atLeast"/>
        <w:ind w:firstLine="630"/>
        <w:jc w:val="both"/>
        <w:rPr>
          <w:rFonts w:ascii="等线" w:hAnsi="等线" w:eastAsia="等线" w:cs="等线"/>
          <w:color w:val="000000"/>
          <w:sz w:val="21"/>
          <w:szCs w:val="21"/>
        </w:rPr>
      </w:pPr>
      <w:r>
        <w:rPr>
          <w:rFonts w:ascii="仿宋_GB2312" w:hAnsi="等线" w:eastAsia="仿宋_GB2312" w:cs="仿宋_GB2312"/>
          <w:color w:val="000000"/>
          <w:sz w:val="32"/>
          <w:szCs w:val="32"/>
          <w:shd w:val="clear" w:color="auto" w:fill="FFFFFF"/>
        </w:rPr>
        <w:t>（一）不按投标承诺及合同规定的条款提供服务；</w:t>
      </w:r>
    </w:p>
    <w:p>
      <w:pPr>
        <w:pStyle w:val="5"/>
        <w:widowControl/>
        <w:shd w:val="clear" w:color="auto" w:fill="FFFFFF"/>
        <w:spacing w:beforeAutospacing="0" w:afterAutospacing="0" w:line="27" w:lineRule="atLeast"/>
        <w:ind w:firstLine="630"/>
        <w:jc w:val="both"/>
        <w:rPr>
          <w:rFonts w:ascii="等线" w:hAnsi="等线" w:eastAsia="等线" w:cs="等线"/>
          <w:color w:val="000000"/>
          <w:sz w:val="21"/>
          <w:szCs w:val="21"/>
        </w:rPr>
      </w:pPr>
      <w:r>
        <w:rPr>
          <w:rFonts w:ascii="仿宋_GB2312" w:hAnsi="等线" w:eastAsia="仿宋_GB2312" w:cs="仿宋_GB2312"/>
          <w:color w:val="000000"/>
          <w:sz w:val="32"/>
          <w:szCs w:val="32"/>
          <w:shd w:val="clear" w:color="auto" w:fill="FFFFFF"/>
        </w:rPr>
        <w:t>（二）采用不正当竞争手段，影响正常服务工作；</w:t>
      </w:r>
    </w:p>
    <w:p>
      <w:pPr>
        <w:ind w:firstLine="640" w:firstLineChars="200"/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（三）违反法律、法规的其它情形。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2609EA1-36BE-4F7E-BD2D-7486413F71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D372AED-18F7-491C-BE3C-AA000F8C16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19F270-E484-40B6-883A-9070F360C5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F4B526-B75D-4484-AF05-0D0B357915E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FCED5FE-C8A3-4883-9019-CB997943DD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47211"/>
    <w:rsid w:val="15060800"/>
    <w:rsid w:val="23C77080"/>
    <w:rsid w:val="48B90705"/>
    <w:rsid w:val="4B37546D"/>
    <w:rsid w:val="4D2B0164"/>
    <w:rsid w:val="575664E8"/>
    <w:rsid w:val="76701B7E"/>
    <w:rsid w:val="78237800"/>
    <w:rsid w:val="7A447211"/>
    <w:rsid w:val="7E5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</w:pPr>
    <w:rPr>
      <w:rFonts w:ascii="Calibri" w:hAnsi="Calibri"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2048</Words>
  <Characters>2191</Characters>
  <Lines>0</Lines>
  <Paragraphs>0</Paragraphs>
  <TotalTime>0</TotalTime>
  <ScaleCrop>false</ScaleCrop>
  <LinksUpToDate>false</LinksUpToDate>
  <CharactersWithSpaces>2368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2020-04-07T09:01:00Z</dcterms:created>
  <dc:creator>CL</dc:creator>
  <cp:lastModifiedBy>yzy</cp:lastModifiedBy>
  <cp:lastPrinted>2022-03-30T01:21:00Z</cp:lastPrinted>
  <dcterms:modified xsi:type="dcterms:W3CDTF">2022-04-01T02:06:36Z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BD14F4FA77D9441483256AC9C91370C5</vt:lpwstr>
  </property>
</Properties>
</file>