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20" w:lineRule="exact"/>
        <w:jc w:val="center"/>
        <w:rPr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widowControl/>
        <w:spacing w:line="520" w:lineRule="exact"/>
        <w:jc w:val="center"/>
        <w:rPr>
          <w:rFonts w:ascii="宋体" w:eastAsia="宋体" w:cs="宋体"/>
          <w:sz w:val="44"/>
          <w:szCs w:val="44"/>
        </w:rPr>
      </w:pPr>
      <w:r>
        <w:rPr>
          <w:rFonts w:hint="eastAsia" w:ascii="宋体" w:eastAsia="宋体" w:cs="宋体"/>
          <w:sz w:val="44"/>
          <w:szCs w:val="44"/>
        </w:rPr>
        <w:t>2022年湖南省禁毒文化节活动</w:t>
      </w:r>
      <w:r>
        <w:rPr>
          <w:rFonts w:hint="eastAsia" w:ascii="宋体" w:eastAsia="宋体" w:cs="宋体"/>
          <w:b w:val="0"/>
          <w:bCs w:val="0"/>
          <w:sz w:val="44"/>
          <w:szCs w:val="44"/>
        </w:rPr>
        <w:t>采购需求</w:t>
      </w:r>
    </w:p>
    <w:p>
      <w:pPr>
        <w:pStyle w:val="4"/>
        <w:widowControl/>
        <w:spacing w:line="520" w:lineRule="exact"/>
        <w:jc w:val="center"/>
        <w:rPr>
          <w:rFonts w:hint="eastAsia" w:ascii="宋体" w:eastAsia="宋体" w:cs="宋体"/>
          <w:b w:val="0"/>
          <w:bCs w:val="0"/>
          <w:sz w:val="44"/>
          <w:szCs w:val="44"/>
        </w:rPr>
      </w:pPr>
    </w:p>
    <w:p>
      <w:pPr>
        <w:pStyle w:val="4"/>
        <w:widowControl/>
        <w:spacing w:beforeAutospacing="0" w:afterAutospacing="0" w:line="520" w:lineRule="exact"/>
        <w:jc w:val="both"/>
        <w:rPr>
          <w:rFonts w:ascii="黑体" w:eastAsia="黑体" w:cs="宋体"/>
          <w:b/>
          <w:bCs/>
          <w:sz w:val="32"/>
          <w:szCs w:val="32"/>
        </w:rPr>
      </w:pPr>
      <w:r>
        <w:rPr>
          <w:rFonts w:ascii="黑体" w:eastAsia="黑体"/>
          <w:sz w:val="18"/>
          <w:szCs w:val="18"/>
        </w:rPr>
        <w:t>　</w:t>
      </w:r>
      <w:r>
        <w:rPr>
          <w:rFonts w:hint="eastAsia" w:ascii="黑体" w:eastAsia="黑体" w:cs="宋体"/>
          <w:sz w:val="32"/>
          <w:szCs w:val="32"/>
        </w:rPr>
        <w:t>　</w:t>
      </w:r>
      <w:r>
        <w:rPr>
          <w:rFonts w:hint="eastAsia" w:ascii="黑体" w:eastAsia="黑体" w:cs="宋体"/>
          <w:b/>
          <w:bCs/>
          <w:sz w:val="32"/>
          <w:szCs w:val="32"/>
        </w:rPr>
        <w:t xml:space="preserve"> 一、项目名称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en-US"/>
        </w:rPr>
        <w:t>2022年湖南省禁毒文化节活动项目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20" w:lineRule="exact"/>
        <w:ind w:left="640" w:firstLine="0"/>
        <w:jc w:val="both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背景概况</w:t>
      </w:r>
    </w:p>
    <w:p>
      <w:pPr>
        <w:pStyle w:val="4"/>
        <w:widowControl/>
        <w:spacing w:beforeAutospacing="0" w:afterAutospacing="0" w:line="520" w:lineRule="exact"/>
        <w:ind w:left="0"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以习近平新时代中国特色社会主义思想为指导，认</w:t>
      </w:r>
      <w:bookmarkStart w:id="0" w:name="_GoBack"/>
      <w:bookmarkEnd w:id="0"/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真贯彻落实习近平总书记关于禁毒工作的系列重要指示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/>
        </w:rPr>
        <w:t>批示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精神和党中央关于禁毒工作的重大决策部署,深入实施国家禁毒委员会《关于加强新时代</w:t>
      </w:r>
      <w:r>
        <w:rPr>
          <w:rFonts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全民禁毒宣传教育工作的指导意见》要求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进一步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/>
        </w:rPr>
        <w:t>加强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我省文化旅游行业</w:t>
      </w:r>
      <w:r>
        <w:rPr>
          <w:rFonts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禁毒宣传教育，强化禁毒意识，为庆祝党的</w:t>
      </w:r>
      <w:r>
        <w:rPr>
          <w:rFonts w:hint="eastAsia"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二十大</w:t>
      </w:r>
      <w:r>
        <w:rPr>
          <w:rFonts w:asci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胜利召开营造和谐安定的社会环境</w:t>
      </w:r>
      <w:r>
        <w:rPr>
          <w:rFonts w:asci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　</w:t>
      </w:r>
      <w:r>
        <w:rPr>
          <w:rFonts w:hint="eastAsia" w:ascii="黑体" w:eastAsia="黑体" w:cs="宋体"/>
          <w:b/>
          <w:bCs/>
          <w:sz w:val="32"/>
          <w:szCs w:val="32"/>
        </w:rPr>
        <w:t>三、经费预算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</w:t>
      </w:r>
      <w:r>
        <w:rPr>
          <w:rFonts w:hint="eastAsia" w:ascii="仿宋_GB2312" w:eastAsia="仿宋_GB2312" w:cs="宋体"/>
          <w:sz w:val="32"/>
          <w:szCs w:val="32"/>
        </w:rPr>
        <w:t>　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 w:cs="宋体"/>
          <w:sz w:val="32"/>
          <w:szCs w:val="32"/>
        </w:rPr>
        <w:t>万元以内。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</w:t>
      </w:r>
      <w:r>
        <w:rPr>
          <w:rFonts w:hint="eastAsia" w:ascii="黑体" w:eastAsia="黑体" w:cs="宋体"/>
          <w:sz w:val="32"/>
          <w:szCs w:val="32"/>
        </w:rPr>
        <w:t>　</w:t>
      </w:r>
      <w:r>
        <w:rPr>
          <w:rFonts w:hint="eastAsia" w:ascii="黑体" w:eastAsia="黑体" w:cs="宋体"/>
          <w:b/>
          <w:bCs/>
          <w:sz w:val="32"/>
          <w:szCs w:val="32"/>
        </w:rPr>
        <w:t>四、服务要求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　</w:t>
      </w:r>
      <w:r>
        <w:rPr>
          <w:rFonts w:hint="eastAsia" w:ascii="仿宋_GB2312" w:eastAsia="仿宋_GB2312" w:cs="宋体"/>
          <w:sz w:val="32"/>
          <w:szCs w:val="32"/>
        </w:rPr>
        <w:t>(一)基本要求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1.服务单位需对项目的实施制定组织方案。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2.全程为本次项目服务的工作人员不超过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sz w:val="32"/>
          <w:szCs w:val="32"/>
        </w:rPr>
        <w:t>0人，并指定1名主要负责人员。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3.服务单位在本次项目期间须积极与采购单位协商沟通，按采购单位实际要求作出相应的调整。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sz w:val="32"/>
          <w:szCs w:val="32"/>
        </w:rPr>
        <w:t>.服务单位需在11月</w:t>
      </w:r>
      <w:r>
        <w:rPr>
          <w:rFonts w:ascii="仿宋_GB2312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宋体"/>
          <w:sz w:val="32"/>
          <w:szCs w:val="32"/>
        </w:rPr>
        <w:t>日前完成所有服务内容。</w:t>
      </w:r>
    </w:p>
    <w:p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.申请人的资格证明文件均应为有效文件并加盖申请人单位公章，并按其规定签署。</w:t>
      </w:r>
    </w:p>
    <w:p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(二)服务内容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520" w:lineRule="exact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eastAsia="zh-CN"/>
        </w:rPr>
        <w:t>整体活动宣传策划及执行</w:t>
      </w:r>
      <w:r>
        <w:rPr>
          <w:rFonts w:hint="eastAsia" w:ascii="仿宋_GB2312" w:eastAsia="仿宋_GB2312" w:cs="宋体"/>
          <w:sz w:val="32"/>
          <w:szCs w:val="32"/>
        </w:rPr>
        <w:t>;　　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禁毒</w:t>
      </w:r>
      <w:r>
        <w:rPr>
          <w:rFonts w:ascii="仿宋_GB2312" w:eastAsia="仿宋_GB2312" w:cs="宋体"/>
          <w:sz w:val="32"/>
          <w:szCs w:val="32"/>
          <w:lang w:eastAsia="zh-CN"/>
        </w:rPr>
        <w:t>宣传教育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子活动</w:t>
      </w:r>
      <w:r>
        <w:rPr>
          <w:rFonts w:hint="eastAsia" w:ascii="仿宋_GB2312" w:eastAsia="仿宋_GB2312" w:cs="宋体"/>
          <w:sz w:val="32"/>
          <w:szCs w:val="32"/>
        </w:rPr>
        <w:t>方案策划及执行;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>活动</w:t>
      </w:r>
      <w:r>
        <w:rPr>
          <w:rFonts w:ascii="仿宋_GB2312" w:eastAsia="仿宋_GB2312" w:cs="宋体"/>
          <w:sz w:val="32"/>
          <w:szCs w:val="32"/>
          <w:lang w:eastAsia="zh-CN"/>
        </w:rPr>
        <w:t>闭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幕式流程方案</w:t>
      </w:r>
      <w:r>
        <w:rPr>
          <w:rFonts w:hint="eastAsia" w:ascii="仿宋_GB2312" w:eastAsia="仿宋_GB2312" w:cs="宋体"/>
          <w:sz w:val="32"/>
          <w:szCs w:val="32"/>
        </w:rPr>
        <w:t>设计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、舞台</w:t>
      </w:r>
      <w:r>
        <w:rPr>
          <w:rFonts w:hint="eastAsia" w:ascii="仿宋_GB2312" w:eastAsia="仿宋_GB2312" w:cs="宋体"/>
          <w:sz w:val="32"/>
          <w:szCs w:val="32"/>
        </w:rPr>
        <w:t>布置搭建;</w:t>
      </w:r>
    </w:p>
    <w:p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4.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代表</w:t>
      </w:r>
      <w:r>
        <w:rPr>
          <w:rFonts w:ascii="仿宋_GB2312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来宾食宿</w:t>
      </w:r>
    </w:p>
    <w:p>
      <w:pPr>
        <w:pStyle w:val="4"/>
        <w:widowControl/>
        <w:spacing w:beforeAutospacing="0" w:afterAutospacing="0" w:line="520" w:lineRule="exact"/>
        <w:jc w:val="both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　</w:t>
      </w:r>
      <w:r>
        <w:rPr>
          <w:rFonts w:hint="eastAsia" w:ascii="黑体" w:eastAsia="黑体" w:cs="宋体"/>
          <w:b/>
          <w:bCs/>
          <w:sz w:val="32"/>
          <w:szCs w:val="32"/>
        </w:rPr>
        <w:t>五、保障要求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　</w:t>
      </w:r>
      <w:r>
        <w:rPr>
          <w:rFonts w:hint="eastAsia" w:ascii="仿宋_GB2312" w:eastAsia="仿宋_GB2312" w:cs="宋体"/>
          <w:sz w:val="32"/>
          <w:szCs w:val="32"/>
        </w:rPr>
        <w:t>(一)服务单位需妥善保存项目实施的所有相关资料，及时响应采购方的抽查、调阅等要求，并积极配合有关部门的监督检查。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(二)服务期间出现的纠纷，按合同约定的方式进行处理。有关服务质量纠纷问题，由主管部门进行裁定。</w:t>
      </w:r>
    </w:p>
    <w:p>
      <w:pPr>
        <w:pStyle w:val="4"/>
        <w:widowControl/>
        <w:spacing w:beforeAutospacing="0" w:afterAutospacing="0" w:line="520" w:lineRule="exact"/>
        <w:jc w:val="both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　</w:t>
      </w:r>
      <w:r>
        <w:rPr>
          <w:rFonts w:hint="eastAsia" w:ascii="黑体" w:eastAsia="黑体" w:cs="宋体"/>
          <w:b/>
          <w:bCs/>
          <w:sz w:val="32"/>
          <w:szCs w:val="32"/>
        </w:rPr>
        <w:t>六、其他要求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　</w:t>
      </w:r>
      <w:r>
        <w:rPr>
          <w:rFonts w:hint="eastAsia" w:ascii="仿宋_GB2312" w:eastAsia="仿宋_GB2312" w:cs="宋体"/>
          <w:sz w:val="32"/>
          <w:szCs w:val="32"/>
        </w:rPr>
        <w:t>　采购方对服务活动实施情况进行实时监督检查，并按有关规定对出现的问题及时进行处理。服务单位在服务期间内出现下列情形之一，视情节给予取消服务资格：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(一)不按投标承诺及合同规定的条款提供服务;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(二)采用不正当竞争手段，影响正常服务工作;</w:t>
      </w:r>
    </w:p>
    <w:p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(三)违反法律、法规的其它情形。</w:t>
      </w:r>
    </w:p>
    <w:p>
      <w:pPr>
        <w:spacing w:line="520" w:lineRule="exact"/>
        <w:rPr>
          <w:rFonts w:ascii="宋体" w:eastAsia="宋体" w:cs="宋体"/>
          <w:b/>
          <w:bCs/>
          <w:sz w:val="32"/>
          <w:szCs w:val="32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D617C"/>
    <w:multiLevelType w:val="singleLevel"/>
    <w:tmpl w:val="E42D617C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640" w:firstLine="0"/>
      </w:pPr>
      <w:rPr>
        <w:rFonts w:hint="eastAsia"/>
      </w:rPr>
    </w:lvl>
  </w:abstractNum>
  <w:abstractNum w:abstractNumId="1">
    <w:nsid w:val="7EA2DD56"/>
    <w:multiLevelType w:val="multilevel"/>
    <w:tmpl w:val="7EA2DD56"/>
    <w:lvl w:ilvl="0" w:tentative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545"/>
        </w:tabs>
        <w:ind w:left="15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65"/>
        </w:tabs>
        <w:ind w:left="196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85"/>
        </w:tabs>
        <w:ind w:left="23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05"/>
        </w:tabs>
        <w:ind w:left="28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25"/>
        </w:tabs>
        <w:ind w:left="32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45"/>
        </w:tabs>
        <w:ind w:left="36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65"/>
        </w:tabs>
        <w:ind w:left="40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85"/>
        </w:tabs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5FE04410"/>
    <w:rsid w:val="E2FE6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690</Words>
  <Characters>709</Characters>
  <Lines>44</Lines>
  <Paragraphs>27</Paragraphs>
  <TotalTime>12</TotalTime>
  <ScaleCrop>false</ScaleCrop>
  <LinksUpToDate>false</LinksUpToDate>
  <CharactersWithSpaces>751</CharactersWithSpaces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2020-09-01T16:38:00Z</dcterms:created>
  <dc:creator>Administrator</dc:creator>
  <cp:lastModifiedBy>greatwall</cp:lastModifiedBy>
  <cp:lastPrinted>2020-10-10T10:32:00Z</cp:lastPrinted>
  <dcterms:modified xsi:type="dcterms:W3CDTF">2025-06-03T16:15:22Z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2C83B5C294753EF81AAF3E683099789D</vt:lpwstr>
  </property>
</Properties>
</file>