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firstLine="0"/>
        <w:jc w:val="center"/>
        <w:textAlignment w:val="auto"/>
        <w:rPr>
          <w:rFonts w:hint="eastAsia" w:ascii="方正小标宋简体" w:eastAsia="方正小标宋简体" w:cs="方正小标宋简体"/>
          <w:color w:val="000000"/>
          <w:w w:val="95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color w:val="000000"/>
          <w:w w:val="95"/>
          <w:sz w:val="44"/>
          <w:szCs w:val="44"/>
          <w:lang w:val="en-US" w:eastAsia="zh-CN"/>
        </w:rPr>
        <w:t>项目采购需求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firstLine="0"/>
        <w:jc w:val="center"/>
        <w:textAlignment w:val="auto"/>
        <w:rPr>
          <w:rFonts w:hint="eastAsia" w:ascii="方正小标宋简体" w:eastAsia="方正小标宋简体" w:cs="方正小标宋简体"/>
          <w:color w:val="000000"/>
          <w:w w:val="95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43"/>
        <w:textAlignment w:val="auto"/>
        <w:rPr>
          <w:rFonts w:hint="eastAsia" w:ascii="黑体" w:eastAsia="黑体" w:cs="黑体"/>
          <w:bCs/>
          <w:color w:val="000000"/>
          <w:sz w:val="32"/>
          <w:szCs w:val="32"/>
          <w:shd w:val="clear" w:color="auto" w:fill="FFFFFF"/>
          <w:lang w:val="zh-CN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shd w:val="clear" w:color="auto" w:fill="FFFFFF"/>
          <w:lang w:val="zh-CN"/>
        </w:rPr>
        <w:t>一、项目名称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43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ascii="仿宋_GB2312" w:eastAsia="仿宋_GB2312"/>
          <w:color w:val="000000"/>
          <w:sz w:val="32"/>
          <w:szCs w:val="32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年全省公共文化服务体系高质量发展五年行动计划</w:t>
      </w:r>
      <w:r>
        <w:rPr>
          <w:rFonts w:ascii="仿宋_GB2312" w:eastAsia="仿宋_GB2312"/>
          <w:color w:val="000000"/>
          <w:sz w:val="32"/>
          <w:szCs w:val="32"/>
        </w:rPr>
        <w:t>绩效评价项目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43"/>
        <w:textAlignment w:val="auto"/>
        <w:rPr>
          <w:rFonts w:hint="eastAsia" w:ascii="黑体" w:eastAsia="黑体" w:cs="黑体"/>
          <w:bCs/>
          <w:color w:val="000000"/>
          <w:sz w:val="32"/>
          <w:szCs w:val="32"/>
          <w:shd w:val="clear" w:color="auto" w:fill="FFFFFF"/>
          <w:lang w:val="zh-CN" w:eastAsia="zh-CN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shd w:val="clear" w:color="auto" w:fill="FFFFFF"/>
          <w:lang w:val="zh-CN" w:eastAsia="zh-CN"/>
        </w:rPr>
        <w:t>二、项目背景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adjustRightInd w:val="0"/>
        <w:snapToGrid/>
        <w:spacing w:before="0" w:beforeAutospacing="0" w:after="0" w:afterAutospacing="0" w:line="600" w:lineRule="exact"/>
        <w:ind w:left="0" w:firstLine="643"/>
        <w:jc w:val="both"/>
        <w:rPr>
          <w:rFonts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为贯彻落实《</w:t>
      </w:r>
      <w:r>
        <w:rPr>
          <w:rFonts w:ascii="仿宋_GB2312" w:eastAsia="仿宋_GB2312"/>
          <w:color w:val="000000"/>
          <w:sz w:val="32"/>
          <w:szCs w:val="32"/>
          <w:lang w:val="en-US" w:eastAsia="zh-CN"/>
        </w:rPr>
        <w:t>中华人民共和国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公共文化服务保障法》</w:t>
      </w:r>
      <w:r>
        <w:rPr>
          <w:rFonts w:ascii="仿宋_GB2312" w:eastAsia="仿宋_GB2312"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我省实施办法、《文化和旅游部 国家发展改革委 财政部&lt;关于推动公共文化服务高质量发展&gt;的意见》和《湖南省公共文化服务体系高质量发展五年行动计划(2021年-2025年)》等法规文件要求，对全省公共文化服务体系建设进行考评管理，</w:t>
      </w:r>
      <w:r>
        <w:rPr>
          <w:rFonts w:ascii="仿宋_GB2312" w:eastAsia="仿宋_GB2312"/>
          <w:color w:val="000000"/>
          <w:sz w:val="32"/>
          <w:szCs w:val="32"/>
          <w:lang w:val="en-US" w:eastAsia="zh-CN"/>
        </w:rPr>
        <w:t>不断促进公共文化服务体系高质量发展。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43"/>
        <w:textAlignment w:val="auto"/>
        <w:rPr>
          <w:rFonts w:hint="eastAsia" w:ascii="黑体" w:eastAsia="黑体" w:cs="黑体"/>
          <w:bCs/>
          <w:color w:val="000000"/>
          <w:sz w:val="32"/>
          <w:szCs w:val="32"/>
          <w:shd w:val="clear" w:color="auto" w:fill="FFFFFF"/>
          <w:lang w:val="zh-CN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shd w:val="clear" w:color="auto" w:fill="FFFFFF"/>
          <w:lang w:val="zh-CN"/>
        </w:rPr>
        <w:t>三、</w:t>
      </w:r>
      <w:r>
        <w:rPr>
          <w:rFonts w:hint="eastAsia" w:ascii="黑体" w:eastAsia="黑体" w:cs="黑体"/>
          <w:bCs/>
          <w:color w:val="000000"/>
          <w:sz w:val="32"/>
          <w:szCs w:val="32"/>
          <w:shd w:val="clear" w:color="auto" w:fill="FFFFFF"/>
          <w:lang w:val="en-US" w:eastAsia="zh-CN"/>
        </w:rPr>
        <w:t>采购</w:t>
      </w:r>
      <w:r>
        <w:rPr>
          <w:rFonts w:hint="eastAsia" w:ascii="黑体" w:eastAsia="黑体" w:cs="黑体"/>
          <w:bCs/>
          <w:color w:val="000000"/>
          <w:sz w:val="32"/>
          <w:szCs w:val="32"/>
          <w:shd w:val="clear" w:color="auto" w:fill="FFFFFF"/>
          <w:lang w:val="zh-CN"/>
        </w:rPr>
        <w:t>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600" w:lineRule="exact"/>
        <w:ind w:left="0" w:firstLine="640" w:firstLineChars="200"/>
        <w:textAlignment w:val="auto"/>
        <w:rPr>
          <w:rFonts w:hint="eastAsia" w:ascii="仿宋_GB2312" w:eastAsia="仿宋_GB2312" w:cs="仿宋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 w:cs="仿宋"/>
          <w:color w:val="000000"/>
          <w:sz w:val="32"/>
          <w:szCs w:val="32"/>
          <w:lang w:val="en-US" w:eastAsia="zh-CN"/>
        </w:rPr>
        <w:t>15.2</w:t>
      </w:r>
      <w:r>
        <w:rPr>
          <w:rFonts w:hint="eastAsia" w:ascii="仿宋_GB2312" w:eastAsia="仿宋_GB2312" w:cs="仿宋"/>
          <w:color w:val="000000"/>
          <w:sz w:val="32"/>
          <w:szCs w:val="32"/>
          <w:lang w:val="en-US" w:eastAsia="zh-CN"/>
        </w:rPr>
        <w:t>万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43"/>
        <w:textAlignment w:val="auto"/>
        <w:rPr>
          <w:rFonts w:hint="eastAsia" w:ascii="黑体" w:eastAsia="黑体" w:cs="黑体"/>
          <w:bCs/>
          <w:color w:val="000000"/>
          <w:sz w:val="32"/>
          <w:szCs w:val="32"/>
          <w:shd w:val="clear" w:color="auto" w:fill="FFFFFF"/>
          <w:lang w:val="zh-CN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shd w:val="clear" w:color="auto" w:fill="FFFFFF"/>
          <w:lang w:val="zh-CN"/>
        </w:rPr>
        <w:t>四、服务要求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43"/>
        <w:jc w:val="both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color w:val="000000"/>
          <w:sz w:val="32"/>
          <w:szCs w:val="32"/>
          <w:shd w:val="clear" w:color="auto" w:fill="FFFFFF"/>
        </w:rPr>
        <w:t>（一）基本要求</w:t>
      </w:r>
    </w:p>
    <w:p>
      <w:pPr>
        <w:pStyle w:val="5"/>
        <w:widowControl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3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1.服务单位需对项目的制定实施方案，并报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采购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单位同意；</w:t>
      </w:r>
    </w:p>
    <w:p>
      <w:pPr>
        <w:pStyle w:val="5"/>
        <w:widowControl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3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2.成立专门团队负责本项目，并指定1名负责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同志与采购单位沟通协调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；</w:t>
      </w:r>
    </w:p>
    <w:p>
      <w:pPr>
        <w:pStyle w:val="5"/>
        <w:widowControl/>
        <w:shd w:val="clear" w:color="auto" w:fill="FFFFFF"/>
        <w:spacing w:before="0" w:beforeAutospacing="0" w:after="0" w:afterAutospacing="0" w:line="600" w:lineRule="exact"/>
        <w:ind w:firstLine="630"/>
        <w:jc w:val="both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3.服务单位在本次项目期间须按采购单位实际要求作出相应的调整；</w:t>
      </w:r>
    </w:p>
    <w:p>
      <w:pPr>
        <w:pStyle w:val="5"/>
        <w:widowControl/>
        <w:shd w:val="clear" w:color="auto" w:fill="FFFFFF"/>
        <w:spacing w:before="0" w:beforeAutospacing="0" w:after="0" w:afterAutospacing="0" w:line="600" w:lineRule="exact"/>
        <w:ind w:firstLine="63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4.服务单位不得将项目外包或者转让给其它服务机构承接服务；</w:t>
      </w:r>
    </w:p>
    <w:p>
      <w:pPr>
        <w:pStyle w:val="5"/>
        <w:widowControl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30"/>
        <w:jc w:val="both"/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5.服务单位需在2023年12月31日前完成所有建设内容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5"/>
        <w:widowControl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30"/>
        <w:jc w:val="both"/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6.服务单位需在系统填报期间保证系统正常运行，相关费用包含在本项目采购预算内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5"/>
        <w:widowControl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30"/>
        <w:jc w:val="both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7.服务单位需对所有建设和运营内容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的正确性、保密性和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意识形态的安全性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进行审核把关；</w:t>
      </w:r>
    </w:p>
    <w:p>
      <w:pPr>
        <w:pStyle w:val="5"/>
        <w:widowControl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30"/>
        <w:jc w:val="both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8.服务单位负责解决本项目所有资源的授权使用、版权等问题。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43"/>
        <w:jc w:val="both"/>
        <w:textAlignment w:val="auto"/>
        <w:rPr>
          <w:rFonts w:ascii="仿宋_GB2312" w:eastAsia="仿宋_GB2312" w:cs="仿宋_GB2312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b/>
          <w:color w:val="000000"/>
          <w:sz w:val="32"/>
          <w:szCs w:val="32"/>
          <w:shd w:val="clear" w:color="auto" w:fill="FFFFFF"/>
        </w:rPr>
        <w:t>（二）服务内容</w:t>
      </w:r>
    </w:p>
    <w:p>
      <w:pPr>
        <w:pStyle w:val="3"/>
        <w:spacing w:line="600" w:lineRule="exact"/>
        <w:rPr>
          <w:color w:val="000000"/>
        </w:rPr>
      </w:pPr>
      <w:r>
        <w:rPr>
          <w:rFonts w:ascii="仿宋_GB2312" w:eastAsia="仿宋_GB2312" w:cs="仿宋"/>
          <w:color w:val="000000"/>
          <w:sz w:val="32"/>
          <w:szCs w:val="32"/>
        </w:rPr>
        <w:t>全省公共文化服务体系高质量发展</w:t>
      </w:r>
      <w:r>
        <w:rPr>
          <w:rFonts w:hint="eastAsia" w:ascii="仿宋_GB2312" w:eastAsia="仿宋_GB2312" w:cs="仿宋"/>
          <w:color w:val="000000"/>
          <w:sz w:val="32"/>
          <w:szCs w:val="32"/>
        </w:rPr>
        <w:t>五年行动计划</w:t>
      </w:r>
      <w:r>
        <w:rPr>
          <w:rFonts w:ascii="仿宋_GB2312" w:eastAsia="仿宋_GB2312" w:cs="仿宋"/>
          <w:color w:val="000000"/>
          <w:sz w:val="32"/>
          <w:szCs w:val="32"/>
        </w:rPr>
        <w:t>绩效评价</w:t>
      </w:r>
      <w:r>
        <w:rPr>
          <w:rFonts w:hint="eastAsia" w:ascii="仿宋_GB2312" w:eastAsia="仿宋_GB2312" w:cs="仿宋"/>
          <w:color w:val="000000"/>
          <w:sz w:val="32"/>
          <w:szCs w:val="32"/>
        </w:rPr>
        <w:t>系统填报分为</w:t>
      </w:r>
      <w:r>
        <w:rPr>
          <w:rFonts w:ascii="仿宋_GB2312" w:eastAsia="仿宋_GB2312" w:cs="仿宋"/>
          <w:color w:val="000000"/>
          <w:sz w:val="32"/>
          <w:szCs w:val="32"/>
        </w:rPr>
        <w:t>三</w:t>
      </w:r>
      <w:r>
        <w:rPr>
          <w:rFonts w:hint="eastAsia" w:ascii="仿宋_GB2312" w:eastAsia="仿宋_GB2312" w:cs="仿宋"/>
          <w:color w:val="000000"/>
          <w:sz w:val="32"/>
          <w:szCs w:val="32"/>
        </w:rPr>
        <w:t>个部分：公共文化服务效能指标、公共文化服务保障指标、</w:t>
      </w:r>
      <w:r>
        <w:rPr>
          <w:rFonts w:ascii="仿宋_GB2312" w:eastAsia="仿宋_GB2312" w:cs="仿宋"/>
          <w:color w:val="000000"/>
          <w:sz w:val="32"/>
          <w:szCs w:val="32"/>
        </w:rPr>
        <w:t>公共文化服务公众满意率评价</w:t>
      </w:r>
      <w:r>
        <w:rPr>
          <w:rFonts w:hint="eastAsia" w:ascii="仿宋_GB2312" w:eastAsia="仿宋_GB2312" w:cs="仿宋"/>
          <w:color w:val="000000"/>
          <w:sz w:val="32"/>
          <w:szCs w:val="32"/>
        </w:rPr>
        <w:t>。</w:t>
      </w:r>
    </w:p>
    <w:p>
      <w:pPr>
        <w:widowControl w:val="0"/>
        <w:adjustRightInd w:val="0"/>
        <w:snapToGrid/>
        <w:spacing w:after="0" w:line="600" w:lineRule="exact"/>
        <w:ind w:firstLine="640" w:firstLineChars="200"/>
        <w:rPr>
          <w:rFonts w:asci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Cs/>
          <w:color w:val="000000"/>
          <w:sz w:val="32"/>
          <w:szCs w:val="32"/>
        </w:rPr>
        <w:t>1.收集全省各市州、</w:t>
      </w:r>
      <w:r>
        <w:rPr>
          <w:rFonts w:ascii="仿宋_GB2312" w:eastAsia="仿宋_GB2312" w:cs="仿宋_GB2312"/>
          <w:bCs/>
          <w:color w:val="000000"/>
          <w:sz w:val="32"/>
          <w:szCs w:val="32"/>
        </w:rPr>
        <w:t>县市区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</w:rPr>
        <w:t>指标填报</w:t>
      </w:r>
      <w:r>
        <w:rPr>
          <w:rFonts w:ascii="仿宋_GB2312" w:eastAsia="仿宋_GB2312" w:cs="仿宋_GB2312"/>
          <w:bCs/>
          <w:color w:val="000000"/>
          <w:sz w:val="32"/>
          <w:szCs w:val="32"/>
        </w:rPr>
        <w:t>；</w:t>
      </w:r>
    </w:p>
    <w:p>
      <w:pPr>
        <w:widowControl w:val="0"/>
        <w:adjustRightInd w:val="0"/>
        <w:snapToGrid/>
        <w:spacing w:after="0" w:line="60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2.对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</w:rPr>
        <w:t>全省各市州、</w:t>
      </w:r>
      <w:r>
        <w:rPr>
          <w:rFonts w:ascii="仿宋_GB2312" w:eastAsia="仿宋_GB2312" w:cs="仿宋_GB2312"/>
          <w:bCs/>
          <w:color w:val="000000"/>
          <w:sz w:val="32"/>
          <w:szCs w:val="32"/>
        </w:rPr>
        <w:t>县市区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</w:rPr>
        <w:t>填报指标进行数据统计</w:t>
      </w:r>
      <w:r>
        <w:rPr>
          <w:rFonts w:ascii="仿宋_GB2312" w:eastAsia="仿宋_GB2312" w:cs="仿宋_GB2312"/>
          <w:bCs/>
          <w:color w:val="000000"/>
          <w:sz w:val="32"/>
          <w:szCs w:val="32"/>
        </w:rPr>
        <w:t>分析；</w:t>
      </w:r>
    </w:p>
    <w:p>
      <w:pPr>
        <w:widowControl w:val="0"/>
        <w:adjustRightInd w:val="0"/>
        <w:snapToGrid/>
        <w:spacing w:after="0"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Cs/>
          <w:color w:val="000000"/>
          <w:sz w:val="32"/>
          <w:szCs w:val="32"/>
        </w:rPr>
        <w:t>3.对全省各市州、</w:t>
      </w:r>
      <w:r>
        <w:rPr>
          <w:rFonts w:ascii="仿宋_GB2312" w:eastAsia="仿宋_GB2312" w:cs="仿宋_GB2312"/>
          <w:bCs/>
          <w:color w:val="000000"/>
          <w:sz w:val="32"/>
          <w:szCs w:val="32"/>
        </w:rPr>
        <w:t>县市区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</w:rPr>
        <w:t>填报指标进行数据按增量</w:t>
      </w:r>
      <w:r>
        <w:rPr>
          <w:rFonts w:ascii="仿宋_GB2312" w:eastAsia="仿宋_GB2312" w:cs="仿宋_GB2312"/>
          <w:bCs/>
          <w:color w:val="000000"/>
          <w:sz w:val="32"/>
          <w:szCs w:val="32"/>
        </w:rPr>
        <w:t>存量数据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</w:rPr>
        <w:t>进行分析</w:t>
      </w:r>
      <w:r>
        <w:rPr>
          <w:rFonts w:ascii="仿宋_GB2312" w:eastAsia="仿宋_GB2312" w:cs="仿宋_GB2312"/>
          <w:bCs/>
          <w:color w:val="000000"/>
          <w:sz w:val="32"/>
          <w:szCs w:val="32"/>
        </w:rPr>
        <w:t>；</w:t>
      </w:r>
    </w:p>
    <w:p>
      <w:pPr>
        <w:widowControl w:val="0"/>
        <w:adjustRightInd w:val="0"/>
        <w:snapToGrid/>
        <w:spacing w:after="0" w:line="60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4.根据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</w:rPr>
        <w:t>数据分析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按</w:t>
      </w:r>
      <w:r>
        <w:rPr>
          <w:rFonts w:hint="eastAsia" w:ascii="仿宋_GB2312" w:eastAsia="仿宋_GB2312"/>
          <w:color w:val="auto"/>
          <w:sz w:val="32"/>
          <w:szCs w:val="32"/>
        </w:rPr>
        <w:t>分</w:t>
      </w:r>
      <w:r>
        <w:rPr>
          <w:rFonts w:ascii="仿宋_GB2312" w:eastAsia="仿宋_GB2312"/>
          <w:color w:val="auto"/>
          <w:sz w:val="32"/>
          <w:szCs w:val="32"/>
        </w:rPr>
        <w:t>A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ascii="仿宋_GB2312" w:eastAsia="仿宋_GB2312"/>
          <w:color w:val="auto"/>
          <w:sz w:val="32"/>
          <w:szCs w:val="32"/>
          <w:lang w:eastAsia="zh-CN"/>
        </w:rPr>
        <w:t>B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ascii="仿宋_GB2312" w:eastAsia="仿宋_GB2312"/>
          <w:color w:val="auto"/>
          <w:sz w:val="32"/>
          <w:szCs w:val="32"/>
          <w:lang w:eastAsia="zh-CN"/>
        </w:rPr>
        <w:t>C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color w:val="auto"/>
          <w:sz w:val="32"/>
          <w:szCs w:val="32"/>
        </w:rPr>
        <w:t>类对14个市州和123个县市区进行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数据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评价</w:t>
      </w:r>
      <w:r>
        <w:rPr>
          <w:rFonts w:ascii="仿宋_GB2312" w:eastAsia="仿宋_GB2312"/>
          <w:color w:val="auto"/>
          <w:sz w:val="32"/>
          <w:szCs w:val="32"/>
        </w:rPr>
        <w:t>；</w:t>
      </w:r>
    </w:p>
    <w:p>
      <w:pPr>
        <w:widowControl w:val="0"/>
        <w:adjustRightInd w:val="0"/>
        <w:snapToGrid/>
        <w:spacing w:after="0" w:line="60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5.提供服务器、数据库</w:t>
      </w:r>
      <w:r>
        <w:rPr>
          <w:rFonts w:ascii="仿宋_GB2312" w:eastAsia="仿宋_GB2312" w:cs="仿宋_GB2312"/>
          <w:color w:val="000000"/>
          <w:sz w:val="32"/>
          <w:szCs w:val="32"/>
        </w:rPr>
        <w:t>；</w:t>
      </w:r>
    </w:p>
    <w:p>
      <w:pPr>
        <w:widowControl w:val="0"/>
        <w:adjustRightInd w:val="0"/>
        <w:snapToGrid/>
        <w:spacing w:after="0" w:line="600" w:lineRule="exact"/>
        <w:ind w:firstLine="640" w:firstLineChars="200"/>
        <w:rPr>
          <w:rFonts w:hint="eastAsia" w:asci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Cs/>
          <w:color w:val="000000"/>
          <w:sz w:val="32"/>
          <w:szCs w:val="32"/>
        </w:rPr>
        <w:t>6.其他工作</w:t>
      </w:r>
      <w:r>
        <w:rPr>
          <w:rFonts w:ascii="仿宋_GB2312" w:eastAsia="仿宋_GB2312" w:cs="仿宋_GB2312"/>
          <w:bCs/>
          <w:color w:val="000000"/>
          <w:sz w:val="32"/>
          <w:szCs w:val="32"/>
        </w:rPr>
        <w:t>。</w:t>
      </w:r>
    </w:p>
    <w:p>
      <w:pPr>
        <w:pStyle w:val="3"/>
        <w:spacing w:line="60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公共文化</w:t>
      </w:r>
      <w:r>
        <w:rPr>
          <w:rFonts w:ascii="仿宋_GB2312" w:eastAsia="仿宋_GB2312" w:cs="仿宋_GB2312"/>
          <w:sz w:val="32"/>
          <w:szCs w:val="32"/>
        </w:rPr>
        <w:t>服务</w:t>
      </w:r>
      <w:r>
        <w:rPr>
          <w:rFonts w:hint="eastAsia" w:ascii="仿宋_GB2312" w:eastAsia="仿宋_GB2312" w:cs="仿宋_GB2312"/>
          <w:spacing w:val="6"/>
          <w:sz w:val="32"/>
          <w:szCs w:val="32"/>
          <w:lang w:bidi="ar-SA"/>
        </w:rPr>
        <w:t>公众满意</w:t>
      </w:r>
      <w:r>
        <w:rPr>
          <w:rFonts w:ascii="仿宋_GB2312" w:eastAsia="仿宋_GB2312" w:cs="仿宋"/>
          <w:color w:val="000000"/>
          <w:sz w:val="32"/>
          <w:szCs w:val="32"/>
        </w:rPr>
        <w:t>率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测评</w:t>
      </w:r>
      <w:r>
        <w:rPr>
          <w:rFonts w:ascii="仿宋_GB2312" w:eastAsia="仿宋_GB2312" w:cs="仿宋_GB2312"/>
          <w:sz w:val="32"/>
          <w:szCs w:val="32"/>
          <w:lang w:bidi="ar-SA"/>
        </w:rPr>
        <w:t>：</w:t>
      </w:r>
    </w:p>
    <w:p>
      <w:pPr>
        <w:pStyle w:val="3"/>
        <w:spacing w:line="600" w:lineRule="exact"/>
        <w:rPr>
          <w:rFonts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pacing w:val="6"/>
          <w:sz w:val="32"/>
          <w:szCs w:val="32"/>
          <w:lang w:bidi="ar-SA"/>
        </w:rPr>
        <w:t>公众满意</w:t>
      </w:r>
      <w:r>
        <w:rPr>
          <w:rFonts w:ascii="仿宋_GB2312" w:eastAsia="仿宋_GB2312" w:cs="仿宋"/>
          <w:color w:val="000000"/>
          <w:sz w:val="32"/>
          <w:szCs w:val="32"/>
        </w:rPr>
        <w:t>率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测评采用信息化、网络化手段,由各县市区自行组织公众通过微信扫描二维码的方式，填写调查问卷</w:t>
      </w:r>
      <w:r>
        <w:rPr>
          <w:rFonts w:ascii="仿宋_GB2312" w:eastAsia="仿宋_GB2312" w:cs="仿宋_GB2312"/>
          <w:bCs/>
          <w:color w:val="000000"/>
          <w:sz w:val="32"/>
          <w:szCs w:val="32"/>
        </w:rPr>
        <w:t>。</w:t>
      </w:r>
    </w:p>
    <w:p>
      <w:pPr>
        <w:widowControl w:val="0"/>
        <w:adjustRightInd w:val="0"/>
        <w:snapToGrid/>
        <w:spacing w:after="0" w:line="600" w:lineRule="exact"/>
        <w:ind w:firstLine="640" w:firstLineChars="200"/>
        <w:rPr>
          <w:rFonts w:asci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Cs/>
          <w:color w:val="000000"/>
          <w:sz w:val="32"/>
          <w:szCs w:val="32"/>
        </w:rPr>
        <w:t>1.需对接湖南公共文旅云平台</w:t>
      </w:r>
      <w:r>
        <w:rPr>
          <w:rFonts w:ascii="仿宋_GB2312" w:eastAsia="仿宋_GB2312" w:cs="仿宋_GB2312"/>
          <w:bCs/>
          <w:color w:val="000000"/>
          <w:sz w:val="32"/>
          <w:szCs w:val="32"/>
        </w:rPr>
        <w:t>；</w:t>
      </w:r>
    </w:p>
    <w:p>
      <w:pPr>
        <w:widowControl w:val="0"/>
        <w:adjustRightInd w:val="0"/>
        <w:snapToGrid/>
        <w:spacing w:after="0" w:line="60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2.收集全省</w:t>
      </w:r>
      <w:r>
        <w:rPr>
          <w:rFonts w:ascii="仿宋_GB2312" w:eastAsia="仿宋_GB2312" w:cs="仿宋_GB2312"/>
          <w:color w:val="000000"/>
          <w:sz w:val="32"/>
          <w:szCs w:val="32"/>
        </w:rPr>
        <w:t>公共文化服务公众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满意</w:t>
      </w:r>
      <w:r>
        <w:rPr>
          <w:rFonts w:ascii="仿宋_GB2312" w:eastAsia="仿宋_GB2312" w:cs="仿宋"/>
          <w:color w:val="000000"/>
          <w:sz w:val="32"/>
          <w:szCs w:val="32"/>
        </w:rPr>
        <w:t>率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测评数据</w:t>
      </w:r>
      <w:r>
        <w:rPr>
          <w:rFonts w:ascii="仿宋_GB2312" w:eastAsia="仿宋_GB2312" w:cs="仿宋_GB2312"/>
          <w:color w:val="000000"/>
          <w:sz w:val="32"/>
          <w:szCs w:val="32"/>
        </w:rPr>
        <w:t>；</w:t>
      </w:r>
    </w:p>
    <w:p>
      <w:pPr>
        <w:widowControl w:val="0"/>
        <w:adjustRightInd w:val="0"/>
        <w:snapToGrid/>
        <w:spacing w:after="0" w:line="60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Cs/>
          <w:color w:val="000000"/>
          <w:sz w:val="32"/>
          <w:szCs w:val="32"/>
        </w:rPr>
        <w:t>3.对每项测评数据</w:t>
      </w:r>
      <w:r>
        <w:rPr>
          <w:rFonts w:ascii="仿宋_GB2312" w:eastAsia="仿宋_GB2312" w:cs="仿宋_GB2312"/>
          <w:bCs/>
          <w:color w:val="000000"/>
          <w:sz w:val="32"/>
          <w:szCs w:val="32"/>
        </w:rPr>
        <w:t>进行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</w:rPr>
        <w:t>分析</w:t>
      </w:r>
      <w:r>
        <w:rPr>
          <w:rFonts w:ascii="仿宋_GB2312" w:eastAsia="仿宋_GB2312" w:cs="仿宋_GB2312"/>
          <w:bCs/>
          <w:color w:val="000000"/>
          <w:sz w:val="32"/>
          <w:szCs w:val="32"/>
        </w:rPr>
        <w:t>；</w:t>
      </w:r>
    </w:p>
    <w:p>
      <w:pPr>
        <w:widowControl w:val="0"/>
        <w:adjustRightInd w:val="0"/>
        <w:snapToGrid/>
        <w:spacing w:after="0" w:line="60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4.提供服务器、数据库、短信运营商服务</w:t>
      </w:r>
      <w:r>
        <w:rPr>
          <w:rFonts w:ascii="仿宋_GB2312" w:eastAsia="仿宋_GB2312" w:cs="仿宋_GB2312"/>
          <w:color w:val="000000"/>
          <w:sz w:val="32"/>
          <w:szCs w:val="32"/>
        </w:rPr>
        <w:t>；</w:t>
      </w:r>
    </w:p>
    <w:p>
      <w:pPr>
        <w:widowControl w:val="0"/>
        <w:adjustRightInd w:val="0"/>
        <w:snapToGrid/>
        <w:spacing w:after="0" w:line="600" w:lineRule="exact"/>
        <w:ind w:firstLine="640" w:firstLineChars="200"/>
        <w:rPr>
          <w:rFonts w:asci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Cs/>
          <w:color w:val="000000"/>
          <w:sz w:val="32"/>
          <w:szCs w:val="32"/>
        </w:rPr>
        <w:t>5.其他工作</w:t>
      </w:r>
      <w:r>
        <w:rPr>
          <w:rFonts w:ascii="仿宋_GB2312" w:eastAsia="仿宋_GB2312" w:cs="仿宋_GB2312"/>
          <w:bCs/>
          <w:color w:val="00000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43"/>
        <w:textAlignment w:val="auto"/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  <w:t>五、保障要求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/>
        <w:spacing w:after="0" w:line="600" w:lineRule="exact"/>
        <w:ind w:left="0" w:firstLine="640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服务单位需妥善保存项目实施的所有相关资料，及时响应采购方的抽查、调阅等要求，并积极配合有关部门的监督检查。服务期间出现的纠纷，按合同约定的方式进行处理。有关服务质量纠纷问题，由主管部门进行裁定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43"/>
        <w:textAlignment w:val="auto"/>
        <w:rPr>
          <w:rFonts w:hint="eastAsia" w:ascii="黑体" w:eastAsia="黑体" w:cs="等线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  <w:t>六、其他要求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600" w:lineRule="exact"/>
        <w:ind w:left="0" w:firstLine="64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采购方对服务活动实施情况进行实时监督检查，并按有关规定对出现的问题及时进行处理。服务单位在服务期间内出现下列情形之一，视情节给予取消服务资格：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600" w:lineRule="exact"/>
        <w:ind w:left="0"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不按投标承诺及合同规定的条款提供服务；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600" w:lineRule="exact"/>
        <w:ind w:left="0"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采用不正当竞争手段，影响正常服务工作；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600" w:lineRule="exact"/>
        <w:ind w:left="0" w:firstLine="640" w:firstLineChars="200"/>
        <w:textAlignment w:val="auto"/>
        <w:rPr>
          <w:rFonts w:ascii="黑体" w:eastAsia="黑体" w:cs="黑体"/>
          <w:b/>
          <w:bCs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违反法律、法规的其它情形。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永中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altName w:val="DejaVu Sans"/>
    <w:panose1 w:val="020B0604030504040204"/>
    <w:charset w:val="00"/>
    <w:family w:val="modern"/>
    <w:pitch w:val="default"/>
    <w:sig w:usb0="00000000" w:usb1="00000000" w:usb2="00000029" w:usb3="00000000" w:csb0="200101FF" w:csb1="20280000"/>
  </w:font>
  <w:font w:name="微软雅黑">
    <w:panose1 w:val="020B0502040204020203"/>
    <w:charset w:val="86"/>
    <w:family w:val="modern"/>
    <w:pitch w:val="default"/>
    <w:sig w:usb0="80000287" w:usb1="2ACF0010" w:usb2="00000016" w:usb3="00000000" w:csb0="0004001F" w:csb1="00000000"/>
  </w:font>
  <w:font w:name="Arial">
    <w:altName w:val="DejaVu Sans"/>
    <w:panose1 w:val="020B0604020202020204"/>
    <w:charset w:val="01"/>
    <w:family w:val="modern"/>
    <w:pitch w:val="default"/>
    <w:sig w:usb0="00000000" w:usb1="00000000" w:usb2="00000009" w:usb3="00000000" w:csb0="400001FF" w:csb1="FFFF0000"/>
  </w:font>
  <w:font w:name="永中宋体">
    <w:panose1 w:val="02010600030101010101"/>
    <w:charset w:val="86"/>
    <w:family w:val="auto"/>
    <w:pitch w:val="default"/>
    <w:sig w:usb0="000008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FAE9DB"/>
    <w:rsid w:val="BEFAE9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Arial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uiPriority w:val="0"/>
    <w:pPr>
      <w:ind w:left="2940"/>
    </w:pPr>
  </w:style>
  <w:style w:type="paragraph" w:styleId="3">
    <w:name w:val="Normal Indent"/>
    <w:next w:val="2"/>
    <w:uiPriority w:val="0"/>
    <w:pPr>
      <w:widowControl w:val="0"/>
      <w:ind w:firstLine="200" w:firstLineChars="200"/>
      <w:jc w:val="both"/>
    </w:pPr>
    <w:rPr>
      <w:rFonts w:ascii="Calibri" w:hAnsi="Calibri" w:eastAsia="宋体" w:cs="Arial"/>
      <w:kern w:val="2"/>
      <w:sz w:val="28"/>
      <w:szCs w:val="24"/>
      <w:lang w:val="en-US" w:eastAsia="zh-CN" w:bidi="ar-SA"/>
    </w:rPr>
  </w:style>
  <w:style w:type="paragraph" w:styleId="4">
    <w:name w:val="index 9"/>
    <w:next w:val="1"/>
    <w:uiPriority w:val="0"/>
    <w:pPr>
      <w:widowControl w:val="0"/>
      <w:ind w:left="3360" w:firstLine="200" w:firstLineChars="200"/>
      <w:jc w:val="both"/>
    </w:pPr>
    <w:rPr>
      <w:rFonts w:ascii="Calibri" w:hAnsi="Calibri" w:eastAsia="宋体" w:cs="Arial"/>
      <w:kern w:val="2"/>
      <w:sz w:val="28"/>
      <w:szCs w:val="24"/>
      <w:lang w:val="en-US" w:eastAsia="zh-CN" w:bidi="ar-SA"/>
    </w:rPr>
  </w:style>
  <w:style w:type="paragraph" w:styleId="5">
    <w:name w:val="Normal (Web)"/>
    <w:basedOn w:val="1"/>
    <w:next w:val="4"/>
    <w:uiPriority w:val="0"/>
    <w:pPr>
      <w:widowControl w:val="0"/>
      <w:spacing w:before="100" w:beforeAutospacing="1" w:after="100" w:afterAutospacing="1"/>
    </w:pPr>
    <w:rPr>
      <w:rFonts w:ascii="宋体" w:eastAsia="宋体" w:cs="Times New Roman"/>
      <w:kern w:val="2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专业版_10.1.0.6171_F1E327BC-269C-435d-A152-05C5408002CA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2023-09-26T10:59:00Z</dcterms:created>
  <dc:creator>greatwall</dc:creator>
  <cp:lastModifiedBy>greatwall</cp:lastModifiedBy>
  <dcterms:modified xsi:type="dcterms:W3CDTF">2023-09-26T11:00:20Z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2052-10.1.0.6171</vt:lpwstr>
  </property>
</Properties>
</file>