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59D26">
      <w:pPr>
        <w:keepNext w:val="0"/>
        <w:keepLines w:val="0"/>
        <w:pageBreakBefore w:val="0"/>
        <w:widowControl/>
        <w:kinsoku/>
        <w:wordWrap/>
        <w:overflowPunct/>
        <w:topLinePunct w:val="0"/>
        <w:autoSpaceDE/>
        <w:autoSpaceDN/>
        <w:bidi w:val="0"/>
        <w:adjustRightInd w:val="0"/>
        <w:snapToGrid w:val="0"/>
        <w:spacing w:before="220" w:beforeLines="50" w:after="220" w:afterLines="50" w:line="700" w:lineRule="exact"/>
        <w:ind w:firstLine="0" w:firstLineChars="0"/>
        <w:jc w:val="center"/>
        <w:textAlignment w:val="auto"/>
        <w:rPr>
          <w:rFonts w:hint="default" w:ascii="Times New Roman" w:hAnsi="Times New Roman" w:eastAsia="方正小标宋_GBK" w:cs="Times New Roman"/>
          <w:b w:val="0"/>
          <w:bCs/>
          <w:sz w:val="52"/>
          <w:szCs w:val="52"/>
          <w:highlight w:val="none"/>
          <w:lang w:eastAsia="zh-CN"/>
        </w:rPr>
      </w:pPr>
      <w:bookmarkStart w:id="0" w:name="_Hlk47907248"/>
    </w:p>
    <w:p w14:paraId="59B1BFD3">
      <w:pPr>
        <w:pStyle w:val="8"/>
        <w:rPr>
          <w:rFonts w:hint="default" w:ascii="Times New Roman" w:hAnsi="Times New Roman" w:cs="Times New Roman"/>
          <w:lang w:eastAsia="zh-CN"/>
        </w:rPr>
      </w:pPr>
    </w:p>
    <w:p w14:paraId="383C5CCD">
      <w:pPr>
        <w:keepNext w:val="0"/>
        <w:keepLines w:val="0"/>
        <w:pageBreakBefore w:val="0"/>
        <w:widowControl/>
        <w:kinsoku/>
        <w:wordWrap/>
        <w:overflowPunct/>
        <w:topLinePunct w:val="0"/>
        <w:autoSpaceDE/>
        <w:autoSpaceDN/>
        <w:bidi w:val="0"/>
        <w:adjustRightInd w:val="0"/>
        <w:snapToGrid w:val="0"/>
        <w:spacing w:before="220" w:beforeLines="50" w:after="220" w:afterLines="50" w:line="700" w:lineRule="exact"/>
        <w:ind w:firstLine="0" w:firstLineChars="0"/>
        <w:jc w:val="center"/>
        <w:textAlignment w:val="auto"/>
        <w:rPr>
          <w:rFonts w:hint="default" w:ascii="Times New Roman" w:hAnsi="Times New Roman" w:eastAsia="方正小标宋简体" w:cs="Times New Roman"/>
          <w:b w:val="0"/>
          <w:bCs/>
          <w:sz w:val="44"/>
          <w:szCs w:val="44"/>
          <w:highlight w:val="none"/>
        </w:rPr>
      </w:pPr>
    </w:p>
    <w:p w14:paraId="23876B83">
      <w:pPr>
        <w:keepNext w:val="0"/>
        <w:keepLines w:val="0"/>
        <w:pageBreakBefore w:val="0"/>
        <w:widowControl/>
        <w:kinsoku/>
        <w:wordWrap/>
        <w:overflowPunct/>
        <w:topLinePunct w:val="0"/>
        <w:autoSpaceDE/>
        <w:autoSpaceDN/>
        <w:bidi w:val="0"/>
        <w:adjustRightInd w:val="0"/>
        <w:snapToGrid w:val="0"/>
        <w:spacing w:before="220" w:beforeLines="50" w:after="220" w:afterLines="50" w:line="360" w:lineRule="auto"/>
        <w:ind w:firstLine="0" w:firstLineChars="0"/>
        <w:jc w:val="center"/>
        <w:textAlignment w:val="auto"/>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b w:val="0"/>
          <w:bCs/>
          <w:sz w:val="44"/>
          <w:szCs w:val="44"/>
          <w:highlight w:val="none"/>
        </w:rPr>
        <w:t>湖南省文化和旅游厅</w:t>
      </w:r>
      <w:r>
        <w:rPr>
          <w:rFonts w:hint="default" w:ascii="Times New Roman" w:hAnsi="Times New Roman" w:eastAsia="方正小标宋简体" w:cs="Times New Roman"/>
          <w:b w:val="0"/>
          <w:bCs/>
          <w:sz w:val="44"/>
          <w:szCs w:val="44"/>
          <w:highlight w:val="none"/>
          <w:lang w:eastAsia="zh-CN"/>
        </w:rPr>
        <w:t>202</w:t>
      </w:r>
      <w:r>
        <w:rPr>
          <w:rFonts w:hint="eastAsia" w:eastAsia="方正小标宋简体" w:cs="Times New Roman"/>
          <w:b w:val="0"/>
          <w:bCs/>
          <w:sz w:val="44"/>
          <w:szCs w:val="44"/>
          <w:highlight w:val="none"/>
          <w:lang w:val="en-US" w:eastAsia="zh-CN"/>
        </w:rPr>
        <w:t>5</w:t>
      </w:r>
      <w:r>
        <w:rPr>
          <w:rFonts w:hint="default" w:ascii="Times New Roman" w:hAnsi="Times New Roman" w:eastAsia="方正小标宋简体" w:cs="Times New Roman"/>
          <w:b w:val="0"/>
          <w:bCs/>
          <w:sz w:val="44"/>
          <w:szCs w:val="44"/>
          <w:highlight w:val="none"/>
          <w:lang w:eastAsia="zh-CN"/>
        </w:rPr>
        <w:t>年度</w:t>
      </w:r>
      <w:r>
        <w:rPr>
          <w:rFonts w:hint="eastAsia" w:eastAsia="方正小标宋简体" w:cs="Times New Roman"/>
          <w:b w:val="0"/>
          <w:bCs/>
          <w:sz w:val="44"/>
          <w:szCs w:val="44"/>
          <w:highlight w:val="none"/>
          <w:lang w:eastAsia="zh-CN"/>
        </w:rPr>
        <w:t>省</w:t>
      </w:r>
      <w:bookmarkStart w:id="192" w:name="_GoBack"/>
      <w:bookmarkEnd w:id="192"/>
      <w:r>
        <w:rPr>
          <w:rFonts w:hint="default" w:ascii="Times New Roman" w:hAnsi="Times New Roman" w:eastAsia="方正小标宋简体" w:cs="Times New Roman"/>
          <w:b w:val="0"/>
          <w:bCs/>
          <w:sz w:val="44"/>
          <w:szCs w:val="44"/>
          <w:highlight w:val="none"/>
        </w:rPr>
        <w:t>文化旅游</w:t>
      </w:r>
      <w:r>
        <w:rPr>
          <w:rFonts w:hint="default" w:ascii="Times New Roman" w:hAnsi="Times New Roman" w:eastAsia="方正小标宋简体" w:cs="Times New Roman"/>
          <w:b w:val="0"/>
          <w:bCs/>
          <w:sz w:val="44"/>
          <w:szCs w:val="44"/>
          <w:highlight w:val="none"/>
          <w:lang w:val="en-US" w:eastAsia="zh-CN"/>
        </w:rPr>
        <w:t>发展</w:t>
      </w:r>
      <w:r>
        <w:rPr>
          <w:rFonts w:hint="default" w:ascii="Times New Roman" w:hAnsi="Times New Roman" w:eastAsia="方正小标宋简体" w:cs="Times New Roman"/>
          <w:b w:val="0"/>
          <w:bCs/>
          <w:sz w:val="44"/>
          <w:szCs w:val="44"/>
          <w:highlight w:val="none"/>
          <w:lang w:val="zh-CN"/>
        </w:rPr>
        <w:t>专项资金绩效</w:t>
      </w:r>
      <w:r>
        <w:rPr>
          <w:rFonts w:hint="eastAsia" w:eastAsia="方正小标宋简体" w:cs="Times New Roman"/>
          <w:b w:val="0"/>
          <w:bCs/>
          <w:sz w:val="44"/>
          <w:szCs w:val="44"/>
          <w:highlight w:val="none"/>
          <w:lang w:val="en-US" w:eastAsia="zh-CN"/>
        </w:rPr>
        <w:t>评价</w:t>
      </w:r>
      <w:r>
        <w:rPr>
          <w:rFonts w:hint="default" w:ascii="Times New Roman" w:hAnsi="Times New Roman" w:eastAsia="方正小标宋简体" w:cs="Times New Roman"/>
          <w:b w:val="0"/>
          <w:bCs/>
          <w:sz w:val="44"/>
          <w:szCs w:val="44"/>
          <w:highlight w:val="none"/>
          <w:lang w:val="zh-CN"/>
        </w:rPr>
        <w:t>报告</w:t>
      </w:r>
    </w:p>
    <w:p w14:paraId="3D001E54">
      <w:pPr>
        <w:pageBreakBefore w:val="0"/>
        <w:kinsoku/>
        <w:wordWrap/>
        <w:topLinePunct w:val="0"/>
        <w:autoSpaceDE/>
        <w:autoSpaceDN/>
        <w:bidi w:val="0"/>
        <w:spacing w:before="312" w:line="560" w:lineRule="exact"/>
        <w:ind w:firstLine="0" w:firstLineChars="0"/>
        <w:jc w:val="center"/>
        <w:rPr>
          <w:rFonts w:hint="default" w:ascii="Times New Roman" w:hAnsi="Times New Roman" w:eastAsia="仿宋_GB2312" w:cs="Times New Roman"/>
          <w:sz w:val="28"/>
          <w:szCs w:val="28"/>
          <w:highlight w:val="none"/>
          <w:lang w:eastAsia="zh-CN"/>
        </w:rPr>
      </w:pPr>
    </w:p>
    <w:p w14:paraId="3C7B448F">
      <w:pPr>
        <w:pStyle w:val="8"/>
        <w:rPr>
          <w:rFonts w:hint="default" w:ascii="Times New Roman" w:hAnsi="Times New Roman" w:eastAsia="仿宋_GB2312" w:cs="Times New Roman"/>
          <w:sz w:val="28"/>
          <w:szCs w:val="28"/>
          <w:highlight w:val="none"/>
          <w:lang w:eastAsia="zh-CN"/>
        </w:rPr>
      </w:pPr>
    </w:p>
    <w:p w14:paraId="09C15F22">
      <w:pPr>
        <w:rPr>
          <w:rFonts w:hint="default" w:ascii="Times New Roman" w:hAnsi="Times New Roman" w:eastAsia="仿宋_GB2312" w:cs="Times New Roman"/>
          <w:sz w:val="28"/>
          <w:szCs w:val="28"/>
          <w:highlight w:val="none"/>
          <w:lang w:eastAsia="zh-CN"/>
        </w:rPr>
      </w:pPr>
    </w:p>
    <w:p w14:paraId="5A289C55">
      <w:pPr>
        <w:pStyle w:val="8"/>
        <w:rPr>
          <w:rFonts w:hint="default" w:ascii="Times New Roman" w:hAnsi="Times New Roman" w:eastAsia="仿宋_GB2312" w:cs="Times New Roman"/>
          <w:sz w:val="28"/>
          <w:szCs w:val="28"/>
          <w:highlight w:val="none"/>
          <w:lang w:eastAsia="zh-CN"/>
        </w:rPr>
      </w:pPr>
    </w:p>
    <w:p w14:paraId="0EAF1648">
      <w:pPr>
        <w:rPr>
          <w:rFonts w:hint="default" w:ascii="Times New Roman" w:hAnsi="Times New Roman" w:cs="Times New Roman"/>
          <w:lang w:eastAsia="zh-CN"/>
        </w:rPr>
      </w:pPr>
    </w:p>
    <w:p w14:paraId="0A245205">
      <w:pPr>
        <w:pageBreakBefore w:val="0"/>
        <w:kinsoku/>
        <w:wordWrap/>
        <w:topLinePunct w:val="0"/>
        <w:autoSpaceDE/>
        <w:autoSpaceDN/>
        <w:bidi w:val="0"/>
        <w:spacing w:line="560" w:lineRule="exact"/>
        <w:ind w:firstLine="0" w:firstLineChars="0"/>
        <w:jc w:val="center"/>
        <w:rPr>
          <w:rFonts w:hint="default" w:ascii="Times New Roman" w:hAnsi="Times New Roman" w:eastAsia="仿宋_GB2312" w:cs="Times New Roman"/>
          <w:sz w:val="28"/>
          <w:szCs w:val="28"/>
          <w:highlight w:val="none"/>
          <w:lang w:eastAsia="zh-CN"/>
        </w:rPr>
      </w:pPr>
    </w:p>
    <w:p w14:paraId="59F5E614">
      <w:pPr>
        <w:pageBreakBefore w:val="0"/>
        <w:kinsoku/>
        <w:wordWrap/>
        <w:topLinePunct w:val="0"/>
        <w:autoSpaceDE/>
        <w:autoSpaceDN/>
        <w:bidi w:val="0"/>
        <w:spacing w:line="560" w:lineRule="exact"/>
        <w:ind w:firstLine="0" w:firstLineChars="0"/>
        <w:jc w:val="center"/>
        <w:rPr>
          <w:rFonts w:hint="default" w:ascii="Times New Roman" w:hAnsi="Times New Roman" w:eastAsia="仿宋_GB2312" w:cs="Times New Roman"/>
          <w:sz w:val="28"/>
          <w:szCs w:val="28"/>
          <w:highlight w:val="none"/>
          <w:lang w:eastAsia="zh-CN"/>
        </w:rPr>
      </w:pPr>
    </w:p>
    <w:p w14:paraId="4DB4142B">
      <w:pPr>
        <w:pageBreakBefore w:val="0"/>
        <w:kinsoku/>
        <w:wordWrap/>
        <w:topLinePunct w:val="0"/>
        <w:autoSpaceDE/>
        <w:autoSpaceDN/>
        <w:bidi w:val="0"/>
        <w:spacing w:line="560" w:lineRule="exact"/>
        <w:ind w:firstLine="0" w:firstLineChars="0"/>
        <w:jc w:val="center"/>
        <w:rPr>
          <w:rFonts w:hint="default" w:ascii="Times New Roman" w:hAnsi="Times New Roman" w:eastAsia="楷体" w:cs="Times New Roman"/>
          <w:sz w:val="28"/>
          <w:szCs w:val="28"/>
          <w:highlight w:val="none"/>
          <w:lang w:eastAsia="zh-CN"/>
        </w:rPr>
      </w:pPr>
    </w:p>
    <w:p w14:paraId="6FBBD4E1">
      <w:pPr>
        <w:pageBreakBefore w:val="0"/>
        <w:kinsoku/>
        <w:wordWrap/>
        <w:topLinePunct w:val="0"/>
        <w:autoSpaceDE/>
        <w:autoSpaceDN/>
        <w:bidi w:val="0"/>
        <w:spacing w:line="560" w:lineRule="exact"/>
        <w:ind w:firstLine="0" w:firstLineChars="0"/>
        <w:jc w:val="center"/>
        <w:rPr>
          <w:rFonts w:hint="default" w:ascii="Times New Roman" w:hAnsi="Times New Roman" w:eastAsia="楷体" w:cs="Times New Roman"/>
          <w:sz w:val="28"/>
          <w:szCs w:val="28"/>
          <w:highlight w:val="none"/>
          <w:lang w:eastAsia="zh-CN"/>
        </w:rPr>
      </w:pPr>
    </w:p>
    <w:p w14:paraId="1C12B9A3">
      <w:pPr>
        <w:pageBreakBefore w:val="0"/>
        <w:kinsoku/>
        <w:wordWrap/>
        <w:topLinePunct w:val="0"/>
        <w:autoSpaceDE/>
        <w:autoSpaceDN/>
        <w:bidi w:val="0"/>
        <w:spacing w:line="560" w:lineRule="exact"/>
        <w:ind w:firstLine="0" w:firstLineChars="0"/>
        <w:jc w:val="center"/>
        <w:rPr>
          <w:rFonts w:hint="default" w:ascii="Times New Roman" w:hAnsi="Times New Roman" w:eastAsia="楷体" w:cs="Times New Roman"/>
          <w:sz w:val="28"/>
          <w:szCs w:val="28"/>
          <w:highlight w:val="none"/>
          <w:lang w:eastAsia="zh-CN"/>
        </w:rPr>
      </w:pPr>
    </w:p>
    <w:p w14:paraId="4C7218EF">
      <w:pPr>
        <w:pageBreakBefore w:val="0"/>
        <w:kinsoku/>
        <w:wordWrap/>
        <w:topLinePunct w:val="0"/>
        <w:autoSpaceDE/>
        <w:autoSpaceDN/>
        <w:bidi w:val="0"/>
        <w:spacing w:line="560" w:lineRule="exact"/>
        <w:ind w:firstLine="0" w:firstLineChars="0"/>
        <w:jc w:val="center"/>
        <w:rPr>
          <w:rFonts w:hint="default" w:ascii="Times New Roman" w:hAnsi="Times New Roman" w:eastAsia="楷体" w:cs="Times New Roman"/>
          <w:sz w:val="28"/>
          <w:szCs w:val="28"/>
          <w:highlight w:val="none"/>
          <w:lang w:eastAsia="zh-CN"/>
        </w:rPr>
      </w:pPr>
    </w:p>
    <w:p w14:paraId="5C86A142">
      <w:pPr>
        <w:pStyle w:val="15"/>
        <w:keepNext w:val="0"/>
        <w:keepLines w:val="0"/>
        <w:pageBreakBefore w:val="0"/>
        <w:widowControl/>
        <w:kinsoku/>
        <w:wordWrap/>
        <w:overflowPunct/>
        <w:topLinePunct w:val="0"/>
        <w:autoSpaceDE/>
        <w:autoSpaceDN/>
        <w:bidi w:val="0"/>
        <w:adjustRightInd/>
        <w:snapToGrid/>
        <w:textAlignment w:val="auto"/>
        <w:outlineLvl w:val="9"/>
        <w:rPr>
          <w:rFonts w:hint="default" w:ascii="Times New Roman" w:hAnsi="Times New Roman" w:eastAsia="仿宋_GB2312" w:cs="Times New Roman"/>
          <w:lang w:eastAsia="zh-CN"/>
        </w:rPr>
      </w:pPr>
    </w:p>
    <w:p w14:paraId="4EDAEC63">
      <w:pPr>
        <w:rPr>
          <w:rFonts w:hint="default" w:ascii="Times New Roman" w:hAnsi="Times New Roman" w:cs="Times New Roman"/>
          <w:lang w:eastAsia="zh-CN"/>
        </w:rPr>
      </w:pPr>
    </w:p>
    <w:p w14:paraId="4A8DA891">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default" w:ascii="Times New Roman" w:hAnsi="Times New Roman" w:eastAsia="黑体" w:cs="Times New Roman"/>
          <w:b w:val="0"/>
          <w:bCs w:val="0"/>
          <w:sz w:val="32"/>
          <w:szCs w:val="32"/>
          <w:highlight w:val="none"/>
        </w:rPr>
        <w:sectPr>
          <w:headerReference r:id="rId5" w:type="default"/>
          <w:footerReference r:id="rId6" w:type="default"/>
          <w:pgSz w:w="11905" w:h="16838"/>
          <w:pgMar w:top="1417" w:right="1587" w:bottom="1417" w:left="1587" w:header="850" w:footer="850" w:gutter="0"/>
          <w:pgNumType w:fmt="numberInDash" w:start="1"/>
          <w:cols w:space="0" w:num="1"/>
          <w:rtlGutter w:val="0"/>
          <w:docGrid w:type="lines" w:linePitch="436" w:charSpace="0"/>
        </w:sectPr>
      </w:pPr>
      <w:r>
        <w:rPr>
          <w:rFonts w:hint="default" w:ascii="Times New Roman" w:hAnsi="Times New Roman" w:eastAsia="黑体" w:cs="Times New Roman"/>
          <w:b w:val="0"/>
          <w:bCs w:val="0"/>
          <w:sz w:val="32"/>
          <w:szCs w:val="32"/>
          <w:highlight w:val="none"/>
        </w:rPr>
        <w:t>报告时间：202</w:t>
      </w:r>
      <w:r>
        <w:rPr>
          <w:rFonts w:hint="eastAsia" w:eastAsia="黑体" w:cs="Times New Roman"/>
          <w:b w:val="0"/>
          <w:bCs w:val="0"/>
          <w:sz w:val="32"/>
          <w:szCs w:val="32"/>
          <w:highlight w:val="none"/>
          <w:lang w:val="en-US" w:eastAsia="zh-CN"/>
        </w:rPr>
        <w:t>6</w:t>
      </w:r>
      <w:r>
        <w:rPr>
          <w:rFonts w:hint="default" w:ascii="Times New Roman" w:hAnsi="Times New Roman" w:eastAsia="黑体" w:cs="Times New Roman"/>
          <w:b w:val="0"/>
          <w:bCs w:val="0"/>
          <w:sz w:val="32"/>
          <w:szCs w:val="32"/>
          <w:highlight w:val="none"/>
        </w:rPr>
        <w:t>年</w:t>
      </w:r>
      <w:r>
        <w:rPr>
          <w:rFonts w:hint="eastAsia" w:eastAsia="黑体" w:cs="Times New Roman"/>
          <w:b w:val="0"/>
          <w:bCs w:val="0"/>
          <w:sz w:val="32"/>
          <w:szCs w:val="32"/>
          <w:highlight w:val="none"/>
          <w:lang w:val="en-US" w:eastAsia="zh-CN"/>
        </w:rPr>
        <w:t>6</w:t>
      </w:r>
      <w:r>
        <w:rPr>
          <w:rFonts w:hint="default" w:ascii="Times New Roman" w:hAnsi="Times New Roman" w:eastAsia="黑体" w:cs="Times New Roman"/>
          <w:b w:val="0"/>
          <w:bCs w:val="0"/>
          <w:sz w:val="32"/>
          <w:szCs w:val="32"/>
          <w:highlight w:val="none"/>
        </w:rPr>
        <w:t>月</w:t>
      </w:r>
    </w:p>
    <w:sdt>
      <w:sdtPr>
        <w:rPr>
          <w:rFonts w:ascii="宋体" w:hAnsi="宋体" w:eastAsia="宋体" w:cs="宋体"/>
          <w:sz w:val="21"/>
          <w:szCs w:val="24"/>
          <w:lang w:val="en-US" w:eastAsia="zh-CN" w:bidi="ar-SA"/>
        </w:rPr>
        <w:id w:val="147456040"/>
        <w15:color w:val="DBDBDB"/>
        <w:docPartObj>
          <w:docPartGallery w:val="Table of Contents"/>
          <w:docPartUnique/>
        </w:docPartObj>
      </w:sdtPr>
      <w:sdtEndPr>
        <w:rPr>
          <w:rFonts w:hint="default" w:ascii="Times New Roman" w:hAnsi="Times New Roman" w:eastAsia="方正小标宋简体" w:cs="Times New Roman"/>
          <w:bCs/>
          <w:color w:val="0D0D0D"/>
          <w:sz w:val="32"/>
          <w:szCs w:val="40"/>
          <w:highlight w:val="none"/>
          <w:lang w:val="en-US" w:eastAsia="zh-CN" w:bidi="ar-SA"/>
        </w:rPr>
      </w:sdtEndPr>
      <w:sdtContent>
        <w:p w14:paraId="4F4721AA">
          <w:pPr>
            <w:spacing w:before="0" w:beforeLines="0" w:after="0" w:afterLines="0" w:line="240" w:lineRule="auto"/>
            <w:ind w:left="0" w:leftChars="0" w:right="0" w:rightChars="0" w:firstLine="0" w:firstLineChars="0"/>
            <w:jc w:val="center"/>
            <w:rPr>
              <w:rFonts w:hint="eastAsia" w:ascii="黑体" w:hAnsi="黑体" w:eastAsia="黑体" w:cs="黑体"/>
              <w:sz w:val="32"/>
              <w:szCs w:val="32"/>
            </w:rPr>
          </w:pPr>
          <w:bookmarkStart w:id="1" w:name="_Toc41842503"/>
          <w:r>
            <w:rPr>
              <w:rFonts w:hint="eastAsia" w:ascii="黑体" w:hAnsi="黑体" w:eastAsia="黑体" w:cs="黑体"/>
              <w:sz w:val="32"/>
              <w:szCs w:val="32"/>
            </w:rPr>
            <w:t>目录</w:t>
          </w:r>
        </w:p>
        <w:p w14:paraId="795DEED4">
          <w:pPr>
            <w:pStyle w:val="13"/>
            <w:tabs>
              <w:tab w:val="right" w:leader="dot" w:pos="9071"/>
            </w:tabs>
            <w:spacing w:line="520" w:lineRule="exact"/>
            <w:rPr>
              <w:sz w:val="21"/>
              <w:szCs w:val="21"/>
            </w:rPr>
          </w:pPr>
          <w:r>
            <w:rPr>
              <w:rFonts w:hint="default" w:ascii="Times New Roman" w:hAnsi="Times New Roman" w:eastAsia="方正小标宋简体" w:cs="Times New Roman"/>
              <w:b w:val="0"/>
              <w:bCs/>
              <w:color w:val="0D0D0D"/>
              <w:sz w:val="40"/>
              <w:szCs w:val="40"/>
              <w:highlight w:val="none"/>
              <w:lang w:val="en-US" w:eastAsia="zh-CN"/>
            </w:rPr>
            <w:fldChar w:fldCharType="begin"/>
          </w:r>
          <w:r>
            <w:rPr>
              <w:rFonts w:hint="default" w:ascii="Times New Roman" w:hAnsi="Times New Roman" w:eastAsia="方正小标宋简体" w:cs="Times New Roman"/>
              <w:b w:val="0"/>
              <w:bCs/>
              <w:color w:val="0D0D0D"/>
              <w:sz w:val="40"/>
              <w:szCs w:val="40"/>
              <w:highlight w:val="none"/>
              <w:lang w:val="en-US" w:eastAsia="zh-CN"/>
            </w:rPr>
            <w:instrText xml:space="preserve">TOC \o "1-3" \h \u </w:instrText>
          </w:r>
          <w:r>
            <w:rPr>
              <w:rFonts w:hint="default" w:ascii="Times New Roman" w:hAnsi="Times New Roman" w:eastAsia="方正小标宋简体" w:cs="Times New Roman"/>
              <w:b w:val="0"/>
              <w:bCs/>
              <w:color w:val="0D0D0D"/>
              <w:sz w:val="40"/>
              <w:szCs w:val="40"/>
              <w:highlight w:val="none"/>
              <w:lang w:val="en-US" w:eastAsia="zh-CN"/>
            </w:rPr>
            <w:fldChar w:fldCharType="separate"/>
          </w: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_Toc4164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cs="Times New Roman"/>
              <w:sz w:val="21"/>
              <w:szCs w:val="21"/>
            </w:rPr>
            <w:t xml:space="preserve">一、 </w:t>
          </w:r>
          <w:r>
            <w:rPr>
              <w:rFonts w:hint="default" w:ascii="Times New Roman" w:hAnsi="Times New Roman" w:cs="Times New Roman"/>
              <w:sz w:val="21"/>
              <w:szCs w:val="21"/>
              <w:lang w:val="en-US" w:eastAsia="zh-CN"/>
            </w:rPr>
            <w:t>专项资金基本情况</w:t>
          </w:r>
          <w:r>
            <w:rPr>
              <w:sz w:val="21"/>
              <w:szCs w:val="21"/>
            </w:rPr>
            <w:tab/>
          </w:r>
          <w:r>
            <w:rPr>
              <w:sz w:val="21"/>
              <w:szCs w:val="21"/>
            </w:rPr>
            <w:fldChar w:fldCharType="begin"/>
          </w:r>
          <w:r>
            <w:rPr>
              <w:sz w:val="21"/>
              <w:szCs w:val="21"/>
            </w:rPr>
            <w:instrText xml:space="preserve"> PAGEREF _Toc4164 \h </w:instrText>
          </w:r>
          <w:r>
            <w:rPr>
              <w:sz w:val="21"/>
              <w:szCs w:val="21"/>
            </w:rPr>
            <w:fldChar w:fldCharType="separate"/>
          </w:r>
          <w:r>
            <w:rPr>
              <w:sz w:val="21"/>
              <w:szCs w:val="21"/>
            </w:rPr>
            <w:t>1</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751FAB0D">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_Toc7486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（一） 政策背景</w:t>
          </w:r>
          <w:r>
            <w:rPr>
              <w:sz w:val="21"/>
              <w:szCs w:val="21"/>
            </w:rPr>
            <w:tab/>
          </w:r>
          <w:r>
            <w:rPr>
              <w:sz w:val="21"/>
              <w:szCs w:val="21"/>
            </w:rPr>
            <w:fldChar w:fldCharType="begin"/>
          </w:r>
          <w:r>
            <w:rPr>
              <w:sz w:val="21"/>
              <w:szCs w:val="21"/>
            </w:rPr>
            <w:instrText xml:space="preserve"> PAGEREF _Toc7486 \h </w:instrText>
          </w:r>
          <w:r>
            <w:rPr>
              <w:sz w:val="21"/>
              <w:szCs w:val="21"/>
            </w:rPr>
            <w:fldChar w:fldCharType="separate"/>
          </w:r>
          <w:r>
            <w:rPr>
              <w:sz w:val="21"/>
              <w:szCs w:val="21"/>
            </w:rPr>
            <w:t>1</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77F68AB3">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_Toc15253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（二） 资金分配及下达情况</w:t>
          </w:r>
          <w:r>
            <w:rPr>
              <w:sz w:val="21"/>
              <w:szCs w:val="21"/>
            </w:rPr>
            <w:tab/>
          </w:r>
          <w:r>
            <w:rPr>
              <w:sz w:val="21"/>
              <w:szCs w:val="21"/>
            </w:rPr>
            <w:fldChar w:fldCharType="begin"/>
          </w:r>
          <w:r>
            <w:rPr>
              <w:sz w:val="21"/>
              <w:szCs w:val="21"/>
            </w:rPr>
            <w:instrText xml:space="preserve"> PAGEREF _Toc15253 \h </w:instrText>
          </w:r>
          <w:r>
            <w:rPr>
              <w:sz w:val="21"/>
              <w:szCs w:val="21"/>
            </w:rPr>
            <w:fldChar w:fldCharType="separate"/>
          </w:r>
          <w:r>
            <w:rPr>
              <w:sz w:val="21"/>
              <w:szCs w:val="21"/>
            </w:rPr>
            <w:t>1</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138A1132">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_Toc370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（三） 年度绩效目标</w:t>
          </w:r>
          <w:r>
            <w:rPr>
              <w:sz w:val="21"/>
              <w:szCs w:val="21"/>
            </w:rPr>
            <w:tab/>
          </w:r>
          <w:r>
            <w:rPr>
              <w:sz w:val="21"/>
              <w:szCs w:val="21"/>
            </w:rPr>
            <w:fldChar w:fldCharType="begin"/>
          </w:r>
          <w:r>
            <w:rPr>
              <w:sz w:val="21"/>
              <w:szCs w:val="21"/>
            </w:rPr>
            <w:instrText xml:space="preserve"> PAGEREF _Toc370 \h </w:instrText>
          </w:r>
          <w:r>
            <w:rPr>
              <w:sz w:val="21"/>
              <w:szCs w:val="21"/>
            </w:rPr>
            <w:fldChar w:fldCharType="separate"/>
          </w:r>
          <w:r>
            <w:rPr>
              <w:sz w:val="21"/>
              <w:szCs w:val="21"/>
            </w:rPr>
            <w:t>3</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35871DAF">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_Toc15137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（四） 管理制度建立及落实情况</w:t>
          </w:r>
          <w:r>
            <w:rPr>
              <w:sz w:val="21"/>
              <w:szCs w:val="21"/>
            </w:rPr>
            <w:tab/>
          </w:r>
          <w:r>
            <w:rPr>
              <w:sz w:val="21"/>
              <w:szCs w:val="21"/>
            </w:rPr>
            <w:fldChar w:fldCharType="begin"/>
          </w:r>
          <w:r>
            <w:rPr>
              <w:sz w:val="21"/>
              <w:szCs w:val="21"/>
            </w:rPr>
            <w:instrText xml:space="preserve"> PAGEREF _Toc15137 \h </w:instrText>
          </w:r>
          <w:r>
            <w:rPr>
              <w:sz w:val="21"/>
              <w:szCs w:val="21"/>
            </w:rPr>
            <w:fldChar w:fldCharType="separate"/>
          </w:r>
          <w:r>
            <w:rPr>
              <w:sz w:val="21"/>
              <w:szCs w:val="21"/>
            </w:rPr>
            <w:t>4</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3B69E321">
          <w:pPr>
            <w:pStyle w:val="13"/>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_Toc25198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cs="Times New Roman"/>
              <w:sz w:val="21"/>
              <w:szCs w:val="21"/>
              <w:lang w:val="en-US" w:eastAsia="zh-CN"/>
            </w:rPr>
            <w:t xml:space="preserve">二、 </w:t>
          </w:r>
          <w:r>
            <w:rPr>
              <w:rFonts w:hint="default" w:ascii="Times New Roman" w:hAnsi="Times New Roman" w:cs="Times New Roman"/>
              <w:sz w:val="21"/>
              <w:szCs w:val="21"/>
              <w:lang w:val="en-US" w:eastAsia="zh-CN"/>
            </w:rPr>
            <w:t>绩效评价工作情况</w:t>
          </w:r>
          <w:r>
            <w:rPr>
              <w:sz w:val="21"/>
              <w:szCs w:val="21"/>
            </w:rPr>
            <w:tab/>
          </w:r>
          <w:r>
            <w:rPr>
              <w:sz w:val="21"/>
              <w:szCs w:val="21"/>
            </w:rPr>
            <w:fldChar w:fldCharType="begin"/>
          </w:r>
          <w:r>
            <w:rPr>
              <w:sz w:val="21"/>
              <w:szCs w:val="21"/>
            </w:rPr>
            <w:instrText xml:space="preserve"> PAGEREF _Toc25198 \h </w:instrText>
          </w:r>
          <w:r>
            <w:rPr>
              <w:sz w:val="21"/>
              <w:szCs w:val="21"/>
            </w:rPr>
            <w:fldChar w:fldCharType="separate"/>
          </w:r>
          <w:r>
            <w:rPr>
              <w:sz w:val="21"/>
              <w:szCs w:val="21"/>
            </w:rPr>
            <w:t>5</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5F4F7C1B">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_Toc19694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 xml:space="preserve">（一） </w:t>
          </w:r>
          <w:r>
            <w:rPr>
              <w:rFonts w:hint="default" w:ascii="楷体_GB2312" w:hAnsi="楷体_GB2312" w:eastAsia="楷体_GB2312" w:cs="楷体_GB2312"/>
              <w:sz w:val="21"/>
              <w:szCs w:val="21"/>
              <w:lang w:val="en-US" w:eastAsia="zh-CN"/>
            </w:rPr>
            <w:t>评价依据</w:t>
          </w:r>
          <w:r>
            <w:rPr>
              <w:sz w:val="21"/>
              <w:szCs w:val="21"/>
            </w:rPr>
            <w:tab/>
          </w:r>
          <w:r>
            <w:rPr>
              <w:sz w:val="21"/>
              <w:szCs w:val="21"/>
            </w:rPr>
            <w:fldChar w:fldCharType="begin"/>
          </w:r>
          <w:r>
            <w:rPr>
              <w:sz w:val="21"/>
              <w:szCs w:val="21"/>
            </w:rPr>
            <w:instrText xml:space="preserve"> PAGEREF _Toc19694 \h </w:instrText>
          </w:r>
          <w:r>
            <w:rPr>
              <w:sz w:val="21"/>
              <w:szCs w:val="21"/>
            </w:rPr>
            <w:fldChar w:fldCharType="separate"/>
          </w:r>
          <w:r>
            <w:rPr>
              <w:sz w:val="21"/>
              <w:szCs w:val="21"/>
            </w:rPr>
            <w:t>5</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15839FC6">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_Toc5099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（二） 评价对象</w:t>
          </w:r>
          <w:r>
            <w:rPr>
              <w:sz w:val="21"/>
              <w:szCs w:val="21"/>
            </w:rPr>
            <w:tab/>
          </w:r>
          <w:r>
            <w:rPr>
              <w:sz w:val="21"/>
              <w:szCs w:val="21"/>
            </w:rPr>
            <w:fldChar w:fldCharType="begin"/>
          </w:r>
          <w:r>
            <w:rPr>
              <w:sz w:val="21"/>
              <w:szCs w:val="21"/>
            </w:rPr>
            <w:instrText xml:space="preserve"> PAGEREF _Toc5099 \h </w:instrText>
          </w:r>
          <w:r>
            <w:rPr>
              <w:sz w:val="21"/>
              <w:szCs w:val="21"/>
            </w:rPr>
            <w:fldChar w:fldCharType="separate"/>
          </w:r>
          <w:r>
            <w:rPr>
              <w:sz w:val="21"/>
              <w:szCs w:val="21"/>
            </w:rPr>
            <w:t>5</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041FAA74">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_Toc29803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（三） 评价方式</w:t>
          </w:r>
          <w:r>
            <w:rPr>
              <w:sz w:val="21"/>
              <w:szCs w:val="21"/>
            </w:rPr>
            <w:tab/>
          </w:r>
          <w:r>
            <w:rPr>
              <w:sz w:val="21"/>
              <w:szCs w:val="21"/>
            </w:rPr>
            <w:fldChar w:fldCharType="begin"/>
          </w:r>
          <w:r>
            <w:rPr>
              <w:sz w:val="21"/>
              <w:szCs w:val="21"/>
            </w:rPr>
            <w:instrText xml:space="preserve"> PAGEREF _Toc29803 \h </w:instrText>
          </w:r>
          <w:r>
            <w:rPr>
              <w:sz w:val="21"/>
              <w:szCs w:val="21"/>
            </w:rPr>
            <w:fldChar w:fldCharType="separate"/>
          </w:r>
          <w:r>
            <w:rPr>
              <w:sz w:val="21"/>
              <w:szCs w:val="21"/>
            </w:rPr>
            <w:t>6</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5071DB81">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_Toc6067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楷体_GB2312" w:hAnsi="楷体_GB2312" w:eastAsia="楷体_GB2312" w:cs="楷体_GB2312"/>
              <w:sz w:val="21"/>
              <w:szCs w:val="21"/>
              <w:lang w:val="en-US" w:eastAsia="zh-CN"/>
            </w:rPr>
            <w:t>（四） 评价结论</w:t>
          </w:r>
          <w:r>
            <w:rPr>
              <w:sz w:val="21"/>
              <w:szCs w:val="21"/>
            </w:rPr>
            <w:tab/>
          </w:r>
          <w:r>
            <w:rPr>
              <w:sz w:val="21"/>
              <w:szCs w:val="21"/>
            </w:rPr>
            <w:fldChar w:fldCharType="begin"/>
          </w:r>
          <w:r>
            <w:rPr>
              <w:sz w:val="21"/>
              <w:szCs w:val="21"/>
            </w:rPr>
            <w:instrText xml:space="preserve"> PAGEREF _Toc6067 \h </w:instrText>
          </w:r>
          <w:r>
            <w:rPr>
              <w:sz w:val="21"/>
              <w:szCs w:val="21"/>
            </w:rPr>
            <w:fldChar w:fldCharType="separate"/>
          </w:r>
          <w:r>
            <w:rPr>
              <w:sz w:val="21"/>
              <w:szCs w:val="21"/>
            </w:rPr>
            <w:t>6</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313E981B">
          <w:pPr>
            <w:pStyle w:val="13"/>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_Toc28656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cs="Times New Roman"/>
              <w:sz w:val="21"/>
              <w:szCs w:val="21"/>
              <w:lang w:val="en-US" w:eastAsia="zh-CN"/>
            </w:rPr>
            <w:t xml:space="preserve">三、 </w:t>
          </w:r>
          <w:r>
            <w:rPr>
              <w:rFonts w:hint="default" w:ascii="Times New Roman" w:hAnsi="Times New Roman" w:cs="Times New Roman"/>
              <w:sz w:val="21"/>
              <w:szCs w:val="21"/>
              <w:lang w:val="en-US" w:eastAsia="zh-CN"/>
            </w:rPr>
            <w:t>绩效目标完成情况</w:t>
          </w:r>
          <w:r>
            <w:rPr>
              <w:sz w:val="21"/>
              <w:szCs w:val="21"/>
            </w:rPr>
            <w:tab/>
          </w:r>
          <w:r>
            <w:rPr>
              <w:sz w:val="21"/>
              <w:szCs w:val="21"/>
            </w:rPr>
            <w:fldChar w:fldCharType="begin"/>
          </w:r>
          <w:r>
            <w:rPr>
              <w:sz w:val="21"/>
              <w:szCs w:val="21"/>
            </w:rPr>
            <w:instrText xml:space="preserve"> PAGEREF _Toc28656 \h </w:instrText>
          </w:r>
          <w:r>
            <w:rPr>
              <w:sz w:val="21"/>
              <w:szCs w:val="21"/>
            </w:rPr>
            <w:fldChar w:fldCharType="separate"/>
          </w:r>
          <w:r>
            <w:rPr>
              <w:sz w:val="21"/>
              <w:szCs w:val="21"/>
            </w:rPr>
            <w:t>7</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5F68DE7F">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_Toc12206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sz w:val="21"/>
              <w:szCs w:val="21"/>
              <w:lang w:val="en-US" w:eastAsia="zh-CN"/>
            </w:rPr>
            <w:t xml:space="preserve">（一） </w:t>
          </w:r>
          <w:r>
            <w:rPr>
              <w:rFonts w:hint="default" w:ascii="Times New Roman" w:hAnsi="Times New Roman" w:eastAsia="楷体_GB2312" w:cs="Times New Roman"/>
              <w:sz w:val="21"/>
              <w:szCs w:val="21"/>
              <w:highlight w:val="none"/>
              <w:lang w:val="en-US" w:eastAsia="zh-CN"/>
            </w:rPr>
            <w:t>绩效目标完成情况</w:t>
          </w:r>
          <w:r>
            <w:rPr>
              <w:sz w:val="21"/>
              <w:szCs w:val="21"/>
            </w:rPr>
            <w:tab/>
          </w:r>
          <w:r>
            <w:rPr>
              <w:sz w:val="21"/>
              <w:szCs w:val="21"/>
            </w:rPr>
            <w:fldChar w:fldCharType="begin"/>
          </w:r>
          <w:r>
            <w:rPr>
              <w:sz w:val="21"/>
              <w:szCs w:val="21"/>
            </w:rPr>
            <w:instrText xml:space="preserve"> PAGEREF _Toc12206 \h </w:instrText>
          </w:r>
          <w:r>
            <w:rPr>
              <w:sz w:val="21"/>
              <w:szCs w:val="21"/>
            </w:rPr>
            <w:fldChar w:fldCharType="separate"/>
          </w:r>
          <w:r>
            <w:rPr>
              <w:sz w:val="21"/>
              <w:szCs w:val="21"/>
            </w:rPr>
            <w:t>7</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3818F958">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_Toc11015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sz w:val="21"/>
              <w:szCs w:val="21"/>
              <w:lang w:val="en-US" w:eastAsia="zh"/>
            </w:rPr>
            <w:t xml:space="preserve">（二） </w:t>
          </w:r>
          <w:r>
            <w:rPr>
              <w:rFonts w:hint="eastAsia" w:ascii="Times New Roman" w:hAnsi="Times New Roman" w:eastAsia="楷体_GB2312" w:cs="Times New Roman"/>
              <w:sz w:val="21"/>
              <w:szCs w:val="21"/>
              <w:highlight w:val="none"/>
              <w:lang w:val="en-US" w:eastAsia="zh-CN"/>
            </w:rPr>
            <w:t>专项资金</w:t>
          </w:r>
          <w:r>
            <w:rPr>
              <w:rFonts w:hint="default" w:ascii="Times New Roman" w:hAnsi="Times New Roman" w:eastAsia="楷体_GB2312" w:cs="Times New Roman"/>
              <w:sz w:val="21"/>
              <w:szCs w:val="21"/>
              <w:highlight w:val="none"/>
              <w:lang w:val="en-US" w:eastAsia="zh-CN"/>
            </w:rPr>
            <w:t>主要绩效</w:t>
          </w:r>
          <w:r>
            <w:rPr>
              <w:sz w:val="21"/>
              <w:szCs w:val="21"/>
            </w:rPr>
            <w:tab/>
          </w:r>
          <w:r>
            <w:rPr>
              <w:sz w:val="21"/>
              <w:szCs w:val="21"/>
            </w:rPr>
            <w:fldChar w:fldCharType="begin"/>
          </w:r>
          <w:r>
            <w:rPr>
              <w:sz w:val="21"/>
              <w:szCs w:val="21"/>
            </w:rPr>
            <w:instrText xml:space="preserve"> PAGEREF _Toc11015 \h </w:instrText>
          </w:r>
          <w:r>
            <w:rPr>
              <w:sz w:val="21"/>
              <w:szCs w:val="21"/>
            </w:rPr>
            <w:fldChar w:fldCharType="separate"/>
          </w:r>
          <w:r>
            <w:rPr>
              <w:sz w:val="21"/>
              <w:szCs w:val="21"/>
            </w:rPr>
            <w:t>7</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4C5BD5E6">
          <w:pPr>
            <w:pStyle w:val="13"/>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_Toc3442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cs="Times New Roman"/>
              <w:sz w:val="21"/>
              <w:szCs w:val="21"/>
              <w:lang w:val="en-US" w:eastAsia="zh-CN"/>
            </w:rPr>
            <w:t xml:space="preserve">四、 </w:t>
          </w:r>
          <w:r>
            <w:rPr>
              <w:rFonts w:hint="default" w:ascii="Times New Roman" w:hAnsi="Times New Roman" w:cs="Times New Roman"/>
              <w:sz w:val="21"/>
              <w:szCs w:val="21"/>
              <w:lang w:val="en-US" w:eastAsia="zh-CN"/>
            </w:rPr>
            <w:t>存在的问题</w:t>
          </w:r>
          <w:r>
            <w:rPr>
              <w:sz w:val="21"/>
              <w:szCs w:val="21"/>
            </w:rPr>
            <w:tab/>
          </w:r>
          <w:r>
            <w:rPr>
              <w:sz w:val="21"/>
              <w:szCs w:val="21"/>
            </w:rPr>
            <w:fldChar w:fldCharType="begin"/>
          </w:r>
          <w:r>
            <w:rPr>
              <w:sz w:val="21"/>
              <w:szCs w:val="21"/>
            </w:rPr>
            <w:instrText xml:space="preserve"> PAGEREF _Toc3442 \h </w:instrText>
          </w:r>
          <w:r>
            <w:rPr>
              <w:sz w:val="21"/>
              <w:szCs w:val="21"/>
            </w:rPr>
            <w:fldChar w:fldCharType="separate"/>
          </w:r>
          <w:r>
            <w:rPr>
              <w:sz w:val="21"/>
              <w:szCs w:val="21"/>
            </w:rPr>
            <w:t>10</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0279A875">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_Toc7231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（一） </w:t>
          </w:r>
          <w:r>
            <w:rPr>
              <w:rFonts w:hint="default" w:ascii="Times New Roman" w:hAnsi="Times New Roman" w:eastAsia="楷体_GB2312" w:cs="Times New Roman"/>
              <w:bCs/>
              <w:kern w:val="2"/>
              <w:sz w:val="21"/>
              <w:szCs w:val="21"/>
              <w:lang w:val="en-US" w:eastAsia="zh-CN"/>
            </w:rPr>
            <w:t>资金拨付效率偏低，保障能力不足</w:t>
          </w:r>
          <w:r>
            <w:rPr>
              <w:sz w:val="21"/>
              <w:szCs w:val="21"/>
            </w:rPr>
            <w:tab/>
          </w:r>
          <w:r>
            <w:rPr>
              <w:sz w:val="21"/>
              <w:szCs w:val="21"/>
            </w:rPr>
            <w:fldChar w:fldCharType="begin"/>
          </w:r>
          <w:r>
            <w:rPr>
              <w:sz w:val="21"/>
              <w:szCs w:val="21"/>
            </w:rPr>
            <w:instrText xml:space="preserve"> PAGEREF _Toc7231 \h </w:instrText>
          </w:r>
          <w:r>
            <w:rPr>
              <w:sz w:val="21"/>
              <w:szCs w:val="21"/>
            </w:rPr>
            <w:fldChar w:fldCharType="separate"/>
          </w:r>
          <w:r>
            <w:rPr>
              <w:sz w:val="21"/>
              <w:szCs w:val="21"/>
            </w:rPr>
            <w:t>11</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59C7487E">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_Toc29535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（二） </w:t>
          </w:r>
          <w:r>
            <w:rPr>
              <w:rFonts w:hint="default" w:ascii="Times New Roman" w:hAnsi="Times New Roman" w:eastAsia="楷体_GB2312" w:cs="Times New Roman"/>
              <w:bCs/>
              <w:kern w:val="2"/>
              <w:sz w:val="21"/>
              <w:szCs w:val="21"/>
              <w:lang w:val="en-US" w:eastAsia="zh-CN"/>
            </w:rPr>
            <w:t>合规性与精细化水平不足，执行效率偏低</w:t>
          </w:r>
          <w:r>
            <w:rPr>
              <w:sz w:val="21"/>
              <w:szCs w:val="21"/>
            </w:rPr>
            <w:tab/>
          </w:r>
          <w:r>
            <w:rPr>
              <w:sz w:val="21"/>
              <w:szCs w:val="21"/>
            </w:rPr>
            <w:fldChar w:fldCharType="begin"/>
          </w:r>
          <w:r>
            <w:rPr>
              <w:sz w:val="21"/>
              <w:szCs w:val="21"/>
            </w:rPr>
            <w:instrText xml:space="preserve"> PAGEREF _Toc29535 \h </w:instrText>
          </w:r>
          <w:r>
            <w:rPr>
              <w:sz w:val="21"/>
              <w:szCs w:val="21"/>
            </w:rPr>
            <w:fldChar w:fldCharType="separate"/>
          </w:r>
          <w:r>
            <w:rPr>
              <w:sz w:val="21"/>
              <w:szCs w:val="21"/>
            </w:rPr>
            <w:t>11</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5B73F71F">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_Toc12889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（三） </w:t>
          </w:r>
          <w:r>
            <w:rPr>
              <w:rFonts w:hint="default" w:ascii="Times New Roman" w:hAnsi="Times New Roman" w:eastAsia="楷体_GB2312" w:cs="Times New Roman"/>
              <w:bCs/>
              <w:kern w:val="2"/>
              <w:sz w:val="21"/>
              <w:szCs w:val="21"/>
              <w:lang w:val="en-US" w:eastAsia="zh-CN"/>
            </w:rPr>
            <w:t>制度执行不到位，采购与过程管理不规范</w:t>
          </w:r>
          <w:r>
            <w:rPr>
              <w:sz w:val="21"/>
              <w:szCs w:val="21"/>
            </w:rPr>
            <w:tab/>
          </w:r>
          <w:r>
            <w:rPr>
              <w:sz w:val="21"/>
              <w:szCs w:val="21"/>
            </w:rPr>
            <w:fldChar w:fldCharType="begin"/>
          </w:r>
          <w:r>
            <w:rPr>
              <w:sz w:val="21"/>
              <w:szCs w:val="21"/>
            </w:rPr>
            <w:instrText xml:space="preserve"> PAGEREF _Toc12889 \h </w:instrText>
          </w:r>
          <w:r>
            <w:rPr>
              <w:sz w:val="21"/>
              <w:szCs w:val="21"/>
            </w:rPr>
            <w:fldChar w:fldCharType="separate"/>
          </w:r>
          <w:r>
            <w:rPr>
              <w:sz w:val="21"/>
              <w:szCs w:val="21"/>
            </w:rPr>
            <w:t>12</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23F41DE1">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_Toc31626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（四） 部分项目</w:t>
          </w:r>
          <w:r>
            <w:rPr>
              <w:rFonts w:hint="default" w:ascii="Times New Roman" w:hAnsi="Times New Roman" w:eastAsia="楷体_GB2312" w:cs="Times New Roman"/>
              <w:bCs/>
              <w:kern w:val="2"/>
              <w:sz w:val="21"/>
              <w:szCs w:val="21"/>
              <w:lang w:val="en-US" w:eastAsia="zh-CN"/>
            </w:rPr>
            <w:t>进度滞后，绩效目标未有效落地</w:t>
          </w:r>
          <w:r>
            <w:rPr>
              <w:sz w:val="21"/>
              <w:szCs w:val="21"/>
            </w:rPr>
            <w:tab/>
          </w:r>
          <w:r>
            <w:rPr>
              <w:sz w:val="21"/>
              <w:szCs w:val="21"/>
            </w:rPr>
            <w:fldChar w:fldCharType="begin"/>
          </w:r>
          <w:r>
            <w:rPr>
              <w:sz w:val="21"/>
              <w:szCs w:val="21"/>
            </w:rPr>
            <w:instrText xml:space="preserve"> PAGEREF _Toc31626 \h </w:instrText>
          </w:r>
          <w:r>
            <w:rPr>
              <w:sz w:val="21"/>
              <w:szCs w:val="21"/>
            </w:rPr>
            <w:fldChar w:fldCharType="separate"/>
          </w:r>
          <w:r>
            <w:rPr>
              <w:sz w:val="21"/>
              <w:szCs w:val="21"/>
            </w:rPr>
            <w:t>12</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69D4F239">
          <w:pPr>
            <w:pStyle w:val="13"/>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_Toc21514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cs="Times New Roman"/>
              <w:sz w:val="21"/>
              <w:szCs w:val="21"/>
              <w:lang w:val="en-US" w:eastAsia="zh-CN"/>
            </w:rPr>
            <w:t>五、 改进建议</w:t>
          </w:r>
          <w:r>
            <w:rPr>
              <w:sz w:val="21"/>
              <w:szCs w:val="21"/>
            </w:rPr>
            <w:tab/>
          </w:r>
          <w:r>
            <w:rPr>
              <w:sz w:val="21"/>
              <w:szCs w:val="21"/>
            </w:rPr>
            <w:fldChar w:fldCharType="begin"/>
          </w:r>
          <w:r>
            <w:rPr>
              <w:sz w:val="21"/>
              <w:szCs w:val="21"/>
            </w:rPr>
            <w:instrText xml:space="preserve"> PAGEREF _Toc21514 \h </w:instrText>
          </w:r>
          <w:r>
            <w:rPr>
              <w:sz w:val="21"/>
              <w:szCs w:val="21"/>
            </w:rPr>
            <w:fldChar w:fldCharType="separate"/>
          </w:r>
          <w:r>
            <w:rPr>
              <w:sz w:val="21"/>
              <w:szCs w:val="21"/>
            </w:rPr>
            <w:t>13</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0B2EDD9A">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_Toc6912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（一） </w:t>
          </w:r>
          <w:r>
            <w:rPr>
              <w:rFonts w:hint="default" w:ascii="Times New Roman" w:hAnsi="Times New Roman" w:eastAsia="楷体_GB2312" w:cs="Times New Roman"/>
              <w:bCs/>
              <w:kern w:val="2"/>
              <w:sz w:val="21"/>
              <w:szCs w:val="21"/>
              <w:lang w:val="en-US" w:eastAsia="zh-CN"/>
            </w:rPr>
            <w:t>优化资金下达机制，提升资金拨付效率与保障能力</w:t>
          </w:r>
          <w:r>
            <w:rPr>
              <w:sz w:val="21"/>
              <w:szCs w:val="21"/>
            </w:rPr>
            <w:tab/>
          </w:r>
          <w:r>
            <w:rPr>
              <w:sz w:val="21"/>
              <w:szCs w:val="21"/>
            </w:rPr>
            <w:fldChar w:fldCharType="begin"/>
          </w:r>
          <w:r>
            <w:rPr>
              <w:sz w:val="21"/>
              <w:szCs w:val="21"/>
            </w:rPr>
            <w:instrText xml:space="preserve"> PAGEREF _Toc6912 \h </w:instrText>
          </w:r>
          <w:r>
            <w:rPr>
              <w:sz w:val="21"/>
              <w:szCs w:val="21"/>
            </w:rPr>
            <w:fldChar w:fldCharType="separate"/>
          </w:r>
          <w:r>
            <w:rPr>
              <w:sz w:val="21"/>
              <w:szCs w:val="21"/>
            </w:rPr>
            <w:t>13</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7830B650">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_Toc20140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（二） </w:t>
          </w:r>
          <w:r>
            <w:rPr>
              <w:rFonts w:hint="default" w:ascii="Times New Roman" w:hAnsi="Times New Roman" w:eastAsia="楷体_GB2312" w:cs="Times New Roman"/>
              <w:bCs/>
              <w:kern w:val="2"/>
              <w:sz w:val="21"/>
              <w:szCs w:val="21"/>
              <w:lang w:val="en-US" w:eastAsia="zh-CN"/>
            </w:rPr>
            <w:t>规范资金使用全流程管理，提升合规性与使用效率</w:t>
          </w:r>
          <w:r>
            <w:rPr>
              <w:sz w:val="21"/>
              <w:szCs w:val="21"/>
            </w:rPr>
            <w:tab/>
          </w:r>
          <w:r>
            <w:rPr>
              <w:sz w:val="21"/>
              <w:szCs w:val="21"/>
            </w:rPr>
            <w:fldChar w:fldCharType="begin"/>
          </w:r>
          <w:r>
            <w:rPr>
              <w:sz w:val="21"/>
              <w:szCs w:val="21"/>
            </w:rPr>
            <w:instrText xml:space="preserve"> PAGEREF _Toc20140 \h </w:instrText>
          </w:r>
          <w:r>
            <w:rPr>
              <w:sz w:val="21"/>
              <w:szCs w:val="21"/>
            </w:rPr>
            <w:fldChar w:fldCharType="separate"/>
          </w:r>
          <w:r>
            <w:rPr>
              <w:sz w:val="21"/>
              <w:szCs w:val="21"/>
            </w:rPr>
            <w:t>14</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357AF593">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_Toc27693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（三） </w:t>
          </w:r>
          <w:r>
            <w:rPr>
              <w:rFonts w:hint="default" w:ascii="Times New Roman" w:hAnsi="Times New Roman" w:eastAsia="楷体_GB2312" w:cs="Times New Roman"/>
              <w:bCs/>
              <w:kern w:val="2"/>
              <w:sz w:val="21"/>
              <w:szCs w:val="21"/>
              <w:lang w:val="en-US" w:eastAsia="zh-CN"/>
            </w:rPr>
            <w:t>健全项目全流程管理制度，规范采购与实施管理</w:t>
          </w:r>
          <w:r>
            <w:rPr>
              <w:sz w:val="21"/>
              <w:szCs w:val="21"/>
            </w:rPr>
            <w:tab/>
          </w:r>
          <w:r>
            <w:rPr>
              <w:sz w:val="21"/>
              <w:szCs w:val="21"/>
            </w:rPr>
            <w:fldChar w:fldCharType="begin"/>
          </w:r>
          <w:r>
            <w:rPr>
              <w:sz w:val="21"/>
              <w:szCs w:val="21"/>
            </w:rPr>
            <w:instrText xml:space="preserve"> PAGEREF _Toc27693 \h </w:instrText>
          </w:r>
          <w:r>
            <w:rPr>
              <w:sz w:val="21"/>
              <w:szCs w:val="21"/>
            </w:rPr>
            <w:fldChar w:fldCharType="separate"/>
          </w:r>
          <w:r>
            <w:rPr>
              <w:sz w:val="21"/>
              <w:szCs w:val="21"/>
            </w:rPr>
            <w:t>15</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437195E5">
          <w:pPr>
            <w:pStyle w:val="14"/>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_Toc13200 </w:instrText>
          </w:r>
          <w:r>
            <w:rPr>
              <w:rFonts w:hint="default" w:ascii="Times New Roman" w:hAnsi="Times New Roman" w:eastAsia="方正小标宋简体" w:cs="Times New Roman"/>
              <w:bCs/>
              <w:sz w:val="21"/>
              <w:szCs w:val="21"/>
              <w:highlight w:val="none"/>
              <w:lang w:val="en-US" w:eastAsia="zh-CN"/>
            </w:rPr>
            <w:fldChar w:fldCharType="separate"/>
          </w:r>
          <w:r>
            <w:rPr>
              <w:rFonts w:hint="eastAsia" w:ascii="Times New Roman" w:hAnsi="Times New Roman" w:eastAsia="楷体_GB2312" w:cs="Times New Roman"/>
              <w:bCs/>
              <w:kern w:val="2"/>
              <w:sz w:val="21"/>
              <w:szCs w:val="21"/>
              <w:lang w:val="en-US" w:eastAsia="zh-CN"/>
            </w:rPr>
            <w:t xml:space="preserve">（四） </w:t>
          </w:r>
          <w:r>
            <w:rPr>
              <w:rFonts w:hint="default" w:ascii="Times New Roman" w:hAnsi="Times New Roman" w:eastAsia="楷体_GB2312" w:cs="Times New Roman"/>
              <w:bCs/>
              <w:kern w:val="2"/>
              <w:sz w:val="21"/>
              <w:szCs w:val="21"/>
              <w:lang w:val="en-US" w:eastAsia="zh-CN"/>
            </w:rPr>
            <w:t>强化绩效目标管理，推动项目绩效有效落地</w:t>
          </w:r>
          <w:r>
            <w:rPr>
              <w:sz w:val="21"/>
              <w:szCs w:val="21"/>
            </w:rPr>
            <w:tab/>
          </w:r>
          <w:r>
            <w:rPr>
              <w:sz w:val="21"/>
              <w:szCs w:val="21"/>
            </w:rPr>
            <w:fldChar w:fldCharType="begin"/>
          </w:r>
          <w:r>
            <w:rPr>
              <w:sz w:val="21"/>
              <w:szCs w:val="21"/>
            </w:rPr>
            <w:instrText xml:space="preserve"> PAGEREF _Toc13200 \h </w:instrText>
          </w:r>
          <w:r>
            <w:rPr>
              <w:sz w:val="21"/>
              <w:szCs w:val="21"/>
            </w:rPr>
            <w:fldChar w:fldCharType="separate"/>
          </w:r>
          <w:r>
            <w:rPr>
              <w:sz w:val="21"/>
              <w:szCs w:val="21"/>
            </w:rPr>
            <w:t>16</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06F7AD7E">
          <w:pPr>
            <w:pStyle w:val="13"/>
            <w:tabs>
              <w:tab w:val="right" w:leader="dot" w:pos="9071"/>
            </w:tabs>
            <w:spacing w:line="520" w:lineRule="exact"/>
            <w:rPr>
              <w:sz w:val="21"/>
              <w:szCs w:val="21"/>
            </w:rPr>
          </w:pPr>
          <w:r>
            <w:rPr>
              <w:rFonts w:hint="default" w:ascii="Times New Roman" w:hAnsi="Times New Roman" w:eastAsia="方正小标宋简体" w:cs="Times New Roman"/>
              <w:bCs/>
              <w:color w:val="0D0D0D"/>
              <w:sz w:val="21"/>
              <w:szCs w:val="21"/>
              <w:highlight w:val="none"/>
              <w:lang w:val="en-US" w:eastAsia="zh-CN"/>
            </w:rPr>
            <w:fldChar w:fldCharType="begin"/>
          </w:r>
          <w:r>
            <w:rPr>
              <w:rFonts w:hint="default" w:ascii="Times New Roman" w:hAnsi="Times New Roman" w:eastAsia="方正小标宋简体" w:cs="Times New Roman"/>
              <w:bCs/>
              <w:sz w:val="21"/>
              <w:szCs w:val="21"/>
              <w:highlight w:val="none"/>
              <w:lang w:val="en-US" w:eastAsia="zh-CN"/>
            </w:rPr>
            <w:instrText xml:space="preserve"> HYPERLINK \l _Toc24934 </w:instrText>
          </w:r>
          <w:r>
            <w:rPr>
              <w:rFonts w:hint="default" w:ascii="Times New Roman" w:hAnsi="Times New Roman" w:eastAsia="方正小标宋简体" w:cs="Times New Roman"/>
              <w:bCs/>
              <w:sz w:val="21"/>
              <w:szCs w:val="21"/>
              <w:highlight w:val="none"/>
              <w:lang w:val="en-US" w:eastAsia="zh-CN"/>
            </w:rPr>
            <w:fldChar w:fldCharType="separate"/>
          </w:r>
          <w:r>
            <w:rPr>
              <w:rFonts w:hint="default" w:ascii="Times New Roman" w:hAnsi="Times New Roman" w:eastAsia="黑体" w:cs="Times New Roman"/>
              <w:sz w:val="21"/>
              <w:szCs w:val="21"/>
              <w:highlight w:val="none"/>
            </w:rPr>
            <w:t>附</w:t>
          </w:r>
          <w:r>
            <w:rPr>
              <w:rFonts w:hint="default" w:ascii="Times New Roman" w:hAnsi="Times New Roman" w:eastAsia="黑体" w:cs="Times New Roman"/>
              <w:sz w:val="21"/>
              <w:szCs w:val="21"/>
              <w:highlight w:val="none"/>
              <w:lang w:val="en-US" w:eastAsia="zh-CN"/>
            </w:rPr>
            <w:t>件</w:t>
          </w:r>
          <w:r>
            <w:rPr>
              <w:rFonts w:hint="default" w:ascii="Times New Roman" w:hAnsi="Times New Roman" w:eastAsia="黑体" w:cs="Times New Roman"/>
              <w:sz w:val="21"/>
              <w:szCs w:val="21"/>
              <w:highlight w:val="none"/>
            </w:rPr>
            <w:t>：</w:t>
          </w:r>
          <w:r>
            <w:rPr>
              <w:sz w:val="21"/>
              <w:szCs w:val="21"/>
            </w:rPr>
            <w:tab/>
          </w:r>
          <w:r>
            <w:rPr>
              <w:sz w:val="21"/>
              <w:szCs w:val="21"/>
            </w:rPr>
            <w:fldChar w:fldCharType="begin"/>
          </w:r>
          <w:r>
            <w:rPr>
              <w:sz w:val="21"/>
              <w:szCs w:val="21"/>
            </w:rPr>
            <w:instrText xml:space="preserve"> PAGEREF _Toc24934 \h </w:instrText>
          </w:r>
          <w:r>
            <w:rPr>
              <w:sz w:val="21"/>
              <w:szCs w:val="21"/>
            </w:rPr>
            <w:fldChar w:fldCharType="separate"/>
          </w:r>
          <w:r>
            <w:rPr>
              <w:sz w:val="21"/>
              <w:szCs w:val="21"/>
            </w:rPr>
            <w:t>17</w:t>
          </w:r>
          <w:r>
            <w:rPr>
              <w:sz w:val="21"/>
              <w:szCs w:val="21"/>
            </w:rPr>
            <w:fldChar w:fldCharType="end"/>
          </w:r>
          <w:r>
            <w:rPr>
              <w:rFonts w:hint="default" w:ascii="Times New Roman" w:hAnsi="Times New Roman" w:eastAsia="方正小标宋简体" w:cs="Times New Roman"/>
              <w:bCs/>
              <w:color w:val="0D0D0D"/>
              <w:sz w:val="21"/>
              <w:szCs w:val="21"/>
              <w:highlight w:val="none"/>
              <w:lang w:val="en-US" w:eastAsia="zh-CN"/>
            </w:rPr>
            <w:fldChar w:fldCharType="end"/>
          </w:r>
        </w:p>
        <w:p w14:paraId="4D03EF66">
          <w:pPr>
            <w:pStyle w:val="13"/>
            <w:tabs>
              <w:tab w:val="right" w:leader="dot" w:pos="9071"/>
            </w:tabs>
          </w:pPr>
        </w:p>
        <w:p w14:paraId="16A68321">
          <w:pPr>
            <w:pStyle w:val="13"/>
            <w:keepNext w:val="0"/>
            <w:keepLines w:val="0"/>
            <w:pageBreakBefore w:val="0"/>
            <w:widowControl/>
            <w:tabs>
              <w:tab w:val="right" w:leader="dot" w:pos="9071"/>
            </w:tabs>
            <w:kinsoku/>
            <w:wordWrap/>
            <w:overflowPunct/>
            <w:topLinePunct w:val="0"/>
            <w:autoSpaceDE/>
            <w:autoSpaceDN/>
            <w:bidi w:val="0"/>
            <w:adjustRightInd/>
            <w:snapToGrid/>
            <w:spacing w:line="400" w:lineRule="exact"/>
            <w:textAlignment w:val="auto"/>
            <w:rPr>
              <w:rFonts w:hint="default" w:ascii="Times New Roman" w:hAnsi="Times New Roman" w:eastAsia="方正小标宋简体" w:cs="Times New Roman"/>
              <w:bCs/>
              <w:color w:val="0D0D0D"/>
              <w:sz w:val="32"/>
              <w:szCs w:val="40"/>
              <w:highlight w:val="none"/>
              <w:lang w:val="en-US" w:eastAsia="zh-CN" w:bidi="ar-SA"/>
            </w:rPr>
          </w:pPr>
          <w:r>
            <w:rPr>
              <w:rFonts w:hint="default" w:ascii="Times New Roman" w:hAnsi="Times New Roman" w:eastAsia="方正小标宋简体" w:cs="Times New Roman"/>
              <w:bCs/>
              <w:color w:val="0D0D0D"/>
              <w:szCs w:val="40"/>
              <w:highlight w:val="none"/>
              <w:lang w:val="en-US" w:eastAsia="zh-CN"/>
            </w:rPr>
            <w:fldChar w:fldCharType="end"/>
          </w:r>
        </w:p>
      </w:sdtContent>
    </w:sdt>
    <w:p w14:paraId="2889356A">
      <w:pPr>
        <w:keepNext w:val="0"/>
        <w:keepLines w:val="0"/>
        <w:pageBreakBefore w:val="0"/>
        <w:widowControl/>
        <w:kinsoku/>
        <w:wordWrap/>
        <w:overflowPunct/>
        <w:topLinePunct w:val="0"/>
        <w:autoSpaceDE/>
        <w:autoSpaceDN/>
        <w:bidi w:val="0"/>
        <w:adjustRightInd/>
        <w:snapToGrid/>
        <w:spacing w:before="333" w:beforeLines="100" w:after="333" w:afterLines="100" w:line="600" w:lineRule="exact"/>
        <w:ind w:firstLine="0" w:firstLineChars="0"/>
        <w:jc w:val="center"/>
        <w:textAlignment w:val="auto"/>
        <w:rPr>
          <w:rFonts w:hint="default" w:ascii="Times New Roman" w:hAnsi="Times New Roman" w:eastAsia="方正小标宋简体" w:cs="Times New Roman"/>
          <w:bCs/>
          <w:color w:val="0D0D0D"/>
          <w:sz w:val="32"/>
          <w:szCs w:val="40"/>
          <w:highlight w:val="none"/>
          <w:lang w:val="en-US" w:eastAsia="zh-CN" w:bidi="ar-SA"/>
        </w:rPr>
        <w:sectPr>
          <w:footerReference r:id="rId7" w:type="default"/>
          <w:pgSz w:w="11905" w:h="16838"/>
          <w:pgMar w:top="1440" w:right="1417" w:bottom="1440" w:left="1417" w:header="850" w:footer="794" w:gutter="0"/>
          <w:pgNumType w:fmt="decimal" w:start="1"/>
          <w:cols w:space="0" w:num="1"/>
          <w:rtlGutter w:val="0"/>
          <w:docGrid w:type="lines" w:linePitch="436" w:charSpace="0"/>
        </w:sectPr>
      </w:pPr>
    </w:p>
    <w:p w14:paraId="20086C61">
      <w:pPr>
        <w:keepNext w:val="0"/>
        <w:keepLines w:val="0"/>
        <w:pageBreakBefore w:val="0"/>
        <w:widowControl/>
        <w:kinsoku/>
        <w:wordWrap/>
        <w:overflowPunct/>
        <w:topLinePunct w:val="0"/>
        <w:autoSpaceDE/>
        <w:autoSpaceDN/>
        <w:bidi w:val="0"/>
        <w:adjustRightInd/>
        <w:snapToGrid/>
        <w:spacing w:before="333" w:beforeLines="100" w:after="333" w:afterLines="100" w:line="600" w:lineRule="exact"/>
        <w:ind w:firstLine="0" w:firstLineChars="0"/>
        <w:jc w:val="center"/>
        <w:textAlignment w:val="auto"/>
        <w:rPr>
          <w:rFonts w:hint="default" w:ascii="Times New Roman" w:hAnsi="Times New Roman" w:eastAsia="方正小标宋简体" w:cs="Times New Roman"/>
          <w:color w:val="0D0D0D"/>
          <w:sz w:val="40"/>
          <w:szCs w:val="40"/>
          <w:highlight w:val="none"/>
        </w:rPr>
      </w:pPr>
      <w:r>
        <w:rPr>
          <w:rFonts w:hint="default" w:ascii="Times New Roman" w:hAnsi="Times New Roman" w:eastAsia="方正小标宋简体" w:cs="Times New Roman"/>
          <w:b w:val="0"/>
          <w:bCs/>
          <w:color w:val="0D0D0D"/>
          <w:sz w:val="40"/>
          <w:szCs w:val="40"/>
          <w:highlight w:val="none"/>
          <w:lang w:val="en-US" w:eastAsia="zh-CN"/>
        </w:rPr>
        <w:t>202</w:t>
      </w:r>
      <w:r>
        <w:rPr>
          <w:rFonts w:hint="eastAsia" w:eastAsia="方正小标宋简体" w:cs="Times New Roman"/>
          <w:b w:val="0"/>
          <w:bCs/>
          <w:color w:val="0D0D0D"/>
          <w:sz w:val="40"/>
          <w:szCs w:val="40"/>
          <w:highlight w:val="none"/>
          <w:lang w:val="en-US" w:eastAsia="zh-CN"/>
        </w:rPr>
        <w:t>5</w:t>
      </w:r>
      <w:r>
        <w:rPr>
          <w:rFonts w:hint="default" w:ascii="Times New Roman" w:hAnsi="Times New Roman" w:eastAsia="方正小标宋简体" w:cs="Times New Roman"/>
          <w:b w:val="0"/>
          <w:bCs/>
          <w:color w:val="0D0D0D"/>
          <w:sz w:val="40"/>
          <w:szCs w:val="40"/>
          <w:highlight w:val="none"/>
          <w:lang w:val="en-US" w:eastAsia="zh-CN"/>
        </w:rPr>
        <w:t>年度文化旅游发展</w:t>
      </w:r>
      <w:r>
        <w:rPr>
          <w:rFonts w:hint="default" w:ascii="Times New Roman" w:hAnsi="Times New Roman" w:eastAsia="方正小标宋简体" w:cs="Times New Roman"/>
          <w:b w:val="0"/>
          <w:bCs/>
          <w:color w:val="0D0D0D"/>
          <w:sz w:val="40"/>
          <w:szCs w:val="40"/>
          <w:highlight w:val="none"/>
        </w:rPr>
        <w:t>专项资金绩效</w:t>
      </w:r>
      <w:r>
        <w:rPr>
          <w:rFonts w:hint="eastAsia" w:eastAsia="方正小标宋简体" w:cs="Times New Roman"/>
          <w:b w:val="0"/>
          <w:bCs/>
          <w:color w:val="0D0D0D"/>
          <w:sz w:val="40"/>
          <w:szCs w:val="40"/>
          <w:highlight w:val="none"/>
          <w:lang w:val="en-US" w:eastAsia="zh-CN"/>
        </w:rPr>
        <w:t>评价</w:t>
      </w:r>
      <w:r>
        <w:rPr>
          <w:rFonts w:hint="default" w:ascii="Times New Roman" w:hAnsi="Times New Roman" w:eastAsia="方正小标宋简体" w:cs="Times New Roman"/>
          <w:b w:val="0"/>
          <w:bCs/>
          <w:color w:val="0D0D0D"/>
          <w:sz w:val="40"/>
          <w:szCs w:val="40"/>
          <w:highlight w:val="none"/>
        </w:rPr>
        <w:t>报告</w:t>
      </w:r>
    </w:p>
    <w:p w14:paraId="01CCABE3">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default" w:ascii="Times New Roman" w:hAnsi="Times New Roman" w:cs="Times New Roman"/>
        </w:rPr>
      </w:pPr>
      <w:r>
        <w:rPr>
          <w:rFonts w:hint="default" w:ascii="Times New Roman" w:hAnsi="Times New Roman" w:cs="Times New Roman"/>
        </w:rPr>
        <w:t>为抓实财政资金全流程绩效管理，提升专项资金配置效率与使用效益，依据《中共湖南省委办公厅湖南省人民政府办公厅关于全面实施预算绩效管理的实施意见》（湘办发〔2019〕10号）、《湖南省预算支出绩效评价管理办法》（湘财绩〔2020〕7号）、《湖南省财政厅关于开展2025年度省级预算部门绩效自评和部门评价的通知》（湘财绩〔2026〕2号）相关规定，结合《湖南省文化和旅游厅关于开展2025年度部门整体支出绩效自评和部门评价工作的通知》工作部署，省文旅厅组织实施2025年度文化旅游发展专项资金绩效评价，相关评价情况报告如下：</w:t>
      </w:r>
    </w:p>
    <w:p w14:paraId="28B6EBCC">
      <w:pPr>
        <w:pStyle w:val="3"/>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cs="Times New Roman"/>
        </w:rPr>
      </w:pPr>
      <w:bookmarkStart w:id="2" w:name="_Toc8045"/>
      <w:bookmarkStart w:id="3" w:name="_Toc2386"/>
      <w:bookmarkStart w:id="4" w:name="_Toc7390"/>
      <w:bookmarkStart w:id="5" w:name="_Toc25579"/>
      <w:bookmarkStart w:id="6" w:name="_Toc8047"/>
      <w:bookmarkStart w:id="7" w:name="_Toc14908"/>
      <w:bookmarkStart w:id="8" w:name="_Toc31309"/>
      <w:bookmarkStart w:id="9" w:name="_Toc28569"/>
      <w:bookmarkStart w:id="10" w:name="_Toc7809"/>
      <w:bookmarkStart w:id="11" w:name="_Toc28376"/>
      <w:bookmarkStart w:id="12" w:name="_Toc1236"/>
      <w:bookmarkStart w:id="13" w:name="_Toc20440"/>
      <w:bookmarkStart w:id="14" w:name="_Toc24083"/>
      <w:bookmarkStart w:id="15" w:name="_Toc4164"/>
      <w:bookmarkStart w:id="16" w:name="_Toc72927767"/>
      <w:bookmarkStart w:id="17" w:name="_Toc10258"/>
      <w:r>
        <w:rPr>
          <w:rFonts w:hint="default" w:ascii="Times New Roman" w:hAnsi="Times New Roman" w:cs="Times New Roman"/>
          <w:lang w:val="en-US" w:eastAsia="zh-CN"/>
        </w:rPr>
        <w:t>专项资金基本情况</w:t>
      </w:r>
      <w:bookmarkEnd w:id="2"/>
      <w:bookmarkEnd w:id="3"/>
      <w:bookmarkEnd w:id="4"/>
      <w:bookmarkEnd w:id="5"/>
      <w:bookmarkEnd w:id="6"/>
      <w:bookmarkEnd w:id="7"/>
      <w:bookmarkEnd w:id="8"/>
      <w:bookmarkEnd w:id="9"/>
      <w:bookmarkEnd w:id="10"/>
      <w:bookmarkEnd w:id="11"/>
      <w:bookmarkEnd w:id="12"/>
      <w:bookmarkEnd w:id="13"/>
      <w:bookmarkEnd w:id="14"/>
      <w:bookmarkEnd w:id="15"/>
    </w:p>
    <w:p w14:paraId="06142801">
      <w:pPr>
        <w:pStyle w:val="4"/>
        <w:keepNext w:val="0"/>
        <w:keepLines w:val="0"/>
        <w:pageBreakBefore w:val="0"/>
        <w:widowControl w:val="0"/>
        <w:numPr>
          <w:ilvl w:val="0"/>
          <w:numId w:val="2"/>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default" w:ascii="楷体_GB2312" w:hAnsi="楷体_GB2312" w:eastAsia="楷体_GB2312" w:cs="楷体_GB2312"/>
          <w:lang w:val="en-US" w:eastAsia="zh-CN"/>
        </w:rPr>
      </w:pPr>
      <w:bookmarkStart w:id="18" w:name="_Toc22167"/>
      <w:bookmarkStart w:id="19" w:name="_Toc26757"/>
      <w:bookmarkStart w:id="20" w:name="_Toc6306"/>
      <w:bookmarkStart w:id="21" w:name="_Toc20435"/>
      <w:bookmarkStart w:id="22" w:name="_Toc17079"/>
      <w:bookmarkStart w:id="23" w:name="_Toc13401"/>
      <w:bookmarkStart w:id="24" w:name="_Toc24583"/>
      <w:bookmarkStart w:id="25" w:name="_Toc11772"/>
      <w:bookmarkStart w:id="26" w:name="_Toc4473"/>
      <w:bookmarkStart w:id="27" w:name="_Toc13074"/>
      <w:bookmarkStart w:id="28" w:name="_Toc6752"/>
      <w:bookmarkStart w:id="29" w:name="_Toc4750"/>
      <w:bookmarkStart w:id="30" w:name="_Toc7936"/>
      <w:bookmarkStart w:id="31" w:name="_Toc7486"/>
      <w:r>
        <w:rPr>
          <w:rFonts w:hint="eastAsia" w:ascii="楷体_GB2312" w:hAnsi="楷体_GB2312" w:eastAsia="楷体_GB2312" w:cs="楷体_GB2312"/>
          <w:lang w:val="en-US" w:eastAsia="zh-CN"/>
        </w:rPr>
        <w:t>政策背景</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2E86994A">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default" w:ascii="Times New Roman" w:hAnsi="Times New Roman" w:cs="Times New Roman"/>
          <w:kern w:val="2"/>
          <w:szCs w:val="32"/>
          <w:highlight w:val="none"/>
        </w:rPr>
      </w:pPr>
      <w:bookmarkStart w:id="32" w:name="_Toc14592"/>
      <w:bookmarkStart w:id="33" w:name="_Toc15762"/>
      <w:bookmarkStart w:id="34" w:name="_Toc22484"/>
      <w:bookmarkStart w:id="35" w:name="_Toc21948"/>
      <w:bookmarkStart w:id="36" w:name="_Toc18424"/>
      <w:bookmarkStart w:id="37" w:name="_Toc72927768"/>
      <w:bookmarkStart w:id="38" w:name="_Toc27488"/>
      <w:bookmarkStart w:id="39" w:name="_Toc41842495"/>
      <w:bookmarkStart w:id="40" w:name="_Toc1404"/>
      <w:bookmarkStart w:id="41" w:name="_Toc19652"/>
      <w:bookmarkStart w:id="42" w:name="_Toc5653"/>
      <w:bookmarkStart w:id="43" w:name="_Toc23623"/>
      <w:bookmarkStart w:id="44" w:name="_Toc17786"/>
      <w:bookmarkStart w:id="45" w:name="_Toc19473"/>
      <w:bookmarkStart w:id="46" w:name="_Toc22787"/>
      <w:r>
        <w:rPr>
          <w:rFonts w:hint="default" w:ascii="Times New Roman" w:hAnsi="Times New Roman" w:cs="Times New Roman"/>
          <w:kern w:val="2"/>
          <w:sz w:val="32"/>
          <w:szCs w:val="32"/>
          <w:highlight w:val="none"/>
        </w:rPr>
        <w:t>为加速推进全省文旅产业提质扩容、助力文化强省与世界知名旅游目的地建设、赋能全省经济社会高质量发展，依据《中华人民共和国预算法》《中共湖南省委湖南省人民政府关于加快建设世界旅游目的地的意见》（湘发〔2022〕16号）、《中共湖南省委办公厅湖南省人民政府办公厅印发〈关于加强全省文物保护利用工作的意见〉》（湘办〔2023〕10号）及国家、湖南省全面实施预算绩效管理相关制度要求，我省出台《湖南省文化旅游发展专项资金管理办法》。专项资金重点投向七大领域</w:t>
      </w:r>
      <w:r>
        <w:rPr>
          <w:rFonts w:hint="eastAsia" w:cs="Times New Roman"/>
          <w:kern w:val="2"/>
          <w:sz w:val="32"/>
          <w:szCs w:val="32"/>
          <w:highlight w:val="none"/>
          <w:lang w:eastAsia="zh-CN"/>
        </w:rPr>
        <w:t>，</w:t>
      </w:r>
      <w:r>
        <w:rPr>
          <w:rFonts w:hint="eastAsia" w:cs="Times New Roman"/>
          <w:kern w:val="2"/>
          <w:sz w:val="32"/>
          <w:szCs w:val="32"/>
          <w:highlight w:val="none"/>
          <w:lang w:val="en-US" w:eastAsia="zh-CN"/>
        </w:rPr>
        <w:t>包括</w:t>
      </w:r>
      <w:r>
        <w:rPr>
          <w:rFonts w:hint="default" w:ascii="Times New Roman" w:hAnsi="Times New Roman" w:cs="Times New Roman"/>
          <w:kern w:val="2"/>
          <w:sz w:val="32"/>
          <w:szCs w:val="32"/>
          <w:highlight w:val="none"/>
        </w:rPr>
        <w:t>文化遗产保护传承</w:t>
      </w:r>
      <w:r>
        <w:rPr>
          <w:rFonts w:hint="eastAsia" w:cs="Times New Roman"/>
          <w:kern w:val="2"/>
          <w:sz w:val="32"/>
          <w:szCs w:val="32"/>
          <w:highlight w:val="none"/>
          <w:lang w:eastAsia="zh-CN"/>
        </w:rPr>
        <w:t>、</w:t>
      </w:r>
      <w:r>
        <w:rPr>
          <w:rFonts w:hint="default" w:ascii="Times New Roman" w:hAnsi="Times New Roman" w:cs="Times New Roman"/>
          <w:kern w:val="2"/>
          <w:sz w:val="32"/>
          <w:szCs w:val="32"/>
          <w:highlight w:val="none"/>
        </w:rPr>
        <w:t>文旅基础设施提升</w:t>
      </w:r>
      <w:r>
        <w:rPr>
          <w:rFonts w:hint="eastAsia" w:cs="Times New Roman"/>
          <w:kern w:val="2"/>
          <w:sz w:val="32"/>
          <w:szCs w:val="32"/>
          <w:highlight w:val="none"/>
          <w:lang w:eastAsia="zh-CN"/>
        </w:rPr>
        <w:t>、</w:t>
      </w:r>
      <w:r>
        <w:rPr>
          <w:rFonts w:hint="eastAsia" w:cs="Times New Roman"/>
          <w:kern w:val="2"/>
          <w:sz w:val="32"/>
          <w:szCs w:val="32"/>
          <w:highlight w:val="none"/>
          <w:lang w:val="en-US" w:eastAsia="zh-CN"/>
        </w:rPr>
        <w:t>文化和旅游</w:t>
      </w:r>
      <w:r>
        <w:rPr>
          <w:rFonts w:hint="default" w:ascii="Times New Roman" w:hAnsi="Times New Roman" w:cs="Times New Roman"/>
          <w:kern w:val="2"/>
          <w:sz w:val="32"/>
          <w:szCs w:val="32"/>
          <w:highlight w:val="none"/>
        </w:rPr>
        <w:t>融合发展</w:t>
      </w:r>
      <w:r>
        <w:rPr>
          <w:rFonts w:hint="eastAsia" w:cs="Times New Roman"/>
          <w:kern w:val="2"/>
          <w:sz w:val="32"/>
          <w:szCs w:val="32"/>
          <w:highlight w:val="none"/>
          <w:lang w:eastAsia="zh-CN"/>
        </w:rPr>
        <w:t>、</w:t>
      </w:r>
      <w:r>
        <w:rPr>
          <w:rFonts w:hint="default" w:ascii="Times New Roman" w:hAnsi="Times New Roman" w:cs="Times New Roman"/>
          <w:kern w:val="2"/>
          <w:sz w:val="32"/>
          <w:szCs w:val="32"/>
          <w:highlight w:val="none"/>
        </w:rPr>
        <w:t>文旅产业升级</w:t>
      </w:r>
      <w:r>
        <w:rPr>
          <w:rFonts w:hint="eastAsia" w:cs="Times New Roman"/>
          <w:kern w:val="2"/>
          <w:sz w:val="32"/>
          <w:szCs w:val="32"/>
          <w:highlight w:val="none"/>
          <w:lang w:eastAsia="zh-CN"/>
        </w:rPr>
        <w:t>、</w:t>
      </w:r>
      <w:r>
        <w:rPr>
          <w:rFonts w:hint="eastAsia" w:cs="Times New Roman"/>
          <w:kern w:val="2"/>
          <w:sz w:val="32"/>
          <w:szCs w:val="32"/>
          <w:highlight w:val="none"/>
          <w:lang w:val="en-US" w:eastAsia="zh-CN"/>
        </w:rPr>
        <w:t>促进文化和旅游消费、</w:t>
      </w:r>
      <w:r>
        <w:rPr>
          <w:rFonts w:hint="default" w:ascii="Times New Roman" w:hAnsi="Times New Roman" w:cs="Times New Roman"/>
          <w:kern w:val="2"/>
          <w:sz w:val="32"/>
          <w:szCs w:val="32"/>
          <w:highlight w:val="none"/>
        </w:rPr>
        <w:t>文旅宣传推</w:t>
      </w:r>
      <w:r>
        <w:rPr>
          <w:rFonts w:hint="eastAsia" w:cs="Times New Roman"/>
          <w:kern w:val="2"/>
          <w:sz w:val="32"/>
          <w:szCs w:val="32"/>
          <w:highlight w:val="none"/>
          <w:lang w:eastAsia="zh-CN"/>
        </w:rPr>
        <w:t>广和</w:t>
      </w:r>
      <w:r>
        <w:rPr>
          <w:rFonts w:hint="default" w:ascii="Times New Roman" w:hAnsi="Times New Roman" w:cs="Times New Roman"/>
          <w:kern w:val="2"/>
          <w:sz w:val="32"/>
          <w:szCs w:val="32"/>
          <w:highlight w:val="none"/>
        </w:rPr>
        <w:t>文旅行业管理，同时统筹保障中央、省委省政府文旅领域重大决策部署落地</w:t>
      </w:r>
      <w:r>
        <w:rPr>
          <w:rFonts w:hint="eastAsia" w:cs="Times New Roman"/>
          <w:kern w:val="2"/>
          <w:sz w:val="32"/>
          <w:szCs w:val="32"/>
          <w:highlight w:val="none"/>
          <w:lang w:val="en-US" w:eastAsia="zh-CN"/>
        </w:rPr>
        <w:t>活动和项目</w:t>
      </w:r>
      <w:r>
        <w:rPr>
          <w:rFonts w:hint="default" w:ascii="Times New Roman" w:hAnsi="Times New Roman" w:cs="Times New Roman"/>
          <w:kern w:val="2"/>
          <w:sz w:val="32"/>
          <w:szCs w:val="32"/>
          <w:highlight w:val="none"/>
        </w:rPr>
        <w:t>。</w:t>
      </w:r>
    </w:p>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14:paraId="3C771ABF">
      <w:pPr>
        <w:pStyle w:val="4"/>
        <w:keepNext w:val="0"/>
        <w:keepLines w:val="0"/>
        <w:pageBreakBefore w:val="0"/>
        <w:widowControl w:val="0"/>
        <w:numPr>
          <w:ilvl w:val="0"/>
          <w:numId w:val="2"/>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default" w:ascii="楷体_GB2312" w:hAnsi="楷体_GB2312" w:eastAsia="楷体_GB2312" w:cs="楷体_GB2312"/>
          <w:lang w:val="en-US" w:eastAsia="zh-CN"/>
        </w:rPr>
      </w:pPr>
      <w:bookmarkStart w:id="47" w:name="_Toc15253"/>
      <w:bookmarkStart w:id="48" w:name="_Toc1679"/>
      <w:bookmarkStart w:id="49" w:name="_Toc41842499"/>
      <w:r>
        <w:rPr>
          <w:rFonts w:hint="eastAsia" w:ascii="楷体_GB2312" w:hAnsi="楷体_GB2312" w:eastAsia="楷体_GB2312" w:cs="楷体_GB2312"/>
          <w:lang w:val="en-US" w:eastAsia="zh-CN"/>
        </w:rPr>
        <w:t>资金分配及下达情况</w:t>
      </w:r>
      <w:bookmarkEnd w:id="47"/>
      <w:bookmarkEnd w:id="48"/>
    </w:p>
    <w:p w14:paraId="0EC688DB">
      <w:pPr>
        <w:keepNext w:val="0"/>
        <w:keepLines w:val="0"/>
        <w:pageBreakBefore w:val="0"/>
        <w:widowControl w:val="0"/>
        <w:numPr>
          <w:ilvl w:val="0"/>
          <w:numId w:val="3"/>
        </w:numPr>
        <w:kinsoku/>
        <w:wordWrap/>
        <w:overflowPunct/>
        <w:topLinePunct w:val="0"/>
        <w:autoSpaceDE/>
        <w:autoSpaceDN/>
        <w:bidi w:val="0"/>
        <w:spacing w:beforeAutospacing="0" w:line="560" w:lineRule="exact"/>
        <w:ind w:left="0" w:leftChars="0" w:firstLine="643" w:firstLineChars="200"/>
        <w:jc w:val="left"/>
        <w:textAlignment w:val="auto"/>
        <w:rPr>
          <w:rFonts w:hint="default" w:ascii="Times New Roman" w:hAnsi="Times New Roman" w:cs="Times New Roman"/>
          <w:b/>
          <w:bCs/>
          <w:kern w:val="2"/>
          <w:szCs w:val="32"/>
          <w:highlight w:val="none"/>
          <w:lang w:val="en-US" w:eastAsia="zh-CN"/>
        </w:rPr>
      </w:pPr>
      <w:bookmarkStart w:id="50" w:name="_Toc2691"/>
      <w:bookmarkStart w:id="51" w:name="_Toc2586"/>
      <w:bookmarkStart w:id="52" w:name="_Toc23232"/>
      <w:bookmarkStart w:id="53" w:name="_Toc618"/>
      <w:bookmarkStart w:id="54" w:name="_Toc5165"/>
      <w:bookmarkStart w:id="55" w:name="_Toc22209"/>
      <w:bookmarkStart w:id="56" w:name="_Toc12373"/>
      <w:bookmarkStart w:id="57" w:name="_Toc18074"/>
      <w:bookmarkStart w:id="58" w:name="_Toc14578"/>
      <w:bookmarkStart w:id="59" w:name="_Toc30544"/>
      <w:bookmarkStart w:id="60" w:name="_Toc2"/>
      <w:bookmarkStart w:id="61" w:name="_Toc4215"/>
      <w:bookmarkStart w:id="62" w:name="_Toc2604"/>
      <w:bookmarkStart w:id="63" w:name="_Toc72927769"/>
      <w:r>
        <w:rPr>
          <w:rFonts w:hint="eastAsia" w:cs="Times New Roman"/>
          <w:b/>
          <w:bCs/>
          <w:kern w:val="2"/>
          <w:szCs w:val="32"/>
          <w:highlight w:val="none"/>
          <w:lang w:val="en-US" w:eastAsia="zh-CN"/>
        </w:rPr>
        <w:t>资金分配情况</w:t>
      </w:r>
    </w:p>
    <w:p w14:paraId="721C59B7">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eastAsia" w:cs="Times New Roman"/>
          <w:kern w:val="2"/>
          <w:szCs w:val="32"/>
          <w:highlight w:val="none"/>
          <w:lang w:val="en-US" w:eastAsia="zh-CN"/>
        </w:rPr>
      </w:pPr>
      <w:r>
        <w:rPr>
          <w:rFonts w:hint="eastAsia" w:cs="Times New Roman"/>
          <w:kern w:val="2"/>
          <w:szCs w:val="32"/>
          <w:highlight w:val="none"/>
          <w:lang w:val="en-US" w:eastAsia="zh-CN"/>
        </w:rPr>
        <w:t>（1）资金投向结构。</w:t>
      </w:r>
      <w:r>
        <w:rPr>
          <w:rFonts w:hint="default" w:ascii="Times New Roman" w:hAnsi="Times New Roman" w:cs="Times New Roman"/>
          <w:kern w:val="2"/>
          <w:szCs w:val="32"/>
          <w:highlight w:val="none"/>
          <w:lang w:val="en-US" w:eastAsia="zh-CN"/>
        </w:rPr>
        <w:t>2025年省财政预算安排文化旅游发展专项资金</w:t>
      </w:r>
      <w:r>
        <w:rPr>
          <w:rFonts w:hint="eastAsia" w:cs="Times New Roman"/>
          <w:kern w:val="2"/>
          <w:szCs w:val="32"/>
          <w:highlight w:val="none"/>
          <w:lang w:val="en-US" w:eastAsia="zh-CN"/>
        </w:rPr>
        <w:t>52637</w:t>
      </w:r>
      <w:r>
        <w:rPr>
          <w:rFonts w:hint="default" w:ascii="Times New Roman" w:hAnsi="Times New Roman" w:cs="Times New Roman"/>
          <w:kern w:val="2"/>
          <w:szCs w:val="32"/>
          <w:highlight w:val="none"/>
          <w:lang w:val="en-US" w:eastAsia="zh-CN"/>
        </w:rPr>
        <w:t>万元，其中</w:t>
      </w:r>
      <w:r>
        <w:rPr>
          <w:rFonts w:hint="eastAsia" w:cs="Times New Roman"/>
          <w:kern w:val="2"/>
          <w:szCs w:val="32"/>
          <w:highlight w:val="none"/>
          <w:lang w:val="en-US" w:eastAsia="zh-CN"/>
        </w:rPr>
        <w:t>：</w:t>
      </w:r>
      <w:r>
        <w:rPr>
          <w:rFonts w:hint="default" w:ascii="Times New Roman" w:hAnsi="Times New Roman" w:cs="Times New Roman"/>
          <w:kern w:val="2"/>
          <w:szCs w:val="32"/>
          <w:highlight w:val="none"/>
          <w:lang w:val="en-US" w:eastAsia="zh-CN"/>
        </w:rPr>
        <w:t>省</w:t>
      </w:r>
      <w:r>
        <w:rPr>
          <w:rFonts w:hint="eastAsia" w:cs="Times New Roman"/>
          <w:kern w:val="2"/>
          <w:szCs w:val="32"/>
          <w:highlight w:val="none"/>
          <w:lang w:val="en-US" w:eastAsia="zh-CN"/>
        </w:rPr>
        <w:t>本级</w:t>
      </w:r>
      <w:r>
        <w:rPr>
          <w:rFonts w:hint="default" w:ascii="Times New Roman" w:hAnsi="Times New Roman" w:cs="Times New Roman"/>
          <w:kern w:val="2"/>
          <w:szCs w:val="32"/>
          <w:highlight w:val="none"/>
          <w:lang w:val="en-US" w:eastAsia="zh-CN"/>
        </w:rPr>
        <w:t>项目</w:t>
      </w:r>
      <w:r>
        <w:rPr>
          <w:rFonts w:hint="eastAsia" w:cs="Times New Roman"/>
          <w:kern w:val="2"/>
          <w:szCs w:val="32"/>
          <w:highlight w:val="none"/>
          <w:lang w:val="en-US" w:eastAsia="zh-CN"/>
        </w:rPr>
        <w:t>资金16772</w:t>
      </w:r>
      <w:r>
        <w:rPr>
          <w:rFonts w:hint="default" w:ascii="Times New Roman" w:hAnsi="Times New Roman" w:cs="Times New Roman"/>
          <w:kern w:val="2"/>
          <w:szCs w:val="32"/>
          <w:highlight w:val="none"/>
          <w:lang w:val="en-US" w:eastAsia="zh-CN"/>
        </w:rPr>
        <w:t>万元、</w:t>
      </w:r>
      <w:r>
        <w:rPr>
          <w:rFonts w:hint="eastAsia" w:cs="Times New Roman"/>
          <w:kern w:val="2"/>
          <w:szCs w:val="32"/>
          <w:highlight w:val="none"/>
          <w:lang w:val="en-US" w:eastAsia="zh-CN"/>
        </w:rPr>
        <w:t>转移支付市州</w:t>
      </w:r>
      <w:r>
        <w:rPr>
          <w:rFonts w:hint="default" w:ascii="Times New Roman" w:hAnsi="Times New Roman" w:cs="Times New Roman"/>
          <w:kern w:val="2"/>
          <w:szCs w:val="32"/>
          <w:highlight w:val="none"/>
          <w:lang w:val="en-US" w:eastAsia="zh-CN"/>
        </w:rPr>
        <w:t>项目</w:t>
      </w:r>
      <w:r>
        <w:rPr>
          <w:rFonts w:hint="eastAsia" w:cs="Times New Roman"/>
          <w:kern w:val="2"/>
          <w:szCs w:val="32"/>
          <w:highlight w:val="none"/>
          <w:lang w:val="en-US" w:eastAsia="zh-CN"/>
        </w:rPr>
        <w:t>资金35865</w:t>
      </w:r>
      <w:r>
        <w:rPr>
          <w:rFonts w:hint="default" w:ascii="Times New Roman" w:hAnsi="Times New Roman" w:cs="Times New Roman"/>
          <w:kern w:val="2"/>
          <w:szCs w:val="32"/>
          <w:highlight w:val="none"/>
          <w:lang w:val="en-US" w:eastAsia="zh-CN"/>
        </w:rPr>
        <w:t>万元</w:t>
      </w:r>
      <w:r>
        <w:rPr>
          <w:rFonts w:hint="eastAsia" w:cs="Times New Roman"/>
          <w:kern w:val="2"/>
          <w:szCs w:val="32"/>
          <w:highlight w:val="none"/>
          <w:lang w:val="en-US" w:eastAsia="zh-CN"/>
        </w:rPr>
        <w:t>，</w:t>
      </w:r>
      <w:r>
        <w:rPr>
          <w:rFonts w:hint="default" w:ascii="Times New Roman" w:hAnsi="Times New Roman" w:cs="Times New Roman"/>
          <w:kern w:val="2"/>
          <w:szCs w:val="32"/>
          <w:highlight w:val="none"/>
          <w:lang w:val="en-US" w:eastAsia="zh-CN"/>
        </w:rPr>
        <w:t>资金采用项目补助、以奖代补、贷款贴息</w:t>
      </w:r>
      <w:r>
        <w:rPr>
          <w:rFonts w:hint="eastAsia" w:cs="Times New Roman"/>
          <w:kern w:val="2"/>
          <w:szCs w:val="32"/>
          <w:highlight w:val="none"/>
          <w:lang w:val="en-US" w:eastAsia="zh-CN"/>
        </w:rPr>
        <w:t>等</w:t>
      </w:r>
      <w:r>
        <w:rPr>
          <w:rFonts w:hint="default" w:ascii="Times New Roman" w:hAnsi="Times New Roman" w:cs="Times New Roman"/>
          <w:kern w:val="2"/>
          <w:szCs w:val="32"/>
          <w:highlight w:val="none"/>
          <w:lang w:val="en-US" w:eastAsia="zh-CN"/>
        </w:rPr>
        <w:t>方式拨付</w:t>
      </w:r>
      <w:r>
        <w:rPr>
          <w:rFonts w:hint="eastAsia" w:cs="Times New Roman"/>
          <w:kern w:val="2"/>
          <w:szCs w:val="32"/>
          <w:highlight w:val="none"/>
          <w:lang w:val="en-US" w:eastAsia="zh-CN"/>
        </w:rPr>
        <w:t>。</w:t>
      </w:r>
    </w:p>
    <w:tbl>
      <w:tblPr>
        <w:tblStyle w:val="17"/>
        <w:tblW w:w="92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1336"/>
        <w:gridCol w:w="1692"/>
        <w:gridCol w:w="4567"/>
      </w:tblGrid>
      <w:tr w14:paraId="397F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692" w:type="dxa"/>
            <w:vAlign w:val="center"/>
          </w:tcPr>
          <w:p w14:paraId="7FC9C6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资金投向分类</w:t>
            </w:r>
          </w:p>
        </w:tc>
        <w:tc>
          <w:tcPr>
            <w:tcW w:w="1336" w:type="dxa"/>
            <w:vAlign w:val="center"/>
          </w:tcPr>
          <w:p w14:paraId="1CDC84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分配金额</w:t>
            </w:r>
          </w:p>
          <w:p w14:paraId="3B491E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（万元）</w:t>
            </w:r>
          </w:p>
        </w:tc>
        <w:tc>
          <w:tcPr>
            <w:tcW w:w="1692" w:type="dxa"/>
            <w:vAlign w:val="center"/>
          </w:tcPr>
          <w:p w14:paraId="73D208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占总资金比重</w:t>
            </w:r>
          </w:p>
        </w:tc>
        <w:tc>
          <w:tcPr>
            <w:tcW w:w="4566" w:type="dxa"/>
            <w:vAlign w:val="center"/>
          </w:tcPr>
          <w:p w14:paraId="1A6383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支持内容说明</w:t>
            </w:r>
          </w:p>
        </w:tc>
      </w:tr>
      <w:tr w14:paraId="14BBF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01AC1D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省委省政府部署项目</w:t>
            </w:r>
          </w:p>
        </w:tc>
        <w:tc>
          <w:tcPr>
            <w:tcW w:w="1336" w:type="dxa"/>
            <w:vAlign w:val="center"/>
          </w:tcPr>
          <w:p w14:paraId="388770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27,490.00</w:t>
            </w:r>
          </w:p>
        </w:tc>
        <w:tc>
          <w:tcPr>
            <w:tcW w:w="1692" w:type="dxa"/>
            <w:vAlign w:val="center"/>
          </w:tcPr>
          <w:p w14:paraId="54151D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52.23%</w:t>
            </w:r>
          </w:p>
        </w:tc>
        <w:tc>
          <w:tcPr>
            <w:tcW w:w="4566" w:type="dxa"/>
            <w:vAlign w:val="center"/>
          </w:tcPr>
          <w:p w14:paraId="4D6072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省旅发大会、文旅县域经济考核奖励、艺校化债等</w:t>
            </w:r>
          </w:p>
        </w:tc>
      </w:tr>
      <w:tr w14:paraId="733C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10C7E2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文化和旅游融合发展</w:t>
            </w:r>
          </w:p>
        </w:tc>
        <w:tc>
          <w:tcPr>
            <w:tcW w:w="1336" w:type="dxa"/>
            <w:vAlign w:val="center"/>
          </w:tcPr>
          <w:p w14:paraId="6EEBD0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2,850.00</w:t>
            </w:r>
          </w:p>
        </w:tc>
        <w:tc>
          <w:tcPr>
            <w:tcW w:w="1692" w:type="dxa"/>
            <w:vAlign w:val="center"/>
          </w:tcPr>
          <w:p w14:paraId="4E3AF6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5.41%</w:t>
            </w:r>
          </w:p>
        </w:tc>
        <w:tc>
          <w:tcPr>
            <w:tcW w:w="4566" w:type="dxa"/>
            <w:vAlign w:val="center"/>
          </w:tcPr>
          <w:p w14:paraId="1E65B7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“文化+科技”推进科技与文旅行业深度融合、旅游文化演艺活动、融合发展文旅新业态等</w:t>
            </w:r>
          </w:p>
        </w:tc>
      </w:tr>
      <w:tr w14:paraId="26E3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3CE0A3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文化遗产保护利用项目</w:t>
            </w:r>
          </w:p>
        </w:tc>
        <w:tc>
          <w:tcPr>
            <w:tcW w:w="1336" w:type="dxa"/>
            <w:vAlign w:val="center"/>
          </w:tcPr>
          <w:p w14:paraId="716A99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6,920.00</w:t>
            </w:r>
          </w:p>
        </w:tc>
        <w:tc>
          <w:tcPr>
            <w:tcW w:w="1692" w:type="dxa"/>
            <w:vAlign w:val="center"/>
          </w:tcPr>
          <w:p w14:paraId="497F10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13.15%</w:t>
            </w:r>
          </w:p>
        </w:tc>
        <w:tc>
          <w:tcPr>
            <w:tcW w:w="4566" w:type="dxa"/>
            <w:vAlign w:val="center"/>
          </w:tcPr>
          <w:p w14:paraId="45C74B8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非遗传承人补助、非遗旅游发展、红色文化旅游、文物保护利用、省级非物质文化遗产保护传承等</w:t>
            </w:r>
          </w:p>
        </w:tc>
      </w:tr>
      <w:tr w14:paraId="3F4C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536576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文旅活动和行业管理项目</w:t>
            </w:r>
          </w:p>
        </w:tc>
        <w:tc>
          <w:tcPr>
            <w:tcW w:w="1336" w:type="dxa"/>
            <w:vAlign w:val="center"/>
          </w:tcPr>
          <w:p w14:paraId="338A73B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7,598.00</w:t>
            </w:r>
          </w:p>
        </w:tc>
        <w:tc>
          <w:tcPr>
            <w:tcW w:w="1692" w:type="dxa"/>
            <w:vAlign w:val="center"/>
          </w:tcPr>
          <w:p w14:paraId="2B13ED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14.43%</w:t>
            </w:r>
          </w:p>
        </w:tc>
        <w:tc>
          <w:tcPr>
            <w:tcW w:w="4566" w:type="dxa"/>
            <w:vAlign w:val="center"/>
          </w:tcPr>
          <w:p w14:paraId="0BB4F9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宣传推广活动、行业管理项目、文旅业务活动等</w:t>
            </w:r>
          </w:p>
        </w:tc>
      </w:tr>
      <w:tr w14:paraId="033A3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383124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文旅设施维修及设备更新</w:t>
            </w:r>
          </w:p>
        </w:tc>
        <w:tc>
          <w:tcPr>
            <w:tcW w:w="1336" w:type="dxa"/>
            <w:vAlign w:val="center"/>
          </w:tcPr>
          <w:p w14:paraId="632DFF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1,510.00</w:t>
            </w:r>
          </w:p>
        </w:tc>
        <w:tc>
          <w:tcPr>
            <w:tcW w:w="1692" w:type="dxa"/>
            <w:vAlign w:val="center"/>
          </w:tcPr>
          <w:p w14:paraId="143FE2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2.87%</w:t>
            </w:r>
          </w:p>
        </w:tc>
        <w:tc>
          <w:tcPr>
            <w:tcW w:w="4566" w:type="dxa"/>
            <w:vAlign w:val="center"/>
          </w:tcPr>
          <w:p w14:paraId="611210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文旅基础设施提升、文旅基础设施灾后重建</w:t>
            </w:r>
          </w:p>
        </w:tc>
      </w:tr>
      <w:tr w14:paraId="342C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59CB54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文艺人才振兴工程</w:t>
            </w:r>
          </w:p>
        </w:tc>
        <w:tc>
          <w:tcPr>
            <w:tcW w:w="1336" w:type="dxa"/>
            <w:vAlign w:val="center"/>
          </w:tcPr>
          <w:p w14:paraId="19CF2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default" w:cs="Times New Roman"/>
                <w:kern w:val="2"/>
                <w:sz w:val="21"/>
                <w:szCs w:val="21"/>
                <w:highlight w:val="none"/>
                <w:vertAlign w:val="baseline"/>
                <w:lang w:val="en-US" w:eastAsia="zh-CN"/>
              </w:rPr>
              <w:t>6,269.00</w:t>
            </w:r>
          </w:p>
        </w:tc>
        <w:tc>
          <w:tcPr>
            <w:tcW w:w="1692" w:type="dxa"/>
            <w:vAlign w:val="center"/>
          </w:tcPr>
          <w:p w14:paraId="0567459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11.91%</w:t>
            </w:r>
          </w:p>
        </w:tc>
        <w:tc>
          <w:tcPr>
            <w:tcW w:w="4566" w:type="dxa"/>
            <w:vAlign w:val="center"/>
          </w:tcPr>
          <w:p w14:paraId="40C4B0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default" w:cs="Times New Roman"/>
                <w:kern w:val="2"/>
                <w:sz w:val="21"/>
                <w:szCs w:val="21"/>
                <w:highlight w:val="none"/>
                <w:vertAlign w:val="baseline"/>
                <w:lang w:val="en-US" w:eastAsia="zh-CN"/>
              </w:rPr>
            </w:pPr>
            <w:r>
              <w:rPr>
                <w:rFonts w:hint="eastAsia" w:cs="Times New Roman"/>
                <w:kern w:val="2"/>
                <w:sz w:val="21"/>
                <w:szCs w:val="21"/>
                <w:highlight w:val="none"/>
                <w:vertAlign w:val="baseline"/>
                <w:lang w:val="en-US" w:eastAsia="zh-CN"/>
              </w:rPr>
              <w:t>2025年艺术人才培养、专业口大戏、专业口小戏、艺术（群文作品）创作及复排、重大美术（书法、摄影）主题展等</w:t>
            </w:r>
          </w:p>
        </w:tc>
      </w:tr>
      <w:tr w14:paraId="58395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92" w:type="dxa"/>
            <w:vAlign w:val="center"/>
          </w:tcPr>
          <w:p w14:paraId="57724E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合计</w:t>
            </w:r>
          </w:p>
        </w:tc>
        <w:tc>
          <w:tcPr>
            <w:tcW w:w="1336" w:type="dxa"/>
            <w:vAlign w:val="center"/>
          </w:tcPr>
          <w:p w14:paraId="02D5F7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b/>
                <w:kern w:val="2"/>
                <w:sz w:val="21"/>
                <w:szCs w:val="21"/>
                <w:highlight w:val="none"/>
                <w:vertAlign w:val="baseline"/>
                <w:lang w:val="en-US" w:eastAsia="zh-CN"/>
              </w:rPr>
            </w:pPr>
            <w:r>
              <w:rPr>
                <w:rFonts w:hint="default" w:cs="Times New Roman"/>
                <w:b/>
                <w:kern w:val="2"/>
                <w:sz w:val="21"/>
                <w:szCs w:val="21"/>
                <w:highlight w:val="none"/>
                <w:vertAlign w:val="baseline"/>
                <w:lang w:val="en-US" w:eastAsia="zh-CN"/>
              </w:rPr>
              <w:t>52,637.00</w:t>
            </w:r>
          </w:p>
        </w:tc>
        <w:tc>
          <w:tcPr>
            <w:tcW w:w="1692" w:type="dxa"/>
            <w:vAlign w:val="center"/>
          </w:tcPr>
          <w:p w14:paraId="498B19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b/>
                <w:kern w:val="2"/>
                <w:sz w:val="21"/>
                <w:szCs w:val="21"/>
                <w:highlight w:val="none"/>
                <w:vertAlign w:val="baseline"/>
                <w:lang w:val="en-US" w:eastAsia="zh-CN"/>
              </w:rPr>
            </w:pPr>
            <w:r>
              <w:rPr>
                <w:rFonts w:hint="eastAsia" w:cs="Times New Roman"/>
                <w:b/>
                <w:kern w:val="2"/>
                <w:sz w:val="21"/>
                <w:szCs w:val="21"/>
                <w:highlight w:val="none"/>
                <w:vertAlign w:val="baseline"/>
                <w:lang w:val="en-US" w:eastAsia="zh-CN"/>
              </w:rPr>
              <w:t>100.00%</w:t>
            </w:r>
          </w:p>
        </w:tc>
        <w:tc>
          <w:tcPr>
            <w:tcW w:w="4566" w:type="dxa"/>
            <w:vAlign w:val="center"/>
          </w:tcPr>
          <w:p w14:paraId="298D56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left"/>
              <w:textAlignment w:val="auto"/>
              <w:rPr>
                <w:rFonts w:hint="eastAsia" w:cs="Times New Roman"/>
                <w:b/>
                <w:kern w:val="2"/>
                <w:sz w:val="21"/>
                <w:szCs w:val="21"/>
                <w:highlight w:val="none"/>
                <w:vertAlign w:val="baseline"/>
                <w:lang w:val="en-US" w:eastAsia="zh-CN"/>
              </w:rPr>
            </w:pPr>
          </w:p>
        </w:tc>
      </w:tr>
    </w:tbl>
    <w:p w14:paraId="727DF953">
      <w:pPr>
        <w:keepNext w:val="0"/>
        <w:keepLines w:val="0"/>
        <w:pageBreakBefore w:val="0"/>
        <w:widowControl w:val="0"/>
        <w:numPr>
          <w:ilvl w:val="0"/>
          <w:numId w:val="4"/>
        </w:numPr>
        <w:kinsoku/>
        <w:wordWrap/>
        <w:overflowPunct/>
        <w:topLinePunct w:val="0"/>
        <w:autoSpaceDE/>
        <w:autoSpaceDN/>
        <w:bidi w:val="0"/>
        <w:spacing w:beforeAutospacing="0" w:line="560" w:lineRule="exact"/>
        <w:ind w:firstLine="0"/>
        <w:jc w:val="both"/>
        <w:textAlignment w:val="auto"/>
        <w:rPr>
          <w:rFonts w:hint="eastAsia" w:cs="Times New Roman"/>
          <w:kern w:val="2"/>
          <w:szCs w:val="32"/>
          <w:highlight w:val="none"/>
          <w:lang w:val="en-US" w:eastAsia="zh-CN"/>
        </w:rPr>
      </w:pPr>
      <w:r>
        <w:rPr>
          <w:rFonts w:hint="eastAsia" w:cs="Times New Roman"/>
          <w:kern w:val="2"/>
          <w:szCs w:val="32"/>
          <w:highlight w:val="none"/>
          <w:lang w:val="en-US" w:eastAsia="zh-CN"/>
        </w:rPr>
        <w:t>分区域资金分配情况。2025年度全省文旅专项资金总规模52637万元、项目合计550个。其中，省直单位179个项目，资金16772万元，占比31.86%，14个市州项目371个、资金35865万元，占比68.14%。按照2025年专项资金申报通知要求，资金突出差异化配置：一是倾斜旅发大会承办地市，怀化、岳阳分别获批资金12690.14万元、11334.30万元，占比24.11%、21.53%，重点保障大会配套设施与文旅项目建设；二是扶持核心文旅节点，张家界项目数量56个居全省首位，郴州作为全省大湘南文旅板块门户核心城市，立足湘南红色与生态文旅融合重点片区定位，获得专项资金重点倾斜；三是统筹长株潭都市圈提质，长沙、湘潭、株洲资金聚焦文创产业、城市文旅消费项目；四是对湘西、邵阳、永州、娄底等武陵山、湘南片区，资金重点投向乡村旅游、基层公共文化与非遗保护。</w:t>
      </w:r>
    </w:p>
    <w:tbl>
      <w:tblPr>
        <w:tblStyle w:val="16"/>
        <w:tblW w:w="88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23"/>
        <w:gridCol w:w="1534"/>
        <w:gridCol w:w="2400"/>
        <w:gridCol w:w="2400"/>
      </w:tblGrid>
      <w:tr w14:paraId="047F2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06C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市州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07A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6E7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金额（万元）</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2B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占比</w:t>
            </w:r>
          </w:p>
        </w:tc>
      </w:tr>
      <w:tr w14:paraId="5FECF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FEB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省直单位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F1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w:t>
            </w:r>
            <w:r>
              <w:rPr>
                <w:rFonts w:hint="eastAsia" w:cs="Times New Roman"/>
                <w:kern w:val="2"/>
                <w:sz w:val="20"/>
                <w:szCs w:val="20"/>
                <w:highlight w:val="none"/>
                <w:vertAlign w:val="baseline"/>
                <w:lang w:val="en-US" w:eastAsia="zh-CN"/>
              </w:rPr>
              <w:t>7</w:t>
            </w:r>
            <w:r>
              <w:rPr>
                <w:rFonts w:hint="default" w:cs="Times New Roman"/>
                <w:kern w:val="2"/>
                <w:sz w:val="20"/>
                <w:szCs w:val="20"/>
                <w:highlight w:val="none"/>
                <w:vertAlign w:val="baseline"/>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5A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16772</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96E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31.86%</w:t>
            </w:r>
          </w:p>
        </w:tc>
      </w:tr>
      <w:tr w14:paraId="5B509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F0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长沙市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2CD2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598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1570.57</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2C1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2.98%</w:t>
            </w:r>
          </w:p>
        </w:tc>
      </w:tr>
      <w:tr w14:paraId="33DE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2CB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株洲市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AC3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442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674.19</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B85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1.28%</w:t>
            </w:r>
          </w:p>
        </w:tc>
      </w:tr>
      <w:tr w14:paraId="57D43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21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湘潭市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623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D6D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1250.96</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F7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2.38%</w:t>
            </w:r>
          </w:p>
        </w:tc>
      </w:tr>
      <w:tr w14:paraId="00FB4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14D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衡阳市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28D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4E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929.4</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2A7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1.77%</w:t>
            </w:r>
          </w:p>
        </w:tc>
      </w:tr>
      <w:tr w14:paraId="13B02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96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岳阳市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07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84E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11334.3</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E89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21.53%</w:t>
            </w:r>
          </w:p>
        </w:tc>
      </w:tr>
      <w:tr w14:paraId="11ADE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0B2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常德市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CC0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4C3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600.21</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26A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1.14%</w:t>
            </w:r>
          </w:p>
        </w:tc>
      </w:tr>
      <w:tr w14:paraId="440A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8DF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郴州市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0E5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08EA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1658.56</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2B4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3.15%</w:t>
            </w:r>
          </w:p>
        </w:tc>
      </w:tr>
      <w:tr w14:paraId="6A921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26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娄底市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53E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DF0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510.6</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37D3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0.97%</w:t>
            </w:r>
          </w:p>
        </w:tc>
      </w:tr>
      <w:tr w14:paraId="5DE34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02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邵阳市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1C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2E1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465.35</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557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0.88%</w:t>
            </w:r>
          </w:p>
        </w:tc>
      </w:tr>
      <w:tr w14:paraId="751F6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ADC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益阳市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2A5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62C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621.58</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DEA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1.18%</w:t>
            </w:r>
          </w:p>
        </w:tc>
      </w:tr>
      <w:tr w14:paraId="09E9F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DE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永州市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4BF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773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584.37</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A62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1.11%</w:t>
            </w:r>
          </w:p>
        </w:tc>
      </w:tr>
      <w:tr w14:paraId="3AA5A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92B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怀化市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B3A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809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12690.14</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A40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24.11%</w:t>
            </w:r>
          </w:p>
        </w:tc>
      </w:tr>
      <w:tr w14:paraId="1002C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42A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张家界市</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A75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71C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2025.36</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91E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3.85%</w:t>
            </w:r>
          </w:p>
        </w:tc>
      </w:tr>
      <w:tr w14:paraId="7A616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252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eastAsia" w:cs="Times New Roman"/>
                <w:kern w:val="2"/>
                <w:sz w:val="20"/>
                <w:szCs w:val="20"/>
                <w:highlight w:val="none"/>
                <w:vertAlign w:val="baseline"/>
                <w:lang w:val="en-US" w:eastAsia="zh-CN"/>
              </w:rPr>
              <w:t>湘西州</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18F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5FB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949.41</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2BB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kern w:val="2"/>
                <w:sz w:val="20"/>
                <w:szCs w:val="20"/>
                <w:highlight w:val="none"/>
                <w:vertAlign w:val="baseline"/>
                <w:lang w:val="en-US" w:eastAsia="zh-CN"/>
              </w:rPr>
            </w:pPr>
            <w:r>
              <w:rPr>
                <w:rFonts w:hint="default" w:cs="Times New Roman"/>
                <w:kern w:val="2"/>
                <w:sz w:val="20"/>
                <w:szCs w:val="20"/>
                <w:highlight w:val="none"/>
                <w:vertAlign w:val="baseline"/>
                <w:lang w:val="en-US" w:eastAsia="zh-CN"/>
              </w:rPr>
              <w:t>1.80%</w:t>
            </w:r>
          </w:p>
        </w:tc>
      </w:tr>
      <w:tr w14:paraId="7F64F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A9A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合计</w:t>
            </w: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FE5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550</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804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right"/>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52637</w:t>
            </w:r>
          </w:p>
        </w:tc>
        <w:tc>
          <w:tcPr>
            <w:tcW w:w="2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B1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eastAsia" w:cs="Times New Roman"/>
                <w:b/>
                <w:kern w:val="2"/>
                <w:sz w:val="20"/>
                <w:szCs w:val="20"/>
                <w:highlight w:val="none"/>
                <w:vertAlign w:val="baseline"/>
                <w:lang w:val="en-US" w:eastAsia="zh-CN"/>
              </w:rPr>
            </w:pPr>
            <w:r>
              <w:rPr>
                <w:rFonts w:hint="eastAsia" w:cs="Times New Roman"/>
                <w:b/>
                <w:kern w:val="2"/>
                <w:sz w:val="20"/>
                <w:szCs w:val="20"/>
                <w:highlight w:val="none"/>
                <w:vertAlign w:val="baseline"/>
                <w:lang w:val="en-US" w:eastAsia="zh-CN"/>
              </w:rPr>
              <w:t>100.00%</w:t>
            </w:r>
          </w:p>
        </w:tc>
      </w:tr>
    </w:tbl>
    <w:p w14:paraId="21BB4FC5">
      <w:pPr>
        <w:keepNext w:val="0"/>
        <w:keepLines w:val="0"/>
        <w:pageBreakBefore w:val="0"/>
        <w:widowControl w:val="0"/>
        <w:numPr>
          <w:ilvl w:val="0"/>
          <w:numId w:val="3"/>
        </w:numPr>
        <w:kinsoku/>
        <w:wordWrap/>
        <w:overflowPunct/>
        <w:topLinePunct w:val="0"/>
        <w:autoSpaceDE/>
        <w:autoSpaceDN/>
        <w:bidi w:val="0"/>
        <w:spacing w:beforeAutospacing="0" w:line="560" w:lineRule="exact"/>
        <w:ind w:left="0" w:leftChars="0" w:firstLine="643" w:firstLineChars="200"/>
        <w:jc w:val="left"/>
        <w:textAlignment w:val="auto"/>
        <w:rPr>
          <w:rFonts w:hint="eastAsia" w:cs="Times New Roman"/>
          <w:b/>
          <w:bCs/>
          <w:kern w:val="2"/>
          <w:szCs w:val="32"/>
          <w:highlight w:val="none"/>
          <w:lang w:val="en-US" w:eastAsia="zh-CN"/>
        </w:rPr>
      </w:pPr>
      <w:r>
        <w:rPr>
          <w:rFonts w:hint="eastAsia" w:cs="Times New Roman"/>
          <w:b/>
          <w:bCs/>
          <w:kern w:val="2"/>
          <w:szCs w:val="32"/>
          <w:highlight w:val="none"/>
          <w:lang w:val="en-US" w:eastAsia="zh-CN"/>
        </w:rPr>
        <w:t>资金下达情况</w:t>
      </w:r>
    </w:p>
    <w:p w14:paraId="2115E223">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2025年度省文化旅游发展专项资金依据湘财文指〔2024〕60号、湘财文指〔2024〕82号、湘财文指〔2024〕71号、湘财文指〔2025〕9号/24号/48号/54号、2025（湘财预）0001号等多批次省级财政指标文件分批次下达，全年度财政指标</w:t>
      </w:r>
      <w:r>
        <w:rPr>
          <w:rFonts w:hint="eastAsia" w:cs="Times New Roman"/>
          <w:kern w:val="2"/>
          <w:sz w:val="32"/>
          <w:szCs w:val="32"/>
          <w:highlight w:val="none"/>
          <w:lang w:val="en-US" w:eastAsia="zh-CN"/>
        </w:rPr>
        <w:t>均于2025年9月30日前完成</w:t>
      </w:r>
      <w:r>
        <w:rPr>
          <w:rFonts w:hint="default" w:ascii="Times New Roman" w:hAnsi="Times New Roman" w:cs="Times New Roman"/>
          <w:kern w:val="2"/>
          <w:sz w:val="32"/>
          <w:szCs w:val="32"/>
          <w:highlight w:val="none"/>
          <w:lang w:val="en-US" w:eastAsia="zh-CN"/>
        </w:rPr>
        <w:t>下达，指标下达程序合规、文件完备。</w:t>
      </w:r>
    </w:p>
    <w:p w14:paraId="05A256AD">
      <w:pPr>
        <w:pStyle w:val="4"/>
        <w:keepNext w:val="0"/>
        <w:keepLines w:val="0"/>
        <w:pageBreakBefore w:val="0"/>
        <w:widowControl w:val="0"/>
        <w:numPr>
          <w:ilvl w:val="0"/>
          <w:numId w:val="2"/>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eastAsia" w:ascii="楷体_GB2312" w:hAnsi="楷体_GB2312" w:eastAsia="楷体_GB2312" w:cs="楷体_GB2312"/>
          <w:lang w:val="en-US" w:eastAsia="zh-CN"/>
        </w:rPr>
      </w:pPr>
      <w:bookmarkStart w:id="64" w:name="_Toc370"/>
      <w:bookmarkStart w:id="65" w:name="_Toc32446"/>
      <w:r>
        <w:rPr>
          <w:rFonts w:hint="eastAsia" w:ascii="楷体_GB2312" w:hAnsi="楷体_GB2312" w:eastAsia="楷体_GB2312" w:cs="楷体_GB2312"/>
          <w:lang w:val="en-US" w:eastAsia="zh-CN"/>
        </w:rPr>
        <w:t>年度绩效目标</w:t>
      </w:r>
      <w:bookmarkEnd w:id="64"/>
      <w:bookmarkEnd w:id="65"/>
    </w:p>
    <w:p w14:paraId="2A4AB659">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eastAsia"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按照《中华人民共和国预算法》《湖南省预算支出绩效评价管理办法》《湖南省文化旅游发展专项资金管理办法》（湘财文〔2024〕6号）及省财政厅年度预算编制相关工作通知要求，2024年</w:t>
      </w:r>
      <w:r>
        <w:rPr>
          <w:rFonts w:hint="eastAsia" w:cs="Times New Roman"/>
          <w:kern w:val="2"/>
          <w:sz w:val="32"/>
          <w:szCs w:val="32"/>
          <w:highlight w:val="none"/>
          <w:lang w:val="en-US" w:eastAsia="zh-CN"/>
        </w:rPr>
        <w:t>底</w:t>
      </w:r>
      <w:r>
        <w:rPr>
          <w:rFonts w:hint="default" w:ascii="Times New Roman" w:hAnsi="Times New Roman" w:cs="Times New Roman"/>
          <w:kern w:val="2"/>
          <w:sz w:val="32"/>
          <w:szCs w:val="32"/>
          <w:highlight w:val="none"/>
          <w:lang w:val="en-US" w:eastAsia="zh-CN"/>
        </w:rPr>
        <w:t>，省文旅厅完成2025年度省文化旅游发展专项资金绩效目标编报工作，结合全省文旅重点任务、六大支出方向（省委省政府部署项目、文旅融合、文化遗产保护、文旅活动行业管理、设施维修更新、文艺人才振兴），分板块拟定年度绩效指标、实施期绩效目标</w:t>
      </w:r>
      <w:r>
        <w:rPr>
          <w:rFonts w:hint="eastAsia" w:cs="Times New Roman"/>
          <w:kern w:val="2"/>
          <w:sz w:val="32"/>
          <w:szCs w:val="32"/>
          <w:highlight w:val="none"/>
          <w:lang w:val="en-US" w:eastAsia="zh-CN"/>
        </w:rPr>
        <w:t>。</w:t>
      </w:r>
    </w:p>
    <w:p w14:paraId="53CFDE6D">
      <w:pPr>
        <w:keepNext w:val="0"/>
        <w:keepLines w:val="0"/>
        <w:pageBreakBefore w:val="0"/>
        <w:widowControl w:val="0"/>
        <w:kinsoku/>
        <w:wordWrap/>
        <w:overflowPunct/>
        <w:topLinePunct w:val="0"/>
        <w:autoSpaceDE/>
        <w:autoSpaceDN/>
        <w:bidi w:val="0"/>
        <w:spacing w:beforeAutospacing="0" w:line="560" w:lineRule="exact"/>
        <w:ind w:firstLine="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cs="Times New Roman"/>
          <w:kern w:val="2"/>
          <w:sz w:val="32"/>
          <w:szCs w:val="32"/>
          <w:highlight w:val="none"/>
          <w:lang w:val="en-US" w:eastAsia="zh-CN"/>
        </w:rPr>
        <w:t>为确保绩效目标与资金投向、项目实施内容保持一致，发挥绩效目标引领预算执行、项目落地作用，依据绩效运行监控管理相关规定，在年中履行绩效目标调整报批程序，分六大支出板块逐项修订完善绩效目标：一是优化六大领域年度总体绩效任务表述，对标正式资金方案更新工作内容；二是逐项细化成本指标，精准核定各项目补助档次、资金额度、项目数量标准；三是修正产出数量、质量、时效指标，按照实际立项规模调整项目个数、完成时限；四是同步衔接效益、满意度指标，确保指标设置贴合项目落地预期</w:t>
      </w:r>
      <w:r>
        <w:rPr>
          <w:rFonts w:hint="eastAsia" w:cs="Times New Roman"/>
          <w:kern w:val="2"/>
          <w:sz w:val="32"/>
          <w:szCs w:val="32"/>
          <w:highlight w:val="none"/>
          <w:lang w:val="en-US" w:eastAsia="zh-CN"/>
        </w:rPr>
        <w:t>。</w:t>
      </w:r>
    </w:p>
    <w:p w14:paraId="65A710ED">
      <w:pPr>
        <w:pStyle w:val="4"/>
        <w:keepNext w:val="0"/>
        <w:keepLines w:val="0"/>
        <w:pageBreakBefore w:val="0"/>
        <w:widowControl w:val="0"/>
        <w:numPr>
          <w:ilvl w:val="0"/>
          <w:numId w:val="2"/>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default" w:ascii="楷体_GB2312" w:hAnsi="楷体_GB2312" w:eastAsia="楷体_GB2312" w:cs="楷体_GB2312"/>
          <w:lang w:val="en-US" w:eastAsia="zh-CN"/>
        </w:rPr>
      </w:pPr>
      <w:bookmarkStart w:id="66" w:name="_Toc15137"/>
      <w:bookmarkStart w:id="67" w:name="_Toc2951"/>
      <w:r>
        <w:rPr>
          <w:rFonts w:hint="eastAsia" w:ascii="楷体_GB2312" w:hAnsi="楷体_GB2312" w:eastAsia="楷体_GB2312" w:cs="楷体_GB2312"/>
          <w:lang w:val="en-US" w:eastAsia="zh-CN"/>
        </w:rPr>
        <w:t>管理制度建立及落实情况</w:t>
      </w:r>
      <w:bookmarkEnd w:id="66"/>
      <w:bookmarkEnd w:id="67"/>
    </w:p>
    <w:p w14:paraId="289903E8">
      <w:pPr>
        <w:keepNext w:val="0"/>
        <w:keepLines w:val="0"/>
        <w:pageBreakBefore w:val="0"/>
        <w:widowControl w:val="0"/>
        <w:numPr>
          <w:ilvl w:val="0"/>
          <w:numId w:val="5"/>
        </w:numPr>
        <w:kinsoku/>
        <w:wordWrap/>
        <w:overflowPunct/>
        <w:topLinePunct w:val="0"/>
        <w:autoSpaceDE/>
        <w:autoSpaceDN/>
        <w:bidi w:val="0"/>
        <w:spacing w:beforeAutospacing="0" w:line="560" w:lineRule="exact"/>
        <w:ind w:left="0" w:leftChars="0" w:firstLine="643" w:firstLineChars="200"/>
        <w:jc w:val="left"/>
        <w:textAlignment w:val="auto"/>
        <w:rPr>
          <w:rFonts w:hint="default" w:cs="Times New Roman"/>
          <w:b/>
          <w:bCs/>
          <w:kern w:val="2"/>
          <w:szCs w:val="32"/>
          <w:highlight w:val="none"/>
          <w:lang w:val="en-US" w:eastAsia="zh-CN"/>
        </w:rPr>
      </w:pPr>
      <w:r>
        <w:rPr>
          <w:rFonts w:hint="eastAsia" w:cs="Times New Roman"/>
          <w:b/>
          <w:bCs/>
          <w:kern w:val="2"/>
          <w:szCs w:val="32"/>
          <w:highlight w:val="none"/>
          <w:lang w:val="en-US" w:eastAsia="zh-CN"/>
        </w:rPr>
        <w:t>制度建设情况</w:t>
      </w:r>
    </w:p>
    <w:p w14:paraId="7328C6C2">
      <w:pPr>
        <w:jc w:val="both"/>
        <w:rPr>
          <w:rFonts w:hint="default" w:cs="Times New Roman"/>
          <w:kern w:val="2"/>
          <w:sz w:val="32"/>
          <w:szCs w:val="32"/>
          <w:highlight w:val="none"/>
          <w:lang w:val="en-US" w:eastAsia="zh-CN" w:bidi="ar-SA"/>
        </w:rPr>
      </w:pPr>
      <w:r>
        <w:rPr>
          <w:rFonts w:hint="eastAsia" w:cs="Times New Roman"/>
          <w:kern w:val="2"/>
          <w:sz w:val="32"/>
          <w:szCs w:val="32"/>
          <w:highlight w:val="none"/>
          <w:lang w:val="en-US" w:eastAsia="zh-CN" w:bidi="ar-SA"/>
        </w:rPr>
        <w:t>依据《湖南省文化旅游发展专项资金管理办法》（湘财文〔2024〕6号）、省财政预算绩效管理相关制度及《湖南省文化和旅游厅湖南省财政厅关于做好2025年省文化旅游发展专项资金项目申报工作的通知》要求，省文旅厅联合省财政厅建立项目申报评审、立项批复、过程管控、竣工验收、资金拨付、绩效监管闭环管理制度。围绕项目库管理、资金拨付审核、内控管理、问题整改四项关键环节，细化内部操作规程，形成省级统筹、市县属地监管、项目单位主体负责三级管理架构。</w:t>
      </w:r>
    </w:p>
    <w:p w14:paraId="1968E811">
      <w:pPr>
        <w:keepNext w:val="0"/>
        <w:keepLines w:val="0"/>
        <w:pageBreakBefore w:val="0"/>
        <w:widowControl w:val="0"/>
        <w:numPr>
          <w:ilvl w:val="0"/>
          <w:numId w:val="5"/>
        </w:numPr>
        <w:kinsoku/>
        <w:wordWrap/>
        <w:overflowPunct/>
        <w:topLinePunct w:val="0"/>
        <w:autoSpaceDE/>
        <w:autoSpaceDN/>
        <w:bidi w:val="0"/>
        <w:spacing w:beforeAutospacing="0" w:line="560" w:lineRule="exact"/>
        <w:ind w:left="0" w:leftChars="0" w:firstLine="643" w:firstLineChars="200"/>
        <w:jc w:val="left"/>
        <w:textAlignment w:val="auto"/>
        <w:rPr>
          <w:rFonts w:hint="default" w:cs="Times New Roman"/>
          <w:b/>
          <w:bCs/>
          <w:kern w:val="2"/>
          <w:szCs w:val="32"/>
          <w:highlight w:val="none"/>
          <w:lang w:val="en-US" w:eastAsia="zh-CN"/>
        </w:rPr>
      </w:pPr>
      <w:r>
        <w:rPr>
          <w:rFonts w:hint="eastAsia" w:cs="Times New Roman"/>
          <w:b/>
          <w:bCs/>
          <w:kern w:val="2"/>
          <w:szCs w:val="32"/>
          <w:highlight w:val="none"/>
          <w:lang w:val="en-US" w:eastAsia="zh-CN"/>
        </w:rPr>
        <w:t>项目管理制度执行情况</w:t>
      </w:r>
    </w:p>
    <w:p w14:paraId="55C36EE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cs="Times New Roman"/>
          <w:kern w:val="2"/>
          <w:sz w:val="32"/>
          <w:szCs w:val="32"/>
          <w:highlight w:val="none"/>
          <w:lang w:val="en-US" w:eastAsia="zh-CN" w:bidi="ar-SA"/>
        </w:rPr>
      </w:pPr>
      <w:r>
        <w:rPr>
          <w:rFonts w:hint="default" w:cs="Times New Roman"/>
          <w:kern w:val="2"/>
          <w:sz w:val="32"/>
          <w:szCs w:val="32"/>
          <w:highlight w:val="none"/>
          <w:lang w:val="en-US" w:eastAsia="zh-CN" w:bidi="ar-SA"/>
        </w:rPr>
        <w:t>落实项目库常态化储备机制，所有扶持项目依托省级文旅专项资金申报平台线上申报，执行市县文旅</w:t>
      </w:r>
      <w:r>
        <w:rPr>
          <w:rFonts w:hint="eastAsia" w:cs="Times New Roman"/>
          <w:kern w:val="2"/>
          <w:sz w:val="32"/>
          <w:szCs w:val="32"/>
          <w:highlight w:val="none"/>
          <w:lang w:val="en-US" w:eastAsia="zh-CN" w:bidi="ar-SA"/>
        </w:rPr>
        <w:t>及</w:t>
      </w:r>
      <w:r>
        <w:rPr>
          <w:rFonts w:hint="default" w:cs="Times New Roman"/>
          <w:kern w:val="2"/>
          <w:sz w:val="32"/>
          <w:szCs w:val="32"/>
          <w:highlight w:val="none"/>
          <w:lang w:val="en-US" w:eastAsia="zh-CN" w:bidi="ar-SA"/>
        </w:rPr>
        <w:t>财政联合初审、省级专家评审、立项公示、正式批复入库流程。实行年中绩效双监控，对岳阳、怀化旅发大会项目专项督办；项目内容、工期变更严格履行报批手续。</w:t>
      </w:r>
    </w:p>
    <w:p w14:paraId="1FE31D22">
      <w:pPr>
        <w:keepNext w:val="0"/>
        <w:keepLines w:val="0"/>
        <w:pageBreakBefore w:val="0"/>
        <w:widowControl w:val="0"/>
        <w:numPr>
          <w:ilvl w:val="0"/>
          <w:numId w:val="5"/>
        </w:numPr>
        <w:kinsoku/>
        <w:wordWrap/>
        <w:overflowPunct/>
        <w:topLinePunct w:val="0"/>
        <w:autoSpaceDE/>
        <w:autoSpaceDN/>
        <w:bidi w:val="0"/>
        <w:spacing w:beforeAutospacing="0" w:line="560" w:lineRule="exact"/>
        <w:ind w:left="0" w:leftChars="0" w:firstLine="643" w:firstLineChars="200"/>
        <w:jc w:val="left"/>
        <w:textAlignment w:val="auto"/>
        <w:rPr>
          <w:rFonts w:hint="default" w:cs="Times New Roman"/>
          <w:b/>
          <w:bCs/>
          <w:kern w:val="2"/>
          <w:szCs w:val="32"/>
          <w:highlight w:val="none"/>
          <w:lang w:val="en-US" w:eastAsia="zh-CN"/>
        </w:rPr>
      </w:pPr>
      <w:r>
        <w:rPr>
          <w:rFonts w:hint="default" w:cs="Times New Roman"/>
          <w:b/>
          <w:bCs/>
          <w:kern w:val="2"/>
          <w:szCs w:val="32"/>
          <w:highlight w:val="none"/>
          <w:lang w:val="en-US" w:eastAsia="zh-CN"/>
        </w:rPr>
        <w:t>资金管理</w:t>
      </w:r>
      <w:r>
        <w:rPr>
          <w:rFonts w:hint="eastAsia" w:cs="Times New Roman"/>
          <w:b/>
          <w:bCs/>
          <w:kern w:val="2"/>
          <w:szCs w:val="32"/>
          <w:highlight w:val="none"/>
          <w:lang w:val="en-US" w:eastAsia="zh-CN"/>
        </w:rPr>
        <w:t>制度执行情况</w:t>
      </w:r>
    </w:p>
    <w:p w14:paraId="16FB7DD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cs="Times New Roman"/>
          <w:kern w:val="2"/>
          <w:sz w:val="32"/>
          <w:szCs w:val="32"/>
          <w:highlight w:val="none"/>
          <w:lang w:val="en-US" w:eastAsia="zh-CN" w:bidi="ar-SA"/>
        </w:rPr>
      </w:pPr>
      <w:r>
        <w:rPr>
          <w:rFonts w:hint="default" w:cs="Times New Roman"/>
          <w:kern w:val="2"/>
          <w:sz w:val="32"/>
          <w:szCs w:val="32"/>
          <w:highlight w:val="none"/>
          <w:lang w:val="en-US" w:eastAsia="zh-CN" w:bidi="ar-SA"/>
        </w:rPr>
        <w:t>要求各项目实施单位单独核算、专款专用，严格遵守专项资金列支负面清单，不得挤占、截留、挪用于人员经费、日常办公等非项目支出；主管部门结合现场绩效评价，抽查财务凭证、合同、付款附件，督促基层单位规范账务处理。</w:t>
      </w:r>
    </w:p>
    <w:p w14:paraId="4EF7E199">
      <w:pPr>
        <w:keepNext w:val="0"/>
        <w:keepLines w:val="0"/>
        <w:pageBreakBefore w:val="0"/>
        <w:widowControl w:val="0"/>
        <w:numPr>
          <w:ilvl w:val="0"/>
          <w:numId w:val="5"/>
        </w:numPr>
        <w:kinsoku/>
        <w:wordWrap/>
        <w:overflowPunct/>
        <w:topLinePunct w:val="0"/>
        <w:autoSpaceDE/>
        <w:autoSpaceDN/>
        <w:bidi w:val="0"/>
        <w:spacing w:beforeAutospacing="0" w:line="560" w:lineRule="exact"/>
        <w:ind w:left="0" w:leftChars="0" w:firstLine="643" w:firstLineChars="200"/>
        <w:jc w:val="left"/>
        <w:textAlignment w:val="auto"/>
        <w:rPr>
          <w:rFonts w:hint="default" w:cs="Times New Roman"/>
          <w:b/>
          <w:bCs/>
          <w:kern w:val="2"/>
          <w:szCs w:val="32"/>
          <w:highlight w:val="none"/>
          <w:lang w:val="en-US" w:eastAsia="zh-CN"/>
        </w:rPr>
      </w:pPr>
      <w:r>
        <w:rPr>
          <w:rFonts w:hint="default" w:cs="Times New Roman"/>
          <w:b/>
          <w:bCs/>
          <w:kern w:val="2"/>
          <w:szCs w:val="32"/>
          <w:highlight w:val="none"/>
          <w:lang w:val="en-US" w:eastAsia="zh-CN"/>
        </w:rPr>
        <w:t>绩效联动约束机制落地</w:t>
      </w:r>
    </w:p>
    <w:p w14:paraId="58C26DB0">
      <w:pPr>
        <w:jc w:val="both"/>
        <w:rPr>
          <w:rFonts w:hint="default" w:cs="Times New Roman"/>
          <w:kern w:val="2"/>
          <w:sz w:val="32"/>
          <w:szCs w:val="32"/>
          <w:highlight w:val="none"/>
          <w:lang w:val="en-US" w:eastAsia="zh-CN" w:bidi="ar-SA"/>
        </w:rPr>
      </w:pPr>
      <w:r>
        <w:rPr>
          <w:rFonts w:hint="default" w:cs="Times New Roman"/>
          <w:kern w:val="2"/>
          <w:sz w:val="32"/>
          <w:szCs w:val="32"/>
          <w:highlight w:val="none"/>
          <w:lang w:val="en-US" w:eastAsia="zh-CN" w:bidi="ar-SA"/>
        </w:rPr>
        <w:t>落实绩效结果与项目申报、资金分配挂钩机制，年中依托绩效监控动态纠偏，对实施滞后、资金低效沉淀的项目暂缓后续资金拨付，以绩效管理倒逼项目与资金管理提质增效。</w:t>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14:paraId="701A7B82">
      <w:pPr>
        <w:pStyle w:val="3"/>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cs="Times New Roman"/>
          <w:lang w:val="en-US" w:eastAsia="zh-CN"/>
        </w:rPr>
      </w:pPr>
      <w:bookmarkStart w:id="68" w:name="_Toc19349"/>
      <w:bookmarkStart w:id="69" w:name="_Toc8564"/>
      <w:bookmarkStart w:id="70" w:name="_Toc12848"/>
      <w:bookmarkStart w:id="71" w:name="_Toc16251"/>
      <w:bookmarkStart w:id="72" w:name="_Toc20045"/>
      <w:bookmarkStart w:id="73" w:name="_Toc30859"/>
      <w:bookmarkStart w:id="74" w:name="_Toc25198"/>
      <w:bookmarkStart w:id="75" w:name="_Toc10876"/>
      <w:bookmarkStart w:id="76" w:name="_Toc72927770"/>
      <w:bookmarkStart w:id="77" w:name="_Toc5318"/>
      <w:bookmarkStart w:id="78" w:name="_Toc31974"/>
      <w:bookmarkStart w:id="79" w:name="_Toc5920"/>
      <w:bookmarkStart w:id="80" w:name="_Toc23445"/>
      <w:bookmarkStart w:id="81" w:name="_Toc7053"/>
      <w:bookmarkStart w:id="82" w:name="_Toc28511"/>
      <w:bookmarkStart w:id="83" w:name="_Toc7384"/>
      <w:r>
        <w:rPr>
          <w:rFonts w:hint="default" w:ascii="Times New Roman" w:hAnsi="Times New Roman" w:cs="Times New Roman"/>
          <w:lang w:val="en-US" w:eastAsia="zh-CN"/>
        </w:rPr>
        <w:t>绩效评价工作情况</w:t>
      </w:r>
      <w:bookmarkEnd w:id="1"/>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14:paraId="1DFF670A">
      <w:pPr>
        <w:pStyle w:val="4"/>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default" w:ascii="楷体_GB2312" w:hAnsi="楷体_GB2312" w:eastAsia="楷体_GB2312" w:cs="楷体_GB2312"/>
          <w:lang w:val="en-US" w:eastAsia="zh-CN"/>
        </w:rPr>
      </w:pPr>
      <w:bookmarkStart w:id="84" w:name="_Toc19694"/>
      <w:bookmarkStart w:id="85" w:name="_Toc9904"/>
      <w:bookmarkStart w:id="86" w:name="_Toc28919"/>
      <w:bookmarkStart w:id="87" w:name="_Toc4935"/>
      <w:bookmarkStart w:id="88" w:name="_Toc1433"/>
      <w:bookmarkStart w:id="89" w:name="_Toc41842506"/>
      <w:bookmarkStart w:id="90" w:name="_Toc30164"/>
      <w:bookmarkStart w:id="91" w:name="_Toc10194"/>
      <w:bookmarkStart w:id="92" w:name="_Toc3530"/>
      <w:bookmarkStart w:id="93" w:name="_Toc25842"/>
      <w:bookmarkStart w:id="94" w:name="_Toc15209"/>
      <w:bookmarkStart w:id="95" w:name="_Toc4872"/>
      <w:bookmarkStart w:id="96" w:name="_Toc11401"/>
      <w:bookmarkStart w:id="97" w:name="_Toc26166"/>
      <w:r>
        <w:rPr>
          <w:rFonts w:hint="default" w:ascii="楷体_GB2312" w:hAnsi="楷体_GB2312" w:eastAsia="楷体_GB2312" w:cs="楷体_GB2312"/>
          <w:lang w:val="en-US" w:eastAsia="zh-CN"/>
        </w:rPr>
        <w:t>评价依据</w:t>
      </w:r>
      <w:bookmarkEnd w:id="84"/>
      <w:bookmarkEnd w:id="85"/>
    </w:p>
    <w:p w14:paraId="7AAB1E6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cs="Times New Roman"/>
          <w:kern w:val="2"/>
          <w:sz w:val="32"/>
          <w:szCs w:val="32"/>
          <w:highlight w:val="none"/>
          <w:lang w:val="en-US" w:eastAsia="zh-CN" w:bidi="ar-SA"/>
        </w:rPr>
      </w:pPr>
      <w:r>
        <w:rPr>
          <w:rFonts w:hint="default" w:cs="Times New Roman"/>
          <w:kern w:val="2"/>
          <w:sz w:val="32"/>
          <w:szCs w:val="32"/>
          <w:highlight w:val="none"/>
          <w:lang w:val="en-US" w:eastAsia="zh-CN" w:bidi="ar-SA"/>
        </w:rPr>
        <w:t>《中华人民共和国预算法》《中华人民共和国预算法实施条例》《中共湖南省委办公厅湖南省人民政府办公厅关于全面实施预算绩效管理的实施意见》（湘办发〔2019〕10号）、《中共湖南省委湖南省人民政府关于加快建设世界旅游目的地的意见》（湘发〔2022〕16号）、《中共湖南省委办公厅湖南省人民政府办公厅关于加强文物保护利用和文化遗产保护传承的实施意见》（湘办〔2023〕10号）、《湖南省财政厅关于印发〈湖南省预算支出绩效评价管理办法〉的通知》（湘财绩〔2020〕17号）、《湖南省文化旅游发展专项资金管理办法》（湘财文〔2024〕6号）等预算绩效管理、文旅</w:t>
      </w:r>
      <w:r>
        <w:rPr>
          <w:rFonts w:hint="eastAsia" w:cs="Times New Roman"/>
          <w:kern w:val="2"/>
          <w:sz w:val="32"/>
          <w:szCs w:val="32"/>
          <w:highlight w:val="none"/>
          <w:lang w:val="en-US" w:eastAsia="zh-CN" w:bidi="ar-SA"/>
        </w:rPr>
        <w:t>、旅游</w:t>
      </w:r>
      <w:r>
        <w:rPr>
          <w:rFonts w:hint="default" w:cs="Times New Roman"/>
          <w:kern w:val="2"/>
          <w:sz w:val="32"/>
          <w:szCs w:val="32"/>
          <w:highlight w:val="none"/>
          <w:lang w:val="en-US" w:eastAsia="zh-CN" w:bidi="ar-SA"/>
        </w:rPr>
        <w:t>相关政策法规。</w:t>
      </w:r>
    </w:p>
    <w:p w14:paraId="171B4ACE">
      <w:pPr>
        <w:pStyle w:val="4"/>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eastAsia" w:ascii="楷体_GB2312" w:hAnsi="楷体_GB2312" w:eastAsia="楷体_GB2312" w:cs="楷体_GB2312"/>
          <w:lang w:val="en-US" w:eastAsia="zh-CN"/>
        </w:rPr>
      </w:pPr>
      <w:bookmarkStart w:id="98" w:name="_Toc5084"/>
      <w:bookmarkStart w:id="99" w:name="_Toc5099"/>
      <w:r>
        <w:rPr>
          <w:rFonts w:hint="eastAsia" w:ascii="楷体_GB2312" w:hAnsi="楷体_GB2312" w:eastAsia="楷体_GB2312" w:cs="楷体_GB2312"/>
          <w:lang w:val="en-US" w:eastAsia="zh-CN"/>
        </w:rPr>
        <w:t>评价对象</w:t>
      </w:r>
      <w:bookmarkEnd w:id="98"/>
      <w:bookmarkEnd w:id="99"/>
    </w:p>
    <w:p w14:paraId="25CEDBB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cs="Times New Roman"/>
          <w:kern w:val="2"/>
          <w:sz w:val="32"/>
          <w:szCs w:val="32"/>
          <w:highlight w:val="none"/>
          <w:lang w:val="en-US" w:eastAsia="zh-CN" w:bidi="ar-SA"/>
        </w:rPr>
      </w:pPr>
      <w:r>
        <w:rPr>
          <w:rFonts w:hint="eastAsia" w:cs="Times New Roman"/>
          <w:kern w:val="2"/>
          <w:sz w:val="32"/>
          <w:szCs w:val="32"/>
          <w:highlight w:val="none"/>
          <w:lang w:val="en-US" w:eastAsia="zh-CN" w:bidi="ar-SA"/>
        </w:rPr>
        <w:t>本次评价对象为2025年度省级预算安排的省文化旅游发展专项资金，资金总额52637万元。</w:t>
      </w:r>
    </w:p>
    <w:p w14:paraId="1A9992B1">
      <w:pPr>
        <w:pStyle w:val="4"/>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eastAsia" w:ascii="楷体_GB2312" w:hAnsi="楷体_GB2312" w:eastAsia="楷体_GB2312" w:cs="楷体_GB2312"/>
          <w:lang w:val="en-US" w:eastAsia="zh-CN"/>
        </w:rPr>
      </w:pPr>
      <w:bookmarkStart w:id="100" w:name="_Toc29803"/>
      <w:bookmarkStart w:id="101" w:name="_Toc8173"/>
      <w:r>
        <w:rPr>
          <w:rFonts w:hint="eastAsia" w:ascii="楷体_GB2312" w:hAnsi="楷体_GB2312" w:eastAsia="楷体_GB2312" w:cs="楷体_GB2312"/>
          <w:lang w:val="en-US" w:eastAsia="zh-CN"/>
        </w:rPr>
        <w:t>评价方式</w:t>
      </w:r>
      <w:bookmarkEnd w:id="100"/>
      <w:bookmarkEnd w:id="101"/>
    </w:p>
    <w:p w14:paraId="403D63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cs="Times New Roman"/>
          <w:kern w:val="2"/>
          <w:sz w:val="32"/>
          <w:szCs w:val="32"/>
          <w:highlight w:val="none"/>
          <w:lang w:val="en-US" w:eastAsia="zh-CN" w:bidi="ar-SA"/>
        </w:rPr>
      </w:pPr>
      <w:r>
        <w:rPr>
          <w:rFonts w:hint="eastAsia" w:cs="Times New Roman"/>
          <w:kern w:val="2"/>
          <w:sz w:val="32"/>
          <w:szCs w:val="32"/>
          <w:highlight w:val="none"/>
          <w:lang w:val="en-US" w:eastAsia="zh-CN" w:bidi="ar-SA"/>
        </w:rPr>
        <w:t>专项资金年度绩效评价综合采用单位自评、资料审核、实地现场核查、问卷调查、座谈访谈相结合的方式，运用综合评分法开展量化打分。</w:t>
      </w:r>
    </w:p>
    <w:p w14:paraId="38497D2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cs="Times New Roman"/>
          <w:kern w:val="2"/>
          <w:sz w:val="32"/>
          <w:szCs w:val="32"/>
          <w:highlight w:val="none"/>
          <w:lang w:val="en-US" w:eastAsia="zh-CN" w:bidi="ar-SA"/>
        </w:rPr>
      </w:pPr>
      <w:r>
        <w:rPr>
          <w:rFonts w:hint="eastAsia" w:cs="Times New Roman"/>
          <w:kern w:val="2"/>
          <w:sz w:val="32"/>
          <w:szCs w:val="32"/>
          <w:highlight w:val="none"/>
          <w:lang w:val="en-US" w:eastAsia="zh-CN" w:bidi="ar-SA"/>
        </w:rPr>
        <w:t>一是组织14个市州文旅部门、项目实施单位先行开展项目绩效自评，汇总各地自评报告、财务台账、项目验收资料；二是评价工作组全面审阅预算指标文件、资金拨付凭证、项目立项批复等书面资料；三是抽取部分省直单位、长沙、岳阳、怀化、衡阳、邵阳共165个项目开展实地现场核查，现场核查项目落地、资金使用实况（附件1现场评价基础数据表）；四是面向项目实施单位、基层群众发放满意度调查问卷；五是与主管部门、项目负责人开展座谈访谈，了解绩效完成情况，最终对照绩效评价指标体系逐项核算得分、形成评价结论。</w:t>
      </w:r>
    </w:p>
    <w:p w14:paraId="0E105841">
      <w:pPr>
        <w:pStyle w:val="4"/>
        <w:keepNext w:val="0"/>
        <w:keepLines w:val="0"/>
        <w:pageBreakBefore w:val="0"/>
        <w:widowControl w:val="0"/>
        <w:numPr>
          <w:ilvl w:val="0"/>
          <w:numId w:val="6"/>
        </w:numPr>
        <w:kinsoku/>
        <w:wordWrap/>
        <w:overflowPunct/>
        <w:topLinePunct w:val="0"/>
        <w:autoSpaceDE/>
        <w:autoSpaceDN/>
        <w:bidi w:val="0"/>
        <w:adjustRightInd/>
        <w:snapToGrid/>
        <w:spacing w:beforeAutospacing="0" w:line="560" w:lineRule="exact"/>
        <w:ind w:left="0" w:leftChars="0" w:firstLine="643" w:firstLineChars="200"/>
        <w:textAlignment w:val="auto"/>
        <w:rPr>
          <w:rFonts w:hint="eastAsia" w:ascii="楷体_GB2312" w:hAnsi="楷体_GB2312" w:eastAsia="楷体_GB2312" w:cs="楷体_GB2312"/>
          <w:lang w:val="en-US" w:eastAsia="zh-CN"/>
        </w:rPr>
      </w:pPr>
      <w:bookmarkStart w:id="102" w:name="_Toc6701"/>
      <w:bookmarkStart w:id="103" w:name="_Toc6067"/>
      <w:r>
        <w:rPr>
          <w:rFonts w:hint="eastAsia" w:ascii="楷体_GB2312" w:hAnsi="楷体_GB2312" w:eastAsia="楷体_GB2312" w:cs="楷体_GB2312"/>
          <w:lang w:val="en-US" w:eastAsia="zh-CN"/>
        </w:rPr>
        <w:t>评价结论</w:t>
      </w:r>
      <w:bookmarkEnd w:id="102"/>
      <w:bookmarkEnd w:id="103"/>
    </w:p>
    <w:p w14:paraId="5B889FBE">
      <w:pPr>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2025年度专项资金整体使用合规，较好完成年度绩效目标，有效助推湖南世界知名旅游目的地建设、乡村文旅振兴、文物保护传承，部分项目</w:t>
      </w:r>
      <w:r>
        <w:rPr>
          <w:rFonts w:hint="eastAsia" w:cs="Times New Roman"/>
          <w:kern w:val="2"/>
          <w:sz w:val="32"/>
          <w:szCs w:val="32"/>
          <w:highlight w:val="none"/>
          <w:lang w:val="en-US" w:eastAsia="zh-CN" w:bidi="ar-SA"/>
        </w:rPr>
        <w:t>资金到位不及时、部分项目进度</w:t>
      </w:r>
      <w:r>
        <w:rPr>
          <w:rFonts w:hint="eastAsia" w:ascii="Times New Roman" w:hAnsi="Times New Roman" w:eastAsia="仿宋_GB2312" w:cs="Times New Roman"/>
          <w:kern w:val="2"/>
          <w:sz w:val="32"/>
          <w:szCs w:val="32"/>
          <w:highlight w:val="none"/>
          <w:lang w:val="en-US" w:eastAsia="zh-CN" w:bidi="ar-SA"/>
        </w:rPr>
        <w:t>执行滞后、</w:t>
      </w:r>
      <w:r>
        <w:rPr>
          <w:rFonts w:hint="eastAsia" w:cs="Times New Roman"/>
          <w:kern w:val="2"/>
          <w:sz w:val="32"/>
          <w:szCs w:val="32"/>
          <w:highlight w:val="none"/>
          <w:lang w:val="en-US" w:eastAsia="zh-CN" w:bidi="ar-SA"/>
        </w:rPr>
        <w:t>项目实施过程不规范、项目持续效益有待提升</w:t>
      </w:r>
      <w:r>
        <w:rPr>
          <w:rFonts w:hint="eastAsia" w:ascii="Times New Roman" w:hAnsi="Times New Roman" w:eastAsia="仿宋_GB2312" w:cs="Times New Roman"/>
          <w:kern w:val="2"/>
          <w:sz w:val="32"/>
          <w:szCs w:val="32"/>
          <w:highlight w:val="none"/>
          <w:lang w:val="en-US" w:eastAsia="zh-CN" w:bidi="ar-SA"/>
        </w:rPr>
        <w:t>等问题。</w:t>
      </w:r>
    </w:p>
    <w:bookmarkEnd w:id="86"/>
    <w:bookmarkEnd w:id="87"/>
    <w:bookmarkEnd w:id="88"/>
    <w:bookmarkEnd w:id="89"/>
    <w:bookmarkEnd w:id="90"/>
    <w:bookmarkEnd w:id="91"/>
    <w:bookmarkEnd w:id="92"/>
    <w:bookmarkEnd w:id="93"/>
    <w:bookmarkEnd w:id="94"/>
    <w:bookmarkEnd w:id="95"/>
    <w:bookmarkEnd w:id="96"/>
    <w:bookmarkEnd w:id="97"/>
    <w:p w14:paraId="772B4F6E">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kern w:val="2"/>
          <w:sz w:val="32"/>
          <w:szCs w:val="32"/>
          <w:highlight w:val="none"/>
          <w:lang w:val="en-US" w:eastAsia="zh-CN"/>
        </w:rPr>
      </w:pPr>
      <w:bookmarkStart w:id="104" w:name="_Toc14068"/>
      <w:bookmarkStart w:id="105" w:name="_Toc25429"/>
      <w:bookmarkStart w:id="106" w:name="_Toc72927777"/>
      <w:bookmarkStart w:id="107" w:name="_Toc41842515"/>
      <w:r>
        <w:rPr>
          <w:rFonts w:hint="default" w:ascii="Times New Roman" w:hAnsi="Times New Roman" w:cs="Times New Roman"/>
          <w:kern w:val="2"/>
          <w:sz w:val="32"/>
          <w:szCs w:val="32"/>
          <w:highlight w:val="none"/>
          <w:lang w:val="en-US" w:eastAsia="zh-CN"/>
        </w:rPr>
        <w:t>评价工作组对照绩效评价指标评分表，按照评分规则和标准，对专项资金进行分别评价打分，202</w:t>
      </w:r>
      <w:r>
        <w:rPr>
          <w:rFonts w:hint="default" w:cs="Times New Roman"/>
          <w:kern w:val="2"/>
          <w:sz w:val="32"/>
          <w:szCs w:val="32"/>
          <w:highlight w:val="none"/>
          <w:lang w:val="en-US" w:eastAsia="zh-CN"/>
        </w:rPr>
        <w:t>5</w:t>
      </w:r>
      <w:r>
        <w:rPr>
          <w:rFonts w:hint="default" w:ascii="Times New Roman" w:hAnsi="Times New Roman" w:cs="Times New Roman"/>
          <w:kern w:val="2"/>
          <w:sz w:val="32"/>
          <w:szCs w:val="32"/>
          <w:highlight w:val="none"/>
          <w:lang w:val="en-US" w:eastAsia="zh-CN"/>
        </w:rPr>
        <w:t>年度省文化旅游发展专项资金绩效评价得分为</w:t>
      </w:r>
      <w:r>
        <w:rPr>
          <w:rFonts w:hint="default" w:cs="Times New Roman"/>
          <w:kern w:val="2"/>
          <w:sz w:val="32"/>
          <w:szCs w:val="32"/>
          <w:highlight w:val="none"/>
          <w:lang w:val="en-US" w:eastAsia="zh-CN"/>
        </w:rPr>
        <w:t>88.14</w:t>
      </w:r>
      <w:r>
        <w:rPr>
          <w:rFonts w:hint="default" w:ascii="Times New Roman" w:hAnsi="Times New Roman" w:cs="Times New Roman"/>
          <w:kern w:val="2"/>
          <w:sz w:val="32"/>
          <w:szCs w:val="32"/>
          <w:highlight w:val="none"/>
          <w:lang w:val="en-US" w:eastAsia="zh-CN"/>
        </w:rPr>
        <w:t>分，评价等级为“良好”（详见附件</w:t>
      </w:r>
      <w:r>
        <w:rPr>
          <w:rFonts w:hint="eastAsia" w:cs="Times New Roman"/>
          <w:kern w:val="2"/>
          <w:sz w:val="32"/>
          <w:szCs w:val="32"/>
          <w:highlight w:val="none"/>
          <w:lang w:val="en-US" w:eastAsia="zh-CN"/>
        </w:rPr>
        <w:t>2绩效评价指标评分表</w:t>
      </w:r>
      <w:r>
        <w:rPr>
          <w:rFonts w:hint="default" w:ascii="Times New Roman" w:hAnsi="Times New Roman" w:cs="Times New Roman"/>
          <w:kern w:val="2"/>
          <w:sz w:val="32"/>
          <w:szCs w:val="32"/>
          <w:highlight w:val="none"/>
          <w:lang w:val="en-US" w:eastAsia="zh-CN"/>
        </w:rPr>
        <w:t>）。</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1701"/>
        <w:gridCol w:w="1701"/>
      </w:tblGrid>
      <w:tr w14:paraId="6207A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701" w:type="dxa"/>
            <w:vAlign w:val="center"/>
          </w:tcPr>
          <w:p w14:paraId="4A97CDC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一级指标</w:t>
            </w:r>
          </w:p>
        </w:tc>
        <w:tc>
          <w:tcPr>
            <w:tcW w:w="1701" w:type="dxa"/>
            <w:vAlign w:val="center"/>
          </w:tcPr>
          <w:p w14:paraId="6B157E8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lang w:val="en-US" w:eastAsia="zh-CN"/>
              </w:rPr>
            </w:pPr>
            <w:r>
              <w:rPr>
                <w:rFonts w:hint="default" w:ascii="Times New Roman" w:hAnsi="Times New Roman" w:cs="Times New Roman"/>
                <w:kern w:val="2"/>
                <w:sz w:val="20"/>
                <w:szCs w:val="20"/>
                <w:highlight w:val="none"/>
                <w:vertAlign w:val="baseline"/>
                <w:lang w:val="en-US" w:eastAsia="zh-CN"/>
              </w:rPr>
              <w:t>指标分值</w:t>
            </w:r>
          </w:p>
        </w:tc>
        <w:tc>
          <w:tcPr>
            <w:tcW w:w="1701" w:type="dxa"/>
            <w:vAlign w:val="center"/>
          </w:tcPr>
          <w:p w14:paraId="4236948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得分</w:t>
            </w:r>
          </w:p>
        </w:tc>
        <w:tc>
          <w:tcPr>
            <w:tcW w:w="1701" w:type="dxa"/>
            <w:vAlign w:val="center"/>
          </w:tcPr>
          <w:p w14:paraId="312C07C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得分率</w:t>
            </w:r>
          </w:p>
        </w:tc>
      </w:tr>
      <w:tr w14:paraId="1E26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5CB29C8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决策</w:t>
            </w:r>
          </w:p>
        </w:tc>
        <w:tc>
          <w:tcPr>
            <w:tcW w:w="1701" w:type="dxa"/>
            <w:vAlign w:val="center"/>
          </w:tcPr>
          <w:p w14:paraId="6125CB20">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16</w:t>
            </w:r>
          </w:p>
        </w:tc>
        <w:tc>
          <w:tcPr>
            <w:tcW w:w="1701" w:type="dxa"/>
            <w:vAlign w:val="center"/>
          </w:tcPr>
          <w:p w14:paraId="092B1F74">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14.5</w:t>
            </w:r>
          </w:p>
        </w:tc>
        <w:tc>
          <w:tcPr>
            <w:tcW w:w="1701" w:type="dxa"/>
            <w:vAlign w:val="center"/>
          </w:tcPr>
          <w:p w14:paraId="7DAEC846">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90.63%</w:t>
            </w:r>
          </w:p>
        </w:tc>
      </w:tr>
      <w:tr w14:paraId="0F77B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3900E1D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过程</w:t>
            </w:r>
          </w:p>
        </w:tc>
        <w:tc>
          <w:tcPr>
            <w:tcW w:w="1701" w:type="dxa"/>
            <w:vAlign w:val="center"/>
          </w:tcPr>
          <w:p w14:paraId="5E18C46D">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22</w:t>
            </w:r>
          </w:p>
        </w:tc>
        <w:tc>
          <w:tcPr>
            <w:tcW w:w="1701" w:type="dxa"/>
            <w:vAlign w:val="center"/>
          </w:tcPr>
          <w:p w14:paraId="5E85431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1</w:t>
            </w:r>
            <w:r>
              <w:rPr>
                <w:rFonts w:hint="default" w:cs="Times New Roman"/>
                <w:kern w:val="2"/>
                <w:sz w:val="20"/>
                <w:szCs w:val="20"/>
                <w:highlight w:val="none"/>
                <w:vertAlign w:val="baseline"/>
                <w:lang w:val="en-US" w:eastAsia="zh-CN"/>
              </w:rPr>
              <w:t>7</w:t>
            </w:r>
            <w:r>
              <w:rPr>
                <w:rFonts w:hint="default" w:ascii="Times New Roman" w:hAnsi="Times New Roman" w:cs="Times New Roman"/>
                <w:kern w:val="2"/>
                <w:sz w:val="20"/>
                <w:szCs w:val="20"/>
                <w:highlight w:val="none"/>
                <w:vertAlign w:val="baseline"/>
                <w:lang w:val="en-US" w:eastAsia="zh-CN"/>
              </w:rPr>
              <w:t>.61</w:t>
            </w:r>
          </w:p>
        </w:tc>
        <w:tc>
          <w:tcPr>
            <w:tcW w:w="1701" w:type="dxa"/>
            <w:vAlign w:val="center"/>
          </w:tcPr>
          <w:p w14:paraId="4AC46302">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80.03%</w:t>
            </w:r>
          </w:p>
        </w:tc>
      </w:tr>
      <w:tr w14:paraId="36A1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3A5C86FB">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成本</w:t>
            </w:r>
          </w:p>
        </w:tc>
        <w:tc>
          <w:tcPr>
            <w:tcW w:w="1701" w:type="dxa"/>
            <w:vAlign w:val="center"/>
          </w:tcPr>
          <w:p w14:paraId="2D2C269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8</w:t>
            </w:r>
          </w:p>
        </w:tc>
        <w:tc>
          <w:tcPr>
            <w:tcW w:w="1701" w:type="dxa"/>
            <w:vAlign w:val="center"/>
          </w:tcPr>
          <w:p w14:paraId="26D0FED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7.8</w:t>
            </w:r>
          </w:p>
        </w:tc>
        <w:tc>
          <w:tcPr>
            <w:tcW w:w="1701" w:type="dxa"/>
            <w:vAlign w:val="center"/>
          </w:tcPr>
          <w:p w14:paraId="0549C171">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97.50%</w:t>
            </w:r>
          </w:p>
        </w:tc>
      </w:tr>
      <w:tr w14:paraId="673A7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337920F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产出</w:t>
            </w:r>
          </w:p>
        </w:tc>
        <w:tc>
          <w:tcPr>
            <w:tcW w:w="1701" w:type="dxa"/>
            <w:vAlign w:val="center"/>
          </w:tcPr>
          <w:p w14:paraId="2CD73813">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20</w:t>
            </w:r>
          </w:p>
        </w:tc>
        <w:tc>
          <w:tcPr>
            <w:tcW w:w="1701" w:type="dxa"/>
            <w:vAlign w:val="center"/>
          </w:tcPr>
          <w:p w14:paraId="1C15B11E">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1</w:t>
            </w:r>
            <w:r>
              <w:rPr>
                <w:rFonts w:hint="default" w:cs="Times New Roman"/>
                <w:kern w:val="2"/>
                <w:sz w:val="20"/>
                <w:szCs w:val="20"/>
                <w:highlight w:val="none"/>
                <w:vertAlign w:val="baseline"/>
                <w:lang w:val="en-US" w:eastAsia="zh-CN"/>
              </w:rPr>
              <w:t>5</w:t>
            </w:r>
            <w:r>
              <w:rPr>
                <w:rFonts w:hint="default" w:ascii="Times New Roman" w:hAnsi="Times New Roman" w:cs="Times New Roman"/>
                <w:kern w:val="2"/>
                <w:sz w:val="20"/>
                <w:szCs w:val="20"/>
                <w:highlight w:val="none"/>
                <w:vertAlign w:val="baseline"/>
                <w:lang w:val="en-US" w:eastAsia="zh-CN"/>
              </w:rPr>
              <w:t>.</w:t>
            </w:r>
            <w:r>
              <w:rPr>
                <w:rFonts w:hint="default" w:cs="Times New Roman"/>
                <w:kern w:val="2"/>
                <w:sz w:val="20"/>
                <w:szCs w:val="20"/>
                <w:highlight w:val="none"/>
                <w:vertAlign w:val="baseline"/>
                <w:lang w:val="en-US" w:eastAsia="zh-CN"/>
              </w:rPr>
              <w:t>23</w:t>
            </w:r>
          </w:p>
        </w:tc>
        <w:tc>
          <w:tcPr>
            <w:tcW w:w="1701" w:type="dxa"/>
            <w:vAlign w:val="center"/>
          </w:tcPr>
          <w:p w14:paraId="6A549205">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76.15%</w:t>
            </w:r>
          </w:p>
        </w:tc>
      </w:tr>
      <w:tr w14:paraId="0B21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5A3A6AEC">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效益</w:t>
            </w:r>
          </w:p>
        </w:tc>
        <w:tc>
          <w:tcPr>
            <w:tcW w:w="1701" w:type="dxa"/>
            <w:vAlign w:val="center"/>
          </w:tcPr>
          <w:p w14:paraId="559931F8">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34</w:t>
            </w:r>
          </w:p>
        </w:tc>
        <w:tc>
          <w:tcPr>
            <w:tcW w:w="1701" w:type="dxa"/>
            <w:vAlign w:val="center"/>
          </w:tcPr>
          <w:p w14:paraId="717A559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33</w:t>
            </w:r>
          </w:p>
        </w:tc>
        <w:tc>
          <w:tcPr>
            <w:tcW w:w="1701" w:type="dxa"/>
            <w:vAlign w:val="center"/>
          </w:tcPr>
          <w:p w14:paraId="4BD08FFA">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97.06%</w:t>
            </w:r>
          </w:p>
        </w:tc>
      </w:tr>
      <w:tr w14:paraId="0DBD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701" w:type="dxa"/>
            <w:vAlign w:val="center"/>
          </w:tcPr>
          <w:p w14:paraId="76E47CB5">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合计</w:t>
            </w:r>
          </w:p>
        </w:tc>
        <w:tc>
          <w:tcPr>
            <w:tcW w:w="1701" w:type="dxa"/>
            <w:vAlign w:val="center"/>
          </w:tcPr>
          <w:p w14:paraId="49AA6527">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100</w:t>
            </w:r>
          </w:p>
        </w:tc>
        <w:tc>
          <w:tcPr>
            <w:tcW w:w="1701" w:type="dxa"/>
            <w:vAlign w:val="center"/>
          </w:tcPr>
          <w:p w14:paraId="6DB2EDE2">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cs="Times New Roman"/>
                <w:kern w:val="2"/>
                <w:sz w:val="20"/>
                <w:szCs w:val="20"/>
                <w:highlight w:val="none"/>
                <w:vertAlign w:val="baseline"/>
                <w:lang w:val="en-US" w:eastAsia="zh-CN"/>
              </w:rPr>
              <w:t>8</w:t>
            </w:r>
            <w:r>
              <w:rPr>
                <w:rFonts w:hint="default" w:cs="Times New Roman"/>
                <w:kern w:val="2"/>
                <w:sz w:val="20"/>
                <w:szCs w:val="20"/>
                <w:highlight w:val="none"/>
                <w:vertAlign w:val="baseline"/>
                <w:lang w:val="en-US" w:eastAsia="zh-CN"/>
              </w:rPr>
              <w:t>8.14</w:t>
            </w:r>
          </w:p>
        </w:tc>
        <w:tc>
          <w:tcPr>
            <w:tcW w:w="1701" w:type="dxa"/>
            <w:vAlign w:val="center"/>
          </w:tcPr>
          <w:p w14:paraId="7E089847">
            <w:pPr>
              <w:keepNext w:val="0"/>
              <w:keepLines w:val="0"/>
              <w:widowControl w:val="0"/>
              <w:suppressLineNumbers w:val="0"/>
              <w:adjustRightInd w:val="0"/>
              <w:spacing w:before="0" w:beforeAutospacing="0" w:after="0" w:afterAutospacing="0" w:line="240" w:lineRule="exact"/>
              <w:ind w:left="0" w:right="0" w:firstLine="0" w:firstLineChars="0"/>
              <w:jc w:val="center"/>
              <w:textAlignment w:val="auto"/>
              <w:rPr>
                <w:rFonts w:hint="default" w:ascii="Times New Roman" w:hAnsi="Times New Roman" w:cs="Times New Roman"/>
                <w:kern w:val="2"/>
                <w:sz w:val="20"/>
                <w:szCs w:val="20"/>
                <w:highlight w:val="none"/>
                <w:vertAlign w:val="baseline"/>
                <w:lang w:val="en-US" w:eastAsia="zh-CN"/>
              </w:rPr>
            </w:pPr>
            <w:r>
              <w:rPr>
                <w:rFonts w:hint="default" w:ascii="Times New Roman" w:hAnsi="Times New Roman" w:eastAsia="仿宋_GB2312" w:cs="Times New Roman"/>
                <w:i w:val="0"/>
                <w:iCs w:val="0"/>
                <w:kern w:val="2"/>
                <w:sz w:val="20"/>
                <w:szCs w:val="20"/>
                <w:highlight w:val="none"/>
                <w:u w:val="none"/>
                <w:lang w:val="en-US" w:eastAsia="zh-CN" w:bidi="ar"/>
              </w:rPr>
              <w:t>88.14%</w:t>
            </w:r>
          </w:p>
        </w:tc>
      </w:tr>
    </w:tbl>
    <w:p w14:paraId="12AC2B4A">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b w:val="0"/>
          <w:bCs w:val="0"/>
          <w:kern w:val="2"/>
          <w:sz w:val="32"/>
          <w:szCs w:val="32"/>
          <w:highlight w:val="none"/>
          <w:lang w:eastAsia="zh-CN"/>
        </w:rPr>
      </w:pP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1</w:t>
      </w:r>
      <w:r>
        <w:rPr>
          <w:rFonts w:hint="default" w:ascii="Times New Roman" w:hAnsi="Times New Roman" w:cs="Times New Roman"/>
          <w:b w:val="0"/>
          <w:bCs w:val="0"/>
          <w:kern w:val="2"/>
          <w:sz w:val="32"/>
          <w:szCs w:val="32"/>
          <w:highlight w:val="none"/>
          <w:lang w:eastAsia="zh-CN"/>
        </w:rPr>
        <w:t>）决策方面。</w:t>
      </w:r>
      <w:r>
        <w:rPr>
          <w:rFonts w:hint="eastAsia" w:cs="Times New Roman"/>
          <w:b w:val="0"/>
          <w:bCs w:val="0"/>
          <w:kern w:val="2"/>
          <w:sz w:val="32"/>
          <w:szCs w:val="32"/>
          <w:highlight w:val="none"/>
          <w:lang w:val="en-US" w:eastAsia="zh-CN"/>
        </w:rPr>
        <w:t>因部分项目绩效指标设置不合理、部分专项资金预算编制不科学、部分项目资金测算依据不充分导致项目资金结余较多</w:t>
      </w:r>
      <w:r>
        <w:rPr>
          <w:rFonts w:hint="default" w:ascii="Times New Roman" w:hAnsi="Times New Roman" w:cs="Times New Roman"/>
          <w:b w:val="0"/>
          <w:bCs w:val="0"/>
          <w:kern w:val="2"/>
          <w:sz w:val="32"/>
          <w:szCs w:val="32"/>
          <w:highlight w:val="none"/>
          <w:lang w:eastAsia="zh-CN"/>
        </w:rPr>
        <w:t>等，扣</w:t>
      </w:r>
      <w:r>
        <w:rPr>
          <w:rFonts w:hint="eastAsia" w:cs="Times New Roman"/>
          <w:b w:val="0"/>
          <w:bCs w:val="0"/>
          <w:kern w:val="2"/>
          <w:sz w:val="32"/>
          <w:szCs w:val="32"/>
          <w:highlight w:val="none"/>
          <w:lang w:val="en-US" w:eastAsia="zh-CN"/>
        </w:rPr>
        <w:t>1.5</w:t>
      </w:r>
      <w:r>
        <w:rPr>
          <w:rFonts w:hint="default" w:ascii="Times New Roman" w:hAnsi="Times New Roman" w:cs="Times New Roman"/>
          <w:b w:val="0"/>
          <w:bCs w:val="0"/>
          <w:kern w:val="2"/>
          <w:sz w:val="32"/>
          <w:szCs w:val="32"/>
          <w:highlight w:val="none"/>
          <w:lang w:eastAsia="zh-CN"/>
        </w:rPr>
        <w:t>分。</w:t>
      </w:r>
    </w:p>
    <w:p w14:paraId="36F5B3C6">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b w:val="0"/>
          <w:bCs w:val="0"/>
          <w:kern w:val="2"/>
          <w:sz w:val="32"/>
          <w:szCs w:val="32"/>
          <w:highlight w:val="none"/>
        </w:rPr>
      </w:pP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2</w:t>
      </w: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rPr>
        <w:t>过程方面。因现场评价资金的到位率为67.33%</w:t>
      </w:r>
      <w:r>
        <w:rPr>
          <w:rFonts w:hint="eastAsia" w:cs="Times New Roman"/>
          <w:b w:val="0"/>
          <w:bCs w:val="0"/>
          <w:kern w:val="2"/>
          <w:sz w:val="32"/>
          <w:szCs w:val="32"/>
          <w:highlight w:val="none"/>
          <w:lang w:eastAsia="zh-CN"/>
        </w:rPr>
        <w:t>、已拨付到位的项目资金的执行率为79.53%、</w:t>
      </w:r>
      <w:r>
        <w:rPr>
          <w:rFonts w:hint="eastAsia" w:cs="Times New Roman"/>
          <w:b w:val="0"/>
          <w:bCs w:val="0"/>
          <w:kern w:val="2"/>
          <w:sz w:val="32"/>
          <w:szCs w:val="32"/>
          <w:highlight w:val="none"/>
          <w:lang w:val="en-US" w:eastAsia="zh-CN"/>
        </w:rPr>
        <w:t>部分专项资金使用不规范、部分项目采购程序执行不规范</w:t>
      </w:r>
      <w:r>
        <w:rPr>
          <w:rFonts w:hint="default" w:ascii="Times New Roman" w:hAnsi="Times New Roman" w:cs="Times New Roman"/>
          <w:b w:val="0"/>
          <w:bCs w:val="0"/>
          <w:kern w:val="2"/>
          <w:sz w:val="32"/>
          <w:szCs w:val="32"/>
          <w:highlight w:val="none"/>
        </w:rPr>
        <w:t>等，扣</w:t>
      </w:r>
      <w:r>
        <w:rPr>
          <w:rFonts w:hint="eastAsia" w:cs="Times New Roman"/>
          <w:b w:val="0"/>
          <w:bCs w:val="0"/>
          <w:kern w:val="2"/>
          <w:sz w:val="32"/>
          <w:szCs w:val="32"/>
          <w:highlight w:val="none"/>
          <w:lang w:val="en-US" w:eastAsia="zh-CN"/>
        </w:rPr>
        <w:t>4.39</w:t>
      </w:r>
      <w:r>
        <w:rPr>
          <w:rFonts w:hint="default" w:ascii="Times New Roman" w:hAnsi="Times New Roman" w:cs="Times New Roman"/>
          <w:b w:val="0"/>
          <w:bCs w:val="0"/>
          <w:kern w:val="2"/>
          <w:sz w:val="32"/>
          <w:szCs w:val="32"/>
          <w:highlight w:val="none"/>
        </w:rPr>
        <w:t>分。</w:t>
      </w:r>
    </w:p>
    <w:p w14:paraId="5DFCFC10">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b w:val="0"/>
          <w:bCs w:val="0"/>
          <w:kern w:val="2"/>
          <w:sz w:val="32"/>
          <w:szCs w:val="32"/>
          <w:highlight w:val="none"/>
          <w:lang w:val="en-US" w:eastAsia="zh-CN"/>
        </w:rPr>
      </w:pP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3</w:t>
      </w: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成本方面。</w:t>
      </w:r>
      <w:r>
        <w:rPr>
          <w:rFonts w:hint="eastAsia" w:cs="Times New Roman"/>
          <w:b w:val="0"/>
          <w:bCs w:val="0"/>
          <w:kern w:val="2"/>
          <w:sz w:val="32"/>
          <w:szCs w:val="32"/>
          <w:highlight w:val="none"/>
          <w:lang w:val="en-US" w:eastAsia="zh-CN"/>
        </w:rPr>
        <w:t>个别项目子项目部分支出超预算</w:t>
      </w:r>
      <w:r>
        <w:rPr>
          <w:rFonts w:hint="default" w:ascii="Times New Roman" w:hAnsi="Times New Roman" w:cs="Times New Roman"/>
          <w:b w:val="0"/>
          <w:bCs w:val="0"/>
          <w:kern w:val="2"/>
          <w:sz w:val="32"/>
          <w:szCs w:val="32"/>
          <w:highlight w:val="none"/>
          <w:lang w:val="en-US" w:eastAsia="zh-CN"/>
        </w:rPr>
        <w:t>，扣</w:t>
      </w:r>
      <w:r>
        <w:rPr>
          <w:rFonts w:hint="eastAsia" w:cs="Times New Roman"/>
          <w:b w:val="0"/>
          <w:bCs w:val="0"/>
          <w:kern w:val="2"/>
          <w:sz w:val="32"/>
          <w:szCs w:val="32"/>
          <w:highlight w:val="none"/>
          <w:lang w:val="en-US" w:eastAsia="zh-CN"/>
        </w:rPr>
        <w:t>0.2</w:t>
      </w:r>
      <w:r>
        <w:rPr>
          <w:rFonts w:hint="default" w:ascii="Times New Roman" w:hAnsi="Times New Roman" w:cs="Times New Roman"/>
          <w:b w:val="0"/>
          <w:bCs w:val="0"/>
          <w:kern w:val="2"/>
          <w:sz w:val="32"/>
          <w:szCs w:val="32"/>
          <w:highlight w:val="none"/>
          <w:lang w:val="en-US" w:eastAsia="zh-CN"/>
        </w:rPr>
        <w:t>分。</w:t>
      </w:r>
    </w:p>
    <w:p w14:paraId="0D4379FF">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b w:val="0"/>
          <w:bCs w:val="0"/>
          <w:kern w:val="2"/>
          <w:sz w:val="32"/>
          <w:szCs w:val="32"/>
          <w:highlight w:val="none"/>
        </w:rPr>
      </w:pP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lang w:val="en-US" w:eastAsia="zh-CN"/>
        </w:rPr>
        <w:t>4</w:t>
      </w:r>
      <w:r>
        <w:rPr>
          <w:rFonts w:hint="default" w:ascii="Times New Roman" w:hAnsi="Times New Roman" w:cs="Times New Roman"/>
          <w:b w:val="0"/>
          <w:bCs w:val="0"/>
          <w:kern w:val="2"/>
          <w:sz w:val="32"/>
          <w:szCs w:val="32"/>
          <w:highlight w:val="none"/>
          <w:lang w:eastAsia="zh-CN"/>
        </w:rPr>
        <w:t>）</w:t>
      </w:r>
      <w:r>
        <w:rPr>
          <w:rFonts w:hint="default" w:ascii="Times New Roman" w:hAnsi="Times New Roman" w:cs="Times New Roman"/>
          <w:b w:val="0"/>
          <w:bCs w:val="0"/>
          <w:kern w:val="2"/>
          <w:sz w:val="32"/>
          <w:szCs w:val="32"/>
          <w:highlight w:val="none"/>
        </w:rPr>
        <w:t>产出方面。</w:t>
      </w:r>
      <w:r>
        <w:rPr>
          <w:rFonts w:hint="default" w:ascii="Times New Roman" w:hAnsi="Times New Roman" w:cs="Times New Roman"/>
          <w:b w:val="0"/>
          <w:bCs w:val="0"/>
          <w:kern w:val="2"/>
          <w:sz w:val="32"/>
          <w:szCs w:val="32"/>
          <w:highlight w:val="none"/>
          <w:lang w:val="en-US" w:eastAsia="zh-CN"/>
        </w:rPr>
        <w:t>因</w:t>
      </w:r>
      <w:r>
        <w:rPr>
          <w:rFonts w:hint="eastAsia" w:cs="Times New Roman"/>
          <w:b w:val="0"/>
          <w:bCs w:val="0"/>
          <w:kern w:val="2"/>
          <w:sz w:val="32"/>
          <w:szCs w:val="32"/>
          <w:highlight w:val="none"/>
          <w:lang w:val="en-US" w:eastAsia="zh-CN"/>
        </w:rPr>
        <w:t>部分项目完成进度滞后、个别项目展览陈列与智能化设施需进行进一步优化调整等</w:t>
      </w:r>
      <w:r>
        <w:rPr>
          <w:rFonts w:hint="default" w:ascii="Times New Roman" w:hAnsi="Times New Roman" w:cs="Times New Roman"/>
          <w:b w:val="0"/>
          <w:bCs w:val="0"/>
          <w:kern w:val="2"/>
          <w:sz w:val="32"/>
          <w:szCs w:val="32"/>
          <w:highlight w:val="none"/>
          <w:lang w:val="en-US" w:eastAsia="zh-CN"/>
        </w:rPr>
        <w:t>，</w:t>
      </w:r>
      <w:r>
        <w:rPr>
          <w:rFonts w:hint="default" w:ascii="Times New Roman" w:hAnsi="Times New Roman" w:cs="Times New Roman"/>
          <w:b w:val="0"/>
          <w:bCs w:val="0"/>
          <w:kern w:val="2"/>
          <w:sz w:val="32"/>
          <w:szCs w:val="32"/>
          <w:highlight w:val="none"/>
        </w:rPr>
        <w:t>扣</w:t>
      </w:r>
      <w:r>
        <w:rPr>
          <w:rFonts w:hint="eastAsia" w:cs="Times New Roman"/>
          <w:b w:val="0"/>
          <w:bCs w:val="0"/>
          <w:kern w:val="2"/>
          <w:sz w:val="32"/>
          <w:szCs w:val="32"/>
          <w:highlight w:val="none"/>
          <w:lang w:val="en-US" w:eastAsia="zh-CN"/>
        </w:rPr>
        <w:t>3.87</w:t>
      </w:r>
      <w:r>
        <w:rPr>
          <w:rFonts w:hint="default" w:ascii="Times New Roman" w:hAnsi="Times New Roman" w:cs="Times New Roman"/>
          <w:b w:val="0"/>
          <w:bCs w:val="0"/>
          <w:kern w:val="2"/>
          <w:sz w:val="32"/>
          <w:szCs w:val="32"/>
          <w:highlight w:val="none"/>
        </w:rPr>
        <w:t>分。</w:t>
      </w:r>
    </w:p>
    <w:p w14:paraId="47838902">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eastAsia="仿宋_GB2312" w:cs="Times New Roman"/>
          <w:b w:val="0"/>
          <w:bCs w:val="0"/>
          <w:kern w:val="2"/>
          <w:sz w:val="32"/>
          <w:szCs w:val="32"/>
          <w:highlight w:val="none"/>
          <w:lang w:val="en-US" w:eastAsia="zh-CN"/>
        </w:rPr>
      </w:pPr>
      <w:r>
        <w:rPr>
          <w:rFonts w:hint="default" w:ascii="Times New Roman" w:hAnsi="Times New Roman" w:cs="Times New Roman"/>
          <w:b w:val="0"/>
          <w:bCs w:val="0"/>
          <w:color w:val="auto"/>
          <w:kern w:val="2"/>
          <w:sz w:val="32"/>
          <w:szCs w:val="32"/>
          <w:highlight w:val="none"/>
          <w:lang w:eastAsia="zh-CN"/>
        </w:rPr>
        <w:t>（</w:t>
      </w:r>
      <w:r>
        <w:rPr>
          <w:rFonts w:hint="default" w:ascii="Times New Roman" w:hAnsi="Times New Roman" w:cs="Times New Roman"/>
          <w:b w:val="0"/>
          <w:bCs w:val="0"/>
          <w:color w:val="auto"/>
          <w:kern w:val="2"/>
          <w:sz w:val="32"/>
          <w:szCs w:val="32"/>
          <w:highlight w:val="none"/>
          <w:lang w:val="en-US" w:eastAsia="zh-CN"/>
        </w:rPr>
        <w:t>5</w:t>
      </w:r>
      <w:r>
        <w:rPr>
          <w:rFonts w:hint="default" w:ascii="Times New Roman" w:hAnsi="Times New Roman" w:cs="Times New Roman"/>
          <w:b w:val="0"/>
          <w:bCs w:val="0"/>
          <w:color w:val="auto"/>
          <w:kern w:val="2"/>
          <w:sz w:val="32"/>
          <w:szCs w:val="32"/>
          <w:highlight w:val="none"/>
          <w:lang w:eastAsia="zh-CN"/>
        </w:rPr>
        <w:t>）</w:t>
      </w:r>
      <w:r>
        <w:rPr>
          <w:rFonts w:hint="default" w:ascii="Times New Roman" w:hAnsi="Times New Roman" w:cs="Times New Roman"/>
          <w:b w:val="0"/>
          <w:bCs w:val="0"/>
          <w:color w:val="auto"/>
          <w:kern w:val="2"/>
          <w:sz w:val="32"/>
          <w:szCs w:val="32"/>
          <w:highlight w:val="none"/>
        </w:rPr>
        <w:t>效果方面。</w:t>
      </w:r>
      <w:r>
        <w:rPr>
          <w:rFonts w:hint="eastAsia" w:cs="Times New Roman"/>
          <w:b w:val="0"/>
          <w:bCs w:val="0"/>
          <w:color w:val="auto"/>
          <w:kern w:val="2"/>
          <w:sz w:val="32"/>
          <w:szCs w:val="32"/>
          <w:highlight w:val="none"/>
          <w:lang w:val="en-US" w:eastAsia="zh-CN"/>
        </w:rPr>
        <w:t>因个别项目可持续运营效益需提升</w:t>
      </w:r>
      <w:r>
        <w:rPr>
          <w:rFonts w:hint="default" w:ascii="Times New Roman" w:hAnsi="Times New Roman" w:cs="Times New Roman"/>
          <w:b w:val="0"/>
          <w:bCs w:val="0"/>
          <w:kern w:val="2"/>
          <w:sz w:val="32"/>
          <w:szCs w:val="32"/>
          <w:highlight w:val="none"/>
          <w:lang w:val="en-US" w:eastAsia="zh-CN"/>
        </w:rPr>
        <w:t>，扣</w:t>
      </w:r>
      <w:r>
        <w:rPr>
          <w:rFonts w:hint="eastAsia" w:cs="Times New Roman"/>
          <w:b w:val="0"/>
          <w:bCs w:val="0"/>
          <w:kern w:val="2"/>
          <w:sz w:val="32"/>
          <w:szCs w:val="32"/>
          <w:highlight w:val="none"/>
          <w:lang w:val="en-US" w:eastAsia="zh-CN"/>
        </w:rPr>
        <w:t>1</w:t>
      </w:r>
      <w:r>
        <w:rPr>
          <w:rFonts w:hint="default" w:ascii="Times New Roman" w:hAnsi="Times New Roman" w:cs="Times New Roman"/>
          <w:b w:val="0"/>
          <w:bCs w:val="0"/>
          <w:kern w:val="2"/>
          <w:sz w:val="32"/>
          <w:szCs w:val="32"/>
          <w:highlight w:val="none"/>
          <w:lang w:val="en-US" w:eastAsia="zh-CN"/>
        </w:rPr>
        <w:t>分</w:t>
      </w:r>
      <w:r>
        <w:rPr>
          <w:rFonts w:hint="default" w:ascii="Times New Roman" w:hAnsi="Times New Roman" w:cs="Times New Roman"/>
          <w:b w:val="0"/>
          <w:bCs w:val="0"/>
          <w:color w:val="auto"/>
          <w:kern w:val="2"/>
          <w:sz w:val="32"/>
          <w:szCs w:val="32"/>
          <w:highlight w:val="none"/>
        </w:rPr>
        <w:t>。</w:t>
      </w:r>
      <w:bookmarkStart w:id="108" w:name="_Toc12003"/>
    </w:p>
    <w:p w14:paraId="58C974CD">
      <w:pPr>
        <w:pStyle w:val="3"/>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cs="Times New Roman"/>
          <w:lang w:val="en-US" w:eastAsia="zh-CN"/>
        </w:rPr>
      </w:pPr>
      <w:bookmarkStart w:id="109" w:name="_Toc17542"/>
      <w:bookmarkStart w:id="110" w:name="_Toc27180"/>
      <w:bookmarkStart w:id="111" w:name="_Toc28310"/>
      <w:bookmarkStart w:id="112" w:name="_Toc29951"/>
      <w:bookmarkStart w:id="113" w:name="_Toc12296"/>
      <w:bookmarkStart w:id="114" w:name="_Toc24015"/>
      <w:bookmarkStart w:id="115" w:name="_Toc28656"/>
      <w:bookmarkStart w:id="116" w:name="_Toc5125"/>
      <w:bookmarkStart w:id="117" w:name="_Toc10519"/>
      <w:bookmarkStart w:id="118" w:name="_Toc25413"/>
      <w:bookmarkStart w:id="119" w:name="_Toc11184"/>
      <w:bookmarkStart w:id="120" w:name="_Toc5618"/>
      <w:r>
        <w:rPr>
          <w:rFonts w:hint="default" w:ascii="Times New Roman" w:hAnsi="Times New Roman" w:cs="Times New Roman"/>
          <w:lang w:val="en-US" w:eastAsia="zh-CN"/>
        </w:rPr>
        <w:t>绩效目标完成情况</w:t>
      </w:r>
      <w:bookmarkEnd w:id="104"/>
      <w:bookmarkEnd w:id="105"/>
      <w:bookmarkEnd w:id="106"/>
      <w:bookmarkEnd w:id="108"/>
      <w:bookmarkEnd w:id="109"/>
      <w:bookmarkEnd w:id="110"/>
      <w:bookmarkEnd w:id="111"/>
      <w:bookmarkEnd w:id="112"/>
      <w:bookmarkEnd w:id="113"/>
      <w:bookmarkEnd w:id="114"/>
      <w:bookmarkEnd w:id="115"/>
      <w:bookmarkEnd w:id="116"/>
      <w:bookmarkEnd w:id="117"/>
      <w:bookmarkEnd w:id="118"/>
      <w:bookmarkEnd w:id="119"/>
      <w:bookmarkEnd w:id="120"/>
    </w:p>
    <w:p w14:paraId="49F6421F">
      <w:pPr>
        <w:pStyle w:val="4"/>
        <w:keepLines w:val="0"/>
        <w:pageBreakBefore w:val="0"/>
        <w:widowControl w:val="0"/>
        <w:numPr>
          <w:ilvl w:val="0"/>
          <w:numId w:val="7"/>
        </w:numPr>
        <w:kinsoku/>
        <w:wordWrap/>
        <w:topLinePunct w:val="0"/>
        <w:autoSpaceDE/>
        <w:autoSpaceDN/>
        <w:bidi w:val="0"/>
        <w:adjustRightInd w:val="0"/>
        <w:spacing w:line="560" w:lineRule="exact"/>
        <w:ind w:firstLine="640"/>
        <w:rPr>
          <w:rFonts w:hint="default" w:ascii="Times New Roman" w:hAnsi="Times New Roman" w:eastAsia="楷体_GB2312" w:cs="Times New Roman"/>
          <w:sz w:val="32"/>
          <w:szCs w:val="32"/>
          <w:highlight w:val="none"/>
          <w:lang w:val="en-US" w:eastAsia="zh-CN"/>
        </w:rPr>
      </w:pPr>
      <w:bookmarkStart w:id="121" w:name="_Toc12206"/>
      <w:bookmarkStart w:id="122" w:name="_Toc23774"/>
      <w:bookmarkStart w:id="123" w:name="_Toc15279"/>
      <w:bookmarkStart w:id="124" w:name="_Toc15775"/>
      <w:bookmarkStart w:id="125" w:name="_Toc72927781"/>
      <w:bookmarkStart w:id="126" w:name="_Toc4691"/>
      <w:bookmarkStart w:id="127" w:name="_Toc17370"/>
      <w:bookmarkStart w:id="128" w:name="_Toc17448"/>
      <w:bookmarkStart w:id="129" w:name="_Toc4048"/>
      <w:bookmarkStart w:id="130" w:name="_Toc32131"/>
      <w:bookmarkStart w:id="131" w:name="_Toc29692"/>
      <w:bookmarkStart w:id="132" w:name="_Toc14942"/>
      <w:bookmarkStart w:id="133" w:name="_Toc10974"/>
      <w:bookmarkStart w:id="134" w:name="_Toc21895"/>
      <w:bookmarkStart w:id="135" w:name="_Toc12110"/>
      <w:bookmarkStart w:id="136" w:name="_Toc9914"/>
      <w:r>
        <w:rPr>
          <w:rFonts w:hint="default" w:ascii="Times New Roman" w:hAnsi="Times New Roman" w:eastAsia="楷体_GB2312" w:cs="Times New Roman"/>
          <w:sz w:val="32"/>
          <w:szCs w:val="32"/>
          <w:highlight w:val="none"/>
          <w:lang w:val="en-US" w:eastAsia="zh-CN"/>
        </w:rPr>
        <w:t>绩效目标完成情况</w:t>
      </w:r>
      <w:bookmarkEnd w:id="121"/>
      <w:bookmarkEnd w:id="122"/>
    </w:p>
    <w:p w14:paraId="4C28C979">
      <w:pPr>
        <w:pageBreakBefore w:val="0"/>
        <w:widowControl w:val="0"/>
        <w:kinsoku/>
        <w:wordWrap/>
        <w:topLinePunct w:val="0"/>
        <w:autoSpaceDE/>
        <w:autoSpaceDN/>
        <w:bidi w:val="0"/>
        <w:adjustRightInd w:val="0"/>
        <w:spacing w:line="560" w:lineRule="exact"/>
        <w:ind w:firstLine="640"/>
        <w:jc w:val="both"/>
        <w:rPr>
          <w:rFonts w:hint="default" w:ascii="Times New Roman" w:hAnsi="Times New Roman" w:cs="Times New Roman"/>
          <w:b w:val="0"/>
          <w:bCs w:val="0"/>
          <w:kern w:val="2"/>
          <w:sz w:val="32"/>
          <w:szCs w:val="32"/>
          <w:highlight w:val="none"/>
          <w:lang w:val="en-US" w:eastAsia="zh-CN"/>
        </w:rPr>
      </w:pPr>
      <w:r>
        <w:rPr>
          <w:rFonts w:hint="default" w:ascii="Times New Roman" w:hAnsi="Times New Roman" w:cs="Times New Roman"/>
          <w:b w:val="0"/>
          <w:bCs w:val="0"/>
          <w:kern w:val="2"/>
          <w:sz w:val="32"/>
          <w:szCs w:val="32"/>
          <w:highlight w:val="none"/>
          <w:lang w:val="en-US" w:eastAsia="zh-CN"/>
        </w:rPr>
        <w:t>在年初预算申报阶段，根据省级</w:t>
      </w:r>
      <w:r>
        <w:rPr>
          <w:rFonts w:hint="eastAsia" w:cs="Times New Roman"/>
          <w:b w:val="0"/>
          <w:bCs w:val="0"/>
          <w:kern w:val="2"/>
          <w:sz w:val="32"/>
          <w:szCs w:val="32"/>
          <w:highlight w:val="none"/>
          <w:lang w:val="en-US" w:eastAsia="zh-CN"/>
        </w:rPr>
        <w:t>非物质文化遗产保护传承</w:t>
      </w:r>
      <w:r>
        <w:rPr>
          <w:rFonts w:hint="default" w:ascii="Times New Roman" w:hAnsi="Times New Roman" w:cs="Times New Roman"/>
          <w:b w:val="0"/>
          <w:bCs w:val="0"/>
          <w:kern w:val="2"/>
          <w:sz w:val="32"/>
          <w:szCs w:val="32"/>
          <w:highlight w:val="none"/>
          <w:lang w:val="en-US" w:eastAsia="zh-CN"/>
        </w:rPr>
        <w:t>、省委、省政府部署项目、文旅活动和行业管理、文物保护利用、艺术创作等九个方向特点，分别设定绩效目标及指标。经评价，专项资金绩效目标基本完成，仅个别指标未达预期（详见附件3</w:t>
      </w:r>
      <w:r>
        <w:rPr>
          <w:rFonts w:hint="eastAsia" w:cs="Times New Roman"/>
          <w:b w:val="0"/>
          <w:bCs w:val="0"/>
          <w:kern w:val="2"/>
          <w:sz w:val="32"/>
          <w:szCs w:val="32"/>
          <w:highlight w:val="none"/>
          <w:lang w:val="en-US" w:eastAsia="zh-CN"/>
        </w:rPr>
        <w:t>专项资金绩效目标完成情况表</w:t>
      </w:r>
      <w:r>
        <w:rPr>
          <w:rFonts w:hint="default" w:ascii="Times New Roman" w:hAnsi="Times New Roman" w:cs="Times New Roman"/>
          <w:b w:val="0"/>
          <w:bCs w:val="0"/>
          <w:kern w:val="2"/>
          <w:sz w:val="32"/>
          <w:szCs w:val="32"/>
          <w:highlight w:val="none"/>
          <w:lang w:val="en-US" w:eastAsia="zh-CN"/>
        </w:rPr>
        <w:t>）。</w:t>
      </w:r>
    </w:p>
    <w:p w14:paraId="4532739B">
      <w:pPr>
        <w:pStyle w:val="4"/>
        <w:keepLines w:val="0"/>
        <w:pageBreakBefore w:val="0"/>
        <w:widowControl w:val="0"/>
        <w:numPr>
          <w:ilvl w:val="0"/>
          <w:numId w:val="7"/>
        </w:numPr>
        <w:kinsoku/>
        <w:wordWrap/>
        <w:topLinePunct w:val="0"/>
        <w:autoSpaceDE/>
        <w:autoSpaceDN/>
        <w:bidi w:val="0"/>
        <w:adjustRightInd w:val="0"/>
        <w:spacing w:line="560" w:lineRule="exact"/>
        <w:ind w:firstLine="640"/>
        <w:rPr>
          <w:rFonts w:hint="default" w:ascii="Times New Roman" w:hAnsi="Times New Roman" w:eastAsia="楷体_GB2312" w:cs="Times New Roman"/>
          <w:sz w:val="32"/>
          <w:szCs w:val="32"/>
          <w:highlight w:val="none"/>
          <w:lang w:val="en-US" w:eastAsia="zh"/>
        </w:rPr>
      </w:pPr>
      <w:bookmarkStart w:id="137" w:name="_Toc26007"/>
      <w:bookmarkStart w:id="138" w:name="_Toc11015"/>
      <w:r>
        <w:rPr>
          <w:rFonts w:hint="eastAsia" w:ascii="Times New Roman" w:hAnsi="Times New Roman" w:eastAsia="楷体_GB2312" w:cs="Times New Roman"/>
          <w:sz w:val="32"/>
          <w:szCs w:val="32"/>
          <w:highlight w:val="none"/>
          <w:lang w:val="en-US" w:eastAsia="zh-CN"/>
        </w:rPr>
        <w:t>专项资金</w:t>
      </w:r>
      <w:r>
        <w:rPr>
          <w:rFonts w:hint="default" w:ascii="Times New Roman" w:hAnsi="Times New Roman" w:eastAsia="楷体_GB2312" w:cs="Times New Roman"/>
          <w:sz w:val="32"/>
          <w:szCs w:val="32"/>
          <w:highlight w:val="none"/>
          <w:lang w:val="en-US" w:eastAsia="zh-CN"/>
        </w:rPr>
        <w:t>主要绩效</w:t>
      </w:r>
      <w:bookmarkEnd w:id="137"/>
      <w:bookmarkEnd w:id="138"/>
    </w:p>
    <w:p w14:paraId="09686542">
      <w:pPr>
        <w:keepNext w:val="0"/>
        <w:keepLines w:val="0"/>
        <w:pageBreakBefore w:val="0"/>
        <w:widowControl w:val="0"/>
        <w:kinsoku/>
        <w:wordWrap/>
        <w:overflowPunct/>
        <w:topLinePunct w:val="0"/>
        <w:autoSpaceDE/>
        <w:autoSpaceDN/>
        <w:bidi w:val="0"/>
        <w:adjustRightInd w:val="0"/>
        <w:snapToGrid/>
        <w:spacing w:line="560" w:lineRule="exact"/>
        <w:ind w:firstLine="640"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2025年围绕全省经济社会发展大局，立足万亿产业新起点，锚定建设文化强省和世界旅游目的地目标，奋力打好“十四五”收官战。全年接待游客8.19亿人次，实现游客总花费11576.3亿元，同口径比分别增长10.56%、9.02%。前三季度，全省规上文旅及相关产业企业达7629家，营收3388.79亿元，同比分别增长10.3%、8.6%。</w:t>
      </w:r>
    </w:p>
    <w:p w14:paraId="28C641D9">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提振文旅消费，促进产业倍增。</w:t>
      </w:r>
      <w:r>
        <w:rPr>
          <w:rFonts w:hint="default" w:ascii="Times New Roman" w:hAnsi="Times New Roman" w:cs="Times New Roman"/>
          <w:highlight w:val="none"/>
          <w:lang w:val="en-US" w:eastAsia="zh-CN"/>
        </w:rPr>
        <w:t>深入实施文化创意旅游产业倍增计划和提振文旅消费专项行动，联合14部门出台《湖南省推进文化创意旅游产业链高质量建设的若干举措》，指导开展“潮起潇湘相约湖南”文旅消费季、“湘超，超好玩”等系列促消费活动3000余场，带动“湘超”文旅消费达136.79亿元。举办第五届湖南文旅投融资大会等重大产业促进活动。全年在建总投资5000万元以上的重大文旅项目176个，总投资额1724.8亿元；1-10月，全省规模以上文化、体育和娱乐业企业营收同比增幅达10.7%，其中规模以上文化艺术业、娱乐业企业营收分别增长16.9%和21%。1-11月，限额以上住宿业和餐饮业法人营业额同比增长6.4%，高于社会消费品零售总额增幅1.9个百分点，文旅消费潜力和产业发展活力得到有效释放。</w:t>
      </w:r>
    </w:p>
    <w:p w14:paraId="5562E05F">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办好旅发大会，推动办会兴城。</w:t>
      </w:r>
      <w:r>
        <w:rPr>
          <w:rFonts w:hint="default" w:ascii="Times New Roman" w:hAnsi="Times New Roman" w:cs="Times New Roman"/>
          <w:highlight w:val="none"/>
          <w:lang w:val="en-US" w:eastAsia="zh-CN"/>
        </w:rPr>
        <w:t>以办会兴城为目标，务实、节俭、市场化举办第四、五届湖南旅发大会。指导岳阳、怀化精心打造《今上岳阳楼》《洞庭幻境》等沉浸式产品，以及“三江一湾”、天问岛、荆坪古村等文旅新地标，成功盘活洞庭湖博物馆等多处闲置文旅资产资源，实施老旧小区改造、道路交通提质、口袋公园建设等1000多处，有效压减办会活动环节和经费预算，推动大会重点项目社会投资占比明显提升。其他市州通过举办市级旅发大会，实现了基础设施建设、整体环境优化、产业融合发展、经济社会发展“四个提速”。办会成效得到社会各界的广泛认可，综合效应持续显现。</w:t>
      </w:r>
    </w:p>
    <w:p w14:paraId="6737138D">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繁荣文化事业，赓续湖湘文脉。</w:t>
      </w:r>
      <w:r>
        <w:rPr>
          <w:rFonts w:hint="default" w:ascii="Times New Roman" w:hAnsi="Times New Roman" w:cs="Times New Roman"/>
          <w:highlight w:val="none"/>
          <w:lang w:val="en-US" w:eastAsia="zh-CN"/>
        </w:rPr>
        <w:t>组织参加第十四届中国艺术节，获文华节目奖1项，文华编剧奖1项、群星奖2项。选送京剧《皿方罍》、花鼓戏《蔡坤山耕田》等选段参演国家级重大演出，承办文化和自然遗产日全国主场城市活动、全国春节村晚主场活动、全国红色故事讲解员大赛等重大活动。探索传统戏曲分类分级保护发展机制，出台优质文化资源直达基层实施方案，创新推出“岳麓山青年戏剧季”。开展“欢乐潇湘”“送戏下乡”“四季村晚”“非遗六进”等惠民活动7万余场次，服务群众5600万余人次。深入推进博物馆“省市联动”体系化改革和第四次全国文物普查，加快建设中国语言资源博物馆，促成子弹库战国帛书回归入藏，湖南省博物馆升格为副厅级单位。全省文物“四普”调查登记新发现不可移动文物5550处。推出首批乡村博物馆39家，32人入选第六批国家级非遗代表性传承人，湖湘文化的传承创新活力进一步增强。</w:t>
      </w:r>
    </w:p>
    <w:p w14:paraId="67E06155">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深化“两个融合”，创新文旅业态。</w:t>
      </w:r>
      <w:r>
        <w:rPr>
          <w:rFonts w:hint="default" w:ascii="Times New Roman" w:hAnsi="Times New Roman" w:cs="Times New Roman"/>
          <w:highlight w:val="none"/>
          <w:lang w:val="en-US" w:eastAsia="zh-CN"/>
        </w:rPr>
        <w:t>推动出台《关于推进文化和旅游深度融合发展的实施意见》，成功打造文旅“新花YOUNG”生态大会等高能级融合平台，加快建设省级十大历史文化保护利用示范片区，推进湖南省博物馆与湖南烈士公园“馆园融合”。联合长沙市出台“演艺新空间十条”，与省总工会协作推进工会剧场与国有院团“团场合作”，打造融合新载体。积极构建“十五分钟文化圈”，推进“街头艺术站”等新型公共文化空间建设，创新实施公共文化数智服务赋能工程。大力发展演艺、赛事旅游，举办营业性演出5.73万场。出台《“文化+科技”行动计划》，打造“最亮眼的数字博物馆”，数字文博大平台“山海”APP签约博物馆100家，上线文物7.9万件。文旅融合向纵深拓展，新业态、新场景成为行业发展重要引擎。</w:t>
      </w:r>
    </w:p>
    <w:p w14:paraId="6CB5834F">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深化推广传播，扩大对外开放。</w:t>
      </w:r>
      <w:r>
        <w:rPr>
          <w:rFonts w:hint="default" w:ascii="Times New Roman" w:hAnsi="Times New Roman" w:cs="Times New Roman"/>
          <w:highlight w:val="none"/>
          <w:lang w:val="en-US" w:eastAsia="zh-CN"/>
        </w:rPr>
        <w:t>推出《去湘当有味的地方》第三季，实施“湘当有味的马王堆”美食文化推广项目，在央视《新闻联播》《朝闻天下》等栏目开展文旅形象投放。组织实施对外文化交流项目8项，赴境外12个国家和地区开展湖南文旅推介。联合18部门印发《促进湖南入境旅游发展的十二条措施》，在全国率先以省委、省政府名义专题召开入境旅游推进会，全面启动大张家界国际旅游区建设，积极打造入境旅游“第二站”。全年接待入境游客240.65万人次，总花费14.09亿美元，同口径比分别增长19.08%、25.47%，文旅对外开放与交流合作迈上新台阶。</w:t>
      </w:r>
    </w:p>
    <w:p w14:paraId="1E7172E3">
      <w:pPr>
        <w:keepNext w:val="0"/>
        <w:keepLines w:val="0"/>
        <w:pageBreakBefore w:val="0"/>
        <w:widowControl w:val="0"/>
        <w:numPr>
          <w:ilvl w:val="0"/>
          <w:numId w:val="8"/>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highlight w:val="none"/>
          <w:lang w:val="en-US" w:eastAsia="zh-CN"/>
        </w:rPr>
      </w:pPr>
      <w:r>
        <w:rPr>
          <w:rFonts w:hint="default" w:ascii="Times New Roman" w:hAnsi="Times New Roman" w:cs="Times New Roman"/>
          <w:b/>
          <w:bCs/>
          <w:highlight w:val="none"/>
          <w:lang w:val="en-US" w:eastAsia="zh-CN"/>
        </w:rPr>
        <w:t>坚持强基固本，夯实发展支撑。</w:t>
      </w:r>
      <w:r>
        <w:rPr>
          <w:rFonts w:hint="default" w:ascii="Times New Roman" w:hAnsi="Times New Roman" w:cs="Times New Roman"/>
          <w:highlight w:val="none"/>
          <w:lang w:val="en-US" w:eastAsia="zh-CN"/>
        </w:rPr>
        <w:t>完成全省旅游资源普查，调查录入旅游资源单体数据14.76万条，新发现、新认定旅游资源2.5万处。纵深开展文旅领域顽瘴痼疾综合治理，办结导游乱象、强制消费案件224件。实施全省4A级及以上旅游景区特种设备专项检查，出台大流量景区优化客流管控提升游客体验五项机制。强化文化市场监督管理，开展大型营业性演出活动等执法监管，省文旅厅在全国文化市场管理工作会议上作典型发言。深化文旅领域统计改革创新，相关成果入选2025年全国旅游数据与旅游统计典型案例，并在全国旅游统计改革工作座谈会上作典型发言。同时，深入开展“十五五”文旅规划编制前期调研，举办“文旅＋”高质量融合发展人才交流大会，出台艺术、公共文化服务、旅游、文博等领域一揽子人才计划，我省文化指导员培养经验获文化和旅游部推介。</w:t>
      </w:r>
    </w:p>
    <w:p w14:paraId="396410AB">
      <w:pPr>
        <w:pStyle w:val="3"/>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cs="Times New Roman"/>
          <w:lang w:val="en-US" w:eastAsia="zh-CN"/>
        </w:rPr>
      </w:pPr>
      <w:bookmarkStart w:id="139" w:name="_Toc3442"/>
      <w:bookmarkStart w:id="140" w:name="_Toc20061"/>
      <w:r>
        <w:rPr>
          <w:rFonts w:hint="default" w:ascii="Times New Roman" w:hAnsi="Times New Roman" w:cs="Times New Roman"/>
          <w:lang w:val="en-US" w:eastAsia="zh-CN"/>
        </w:rPr>
        <w:t>存在的问题</w:t>
      </w:r>
      <w:bookmarkEnd w:id="107"/>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9"/>
      <w:bookmarkEnd w:id="140"/>
    </w:p>
    <w:p w14:paraId="44B955C3">
      <w:pPr>
        <w:keepNext w:val="0"/>
        <w:keepLines w:val="0"/>
        <w:pageBreakBefore w:val="0"/>
        <w:widowControl w:val="0"/>
        <w:kinsoku/>
        <w:wordWrap/>
        <w:overflowPunct/>
        <w:topLinePunct w:val="0"/>
        <w:autoSpaceDE/>
        <w:autoSpaceDN/>
        <w:bidi w:val="0"/>
        <w:adjustRightInd w:val="0"/>
        <w:snapToGrid/>
        <w:spacing w:line="560" w:lineRule="exact"/>
        <w:ind w:left="0" w:firstLine="640" w:firstLineChars="200"/>
        <w:jc w:val="both"/>
        <w:textAlignment w:val="auto"/>
        <w:rPr>
          <w:rFonts w:hint="default" w:ascii="Times New Roman" w:hAnsi="Times New Roman" w:cs="Times New Roman"/>
          <w:kern w:val="2"/>
          <w:sz w:val="32"/>
          <w:szCs w:val="32"/>
          <w:highlight w:val="none"/>
          <w:lang w:val="en-US" w:eastAsia="zh-CN"/>
        </w:rPr>
      </w:pPr>
      <w:bookmarkStart w:id="141" w:name="_Toc41842516"/>
      <w:r>
        <w:rPr>
          <w:rFonts w:hint="default" w:ascii="Times New Roman" w:hAnsi="Times New Roman" w:cs="Times New Roman"/>
          <w:kern w:val="2"/>
          <w:sz w:val="32"/>
          <w:szCs w:val="32"/>
          <w:highlight w:val="none"/>
          <w:lang w:val="en-US" w:eastAsia="zh-CN"/>
        </w:rPr>
        <w:t>本次绩效评价围绕2025年度文化旅游发展专项资金的分配下达、使用管理、项目实施、绩效达成四大核心维度开展核查，发现的核心问题归纳如下：</w:t>
      </w:r>
    </w:p>
    <w:p w14:paraId="4D924CEE">
      <w:pPr>
        <w:pStyle w:val="4"/>
        <w:keepNext w:val="0"/>
        <w:keepLines w:val="0"/>
        <w:pageBreakBefore w:val="0"/>
        <w:widowControl w:val="0"/>
        <w:numPr>
          <w:ilvl w:val="0"/>
          <w:numId w:val="9"/>
        </w:numPr>
        <w:kinsoku/>
        <w:wordWrap/>
        <w:overflowPunct/>
        <w:topLinePunct w:val="0"/>
        <w:autoSpaceDE w:val="0"/>
        <w:autoSpaceDN/>
        <w:bidi w:val="0"/>
        <w:adjustRightInd w:val="0"/>
        <w:snapToGrid/>
        <w:spacing w:line="560" w:lineRule="exact"/>
        <w:ind w:left="0" w:leftChars="0" w:firstLine="643" w:firstLineChars="200"/>
        <w:textAlignment w:val="auto"/>
        <w:rPr>
          <w:rFonts w:hint="default" w:ascii="Times New Roman" w:hAnsi="Times New Roman" w:eastAsia="楷体_GB2312" w:cs="Times New Roman"/>
          <w:b/>
          <w:bCs/>
          <w:kern w:val="2"/>
          <w:sz w:val="32"/>
          <w:szCs w:val="32"/>
          <w:lang w:val="en-US" w:eastAsia="zh-CN"/>
        </w:rPr>
      </w:pPr>
      <w:bookmarkStart w:id="142" w:name="_Toc25261"/>
      <w:bookmarkStart w:id="143" w:name="_Toc7231"/>
      <w:r>
        <w:rPr>
          <w:rFonts w:hint="default" w:ascii="Times New Roman" w:hAnsi="Times New Roman" w:eastAsia="楷体_GB2312" w:cs="Times New Roman"/>
          <w:b/>
          <w:bCs/>
          <w:kern w:val="2"/>
          <w:sz w:val="32"/>
          <w:szCs w:val="32"/>
          <w:lang w:val="en-US" w:eastAsia="zh-CN"/>
        </w:rPr>
        <w:t>资金拨付效率偏低，保障能力不足</w:t>
      </w:r>
      <w:bookmarkEnd w:id="142"/>
      <w:bookmarkEnd w:id="143"/>
    </w:p>
    <w:p w14:paraId="50A097F2">
      <w:pPr>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专项资金下达不及时，整体到位率偏低。</w:t>
      </w:r>
      <w:r>
        <w:rPr>
          <w:rFonts w:hint="default" w:ascii="Times New Roman" w:hAnsi="Times New Roman" w:cs="Times New Roman"/>
          <w:kern w:val="2"/>
          <w:sz w:val="32"/>
          <w:szCs w:val="32"/>
          <w:highlight w:val="none"/>
          <w:lang w:val="en-US" w:eastAsia="zh-CN"/>
        </w:rPr>
        <w:t>市县财政部门对专项资金统筹管理过程中，部分项目资金未严格按照指标文件要求及时下达至项目实施单位，截至2025年12月31日，本次现场评价覆盖的资金到位率仅为67.33%，大量资金滞留在</w:t>
      </w:r>
      <w:r>
        <w:rPr>
          <w:rFonts w:hint="eastAsia" w:cs="Times New Roman"/>
          <w:kern w:val="2"/>
          <w:sz w:val="32"/>
          <w:szCs w:val="32"/>
          <w:highlight w:val="none"/>
          <w:lang w:val="en-US" w:eastAsia="zh-CN"/>
        </w:rPr>
        <w:t>当地</w:t>
      </w:r>
      <w:r>
        <w:rPr>
          <w:rFonts w:hint="default" w:ascii="Times New Roman" w:hAnsi="Times New Roman" w:cs="Times New Roman"/>
          <w:kern w:val="2"/>
          <w:sz w:val="32"/>
          <w:szCs w:val="32"/>
          <w:highlight w:val="none"/>
          <w:lang w:val="en-US" w:eastAsia="zh-CN"/>
        </w:rPr>
        <w:t>财政环节，未及时</w:t>
      </w:r>
      <w:r>
        <w:rPr>
          <w:rFonts w:hint="eastAsia" w:cs="Times New Roman"/>
          <w:kern w:val="2"/>
          <w:sz w:val="32"/>
          <w:szCs w:val="32"/>
          <w:highlight w:val="none"/>
          <w:lang w:val="en-US" w:eastAsia="zh-CN"/>
        </w:rPr>
        <w:t>拨付</w:t>
      </w:r>
      <w:r>
        <w:rPr>
          <w:rFonts w:hint="default" w:ascii="Times New Roman" w:hAnsi="Times New Roman" w:cs="Times New Roman"/>
          <w:kern w:val="2"/>
          <w:sz w:val="32"/>
          <w:szCs w:val="32"/>
          <w:highlight w:val="none"/>
          <w:lang w:val="en-US" w:eastAsia="zh-CN"/>
        </w:rPr>
        <w:t>至项目端。</w:t>
      </w:r>
    </w:p>
    <w:p w14:paraId="000DB389">
      <w:pPr>
        <w:keepNext w:val="0"/>
        <w:keepLines w:val="0"/>
        <w:pageBreakBefore w:val="0"/>
        <w:widowControl w:val="0"/>
        <w:numPr>
          <w:ilvl w:val="0"/>
          <w:numId w:val="10"/>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资金下达节点不合理，挤压项目执行周期。</w:t>
      </w:r>
      <w:r>
        <w:rPr>
          <w:rFonts w:hint="default" w:ascii="Times New Roman" w:hAnsi="Times New Roman" w:cs="Times New Roman"/>
          <w:kern w:val="2"/>
          <w:sz w:val="32"/>
          <w:szCs w:val="32"/>
          <w:highlight w:val="none"/>
          <w:lang w:val="en-US" w:eastAsia="zh-CN"/>
        </w:rPr>
        <w:t>部分项目资金下达时间为2025年11月下旬，距离年底财务关账时间不足1个月，项目单位无充足时间完成资金支付、项目落地等工作，直接导致资金无法按期执行、项目进度滞后，大量资金结转至2026年度使用。</w:t>
      </w:r>
    </w:p>
    <w:p w14:paraId="0D0F3834">
      <w:pPr>
        <w:pStyle w:val="4"/>
        <w:keepNext w:val="0"/>
        <w:keepLines w:val="0"/>
        <w:pageBreakBefore w:val="0"/>
        <w:widowControl w:val="0"/>
        <w:numPr>
          <w:ilvl w:val="0"/>
          <w:numId w:val="9"/>
        </w:numPr>
        <w:kinsoku/>
        <w:wordWrap/>
        <w:overflowPunct/>
        <w:topLinePunct w:val="0"/>
        <w:autoSpaceDE w:val="0"/>
        <w:autoSpaceDN/>
        <w:bidi w:val="0"/>
        <w:adjustRightInd w:val="0"/>
        <w:snapToGrid/>
        <w:spacing w:line="560" w:lineRule="exact"/>
        <w:ind w:left="0" w:leftChars="0" w:firstLine="643" w:firstLineChars="200"/>
        <w:textAlignment w:val="auto"/>
        <w:rPr>
          <w:rFonts w:hint="default" w:ascii="Times New Roman" w:hAnsi="Times New Roman" w:eastAsia="楷体_GB2312" w:cs="Times New Roman"/>
          <w:b/>
          <w:bCs/>
          <w:kern w:val="2"/>
          <w:sz w:val="32"/>
          <w:szCs w:val="32"/>
          <w:lang w:val="en-US" w:eastAsia="zh-CN"/>
        </w:rPr>
      </w:pPr>
      <w:bookmarkStart w:id="144" w:name="_Toc29572"/>
      <w:bookmarkStart w:id="145" w:name="_Toc29535"/>
      <w:r>
        <w:rPr>
          <w:rFonts w:hint="default" w:ascii="Times New Roman" w:hAnsi="Times New Roman" w:eastAsia="楷体_GB2312" w:cs="Times New Roman"/>
          <w:b/>
          <w:bCs/>
          <w:kern w:val="2"/>
          <w:sz w:val="32"/>
          <w:szCs w:val="32"/>
          <w:lang w:val="en-US" w:eastAsia="zh-CN"/>
        </w:rPr>
        <w:t>合规性与精细化水平不足，执行效率偏低</w:t>
      </w:r>
      <w:bookmarkEnd w:id="144"/>
      <w:bookmarkEnd w:id="145"/>
    </w:p>
    <w:p w14:paraId="63124EA9">
      <w:pPr>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资金整体执行率不高，预算执行进度滞后。</w:t>
      </w:r>
      <w:r>
        <w:rPr>
          <w:rFonts w:hint="default" w:ascii="Times New Roman" w:hAnsi="Times New Roman" w:cs="Times New Roman"/>
          <w:kern w:val="2"/>
          <w:sz w:val="32"/>
          <w:szCs w:val="32"/>
          <w:highlight w:val="none"/>
          <w:lang w:val="en-US" w:eastAsia="zh-CN"/>
        </w:rPr>
        <w:t>截至2025年12月31日，已拨付到位的项目资金执行率仅为79.53%，未达到预算执行的基本要求，大量已下达资金未按计划完成支出，资金使用效率未达预期。</w:t>
      </w:r>
    </w:p>
    <w:p w14:paraId="722FFADC">
      <w:pPr>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资金使用合规性不足，存在</w:t>
      </w:r>
      <w:r>
        <w:rPr>
          <w:rFonts w:hint="eastAsia" w:cs="Times New Roman"/>
          <w:b/>
          <w:bCs/>
          <w:kern w:val="2"/>
          <w:sz w:val="32"/>
          <w:szCs w:val="32"/>
          <w:highlight w:val="none"/>
          <w:lang w:val="en-US" w:eastAsia="zh-CN"/>
        </w:rPr>
        <w:t>指标混用情况</w:t>
      </w:r>
      <w:r>
        <w:rPr>
          <w:rFonts w:hint="default" w:ascii="Times New Roman" w:hAnsi="Times New Roman" w:cs="Times New Roman"/>
          <w:b/>
          <w:bCs/>
          <w:kern w:val="2"/>
          <w:sz w:val="32"/>
          <w:szCs w:val="32"/>
          <w:highlight w:val="none"/>
          <w:lang w:val="en-US" w:eastAsia="zh-CN"/>
        </w:rPr>
        <w:t>。</w:t>
      </w:r>
      <w:r>
        <w:rPr>
          <w:rFonts w:hint="default" w:ascii="Times New Roman" w:hAnsi="Times New Roman" w:cs="Times New Roman"/>
          <w:kern w:val="2"/>
          <w:sz w:val="32"/>
          <w:szCs w:val="32"/>
          <w:highlight w:val="none"/>
          <w:lang w:val="en-US" w:eastAsia="zh-CN"/>
        </w:rPr>
        <w:t>部分项目单位未严格遵守专项资金管理要求，存在不同项目间资金混用等</w:t>
      </w:r>
      <w:r>
        <w:rPr>
          <w:rFonts w:hint="eastAsia" w:cs="Times New Roman"/>
          <w:kern w:val="2"/>
          <w:sz w:val="32"/>
          <w:szCs w:val="32"/>
          <w:highlight w:val="none"/>
          <w:lang w:val="en-US" w:eastAsia="zh-CN"/>
        </w:rPr>
        <w:t>不规范</w:t>
      </w:r>
      <w:r>
        <w:rPr>
          <w:rFonts w:hint="default" w:ascii="Times New Roman" w:hAnsi="Times New Roman" w:cs="Times New Roman"/>
          <w:kern w:val="2"/>
          <w:sz w:val="32"/>
          <w:szCs w:val="32"/>
          <w:highlight w:val="none"/>
          <w:lang w:val="en-US" w:eastAsia="zh-CN"/>
        </w:rPr>
        <w:t>现象。</w:t>
      </w:r>
    </w:p>
    <w:p w14:paraId="300C80CA">
      <w:pPr>
        <w:keepNext w:val="0"/>
        <w:keepLines w:val="0"/>
        <w:pageBreakBefore w:val="0"/>
        <w:widowControl w:val="0"/>
        <w:numPr>
          <w:ilvl w:val="0"/>
          <w:numId w:val="11"/>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资金管理精细化程度不足，台账管理不规范。</w:t>
      </w:r>
      <w:r>
        <w:rPr>
          <w:rFonts w:hint="eastAsia" w:cs="Times New Roman"/>
          <w:kern w:val="2"/>
          <w:sz w:val="32"/>
          <w:szCs w:val="32"/>
          <w:highlight w:val="none"/>
          <w:lang w:val="en-US" w:eastAsia="zh-CN"/>
        </w:rPr>
        <w:t>部分</w:t>
      </w:r>
      <w:r>
        <w:rPr>
          <w:rFonts w:hint="default" w:ascii="Times New Roman" w:hAnsi="Times New Roman" w:cs="Times New Roman"/>
          <w:kern w:val="2"/>
          <w:sz w:val="32"/>
          <w:szCs w:val="32"/>
          <w:highlight w:val="none"/>
          <w:lang w:val="en-US" w:eastAsia="zh-CN"/>
        </w:rPr>
        <w:t>项目未建立专项资金明细账，未设立专门台账完整登记资金到账、拨付、使用全流程情况，部分项目无法提供完整的资金支付凭证，资金流向可追溯性不足。</w:t>
      </w:r>
    </w:p>
    <w:p w14:paraId="40629DC4">
      <w:pPr>
        <w:pStyle w:val="4"/>
        <w:keepNext w:val="0"/>
        <w:keepLines w:val="0"/>
        <w:pageBreakBefore w:val="0"/>
        <w:widowControl w:val="0"/>
        <w:numPr>
          <w:ilvl w:val="0"/>
          <w:numId w:val="9"/>
        </w:numPr>
        <w:kinsoku/>
        <w:wordWrap/>
        <w:overflowPunct/>
        <w:topLinePunct w:val="0"/>
        <w:autoSpaceDE w:val="0"/>
        <w:autoSpaceDN/>
        <w:bidi w:val="0"/>
        <w:adjustRightInd w:val="0"/>
        <w:snapToGrid/>
        <w:spacing w:line="560" w:lineRule="exact"/>
        <w:ind w:left="0" w:leftChars="0" w:firstLine="643" w:firstLineChars="200"/>
        <w:textAlignment w:val="auto"/>
        <w:rPr>
          <w:rFonts w:hint="default" w:ascii="Times New Roman" w:hAnsi="Times New Roman" w:eastAsia="楷体_GB2312" w:cs="Times New Roman"/>
          <w:b/>
          <w:bCs/>
          <w:kern w:val="2"/>
          <w:sz w:val="32"/>
          <w:szCs w:val="32"/>
          <w:lang w:val="en-US" w:eastAsia="zh-CN"/>
        </w:rPr>
      </w:pPr>
      <w:bookmarkStart w:id="146" w:name="_Toc12889"/>
      <w:bookmarkStart w:id="147" w:name="_Toc27288"/>
      <w:r>
        <w:rPr>
          <w:rFonts w:hint="default" w:ascii="Times New Roman" w:hAnsi="Times New Roman" w:eastAsia="楷体_GB2312" w:cs="Times New Roman"/>
          <w:b/>
          <w:bCs/>
          <w:kern w:val="2"/>
          <w:sz w:val="32"/>
          <w:szCs w:val="32"/>
          <w:lang w:val="en-US" w:eastAsia="zh-CN"/>
        </w:rPr>
        <w:t>制度执行不到位，采购与过程管理不规范</w:t>
      </w:r>
      <w:bookmarkEnd w:id="146"/>
      <w:bookmarkEnd w:id="147"/>
    </w:p>
    <w:p w14:paraId="2FF12D33">
      <w:pPr>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b w:val="0"/>
          <w:bCs w:val="0"/>
          <w:kern w:val="2"/>
          <w:sz w:val="32"/>
          <w:szCs w:val="32"/>
          <w:highlight w:val="none"/>
          <w:lang w:val="en-US" w:eastAsia="zh-CN"/>
        </w:rPr>
      </w:pPr>
      <w:r>
        <w:rPr>
          <w:rFonts w:hint="eastAsia" w:cs="Times New Roman"/>
          <w:b/>
          <w:bCs/>
          <w:kern w:val="2"/>
          <w:sz w:val="32"/>
          <w:szCs w:val="32"/>
          <w:highlight w:val="none"/>
          <w:lang w:val="en-US" w:eastAsia="zh-CN"/>
        </w:rPr>
        <w:t>部分项目</w:t>
      </w:r>
      <w:r>
        <w:rPr>
          <w:rFonts w:hint="default" w:ascii="Times New Roman" w:hAnsi="Times New Roman" w:cs="Times New Roman"/>
          <w:b/>
          <w:bCs/>
          <w:kern w:val="2"/>
          <w:sz w:val="32"/>
          <w:szCs w:val="32"/>
          <w:highlight w:val="none"/>
          <w:lang w:val="en-US" w:eastAsia="zh-CN"/>
        </w:rPr>
        <w:t>采购流程</w:t>
      </w:r>
      <w:r>
        <w:rPr>
          <w:rFonts w:hint="eastAsia" w:cs="Times New Roman"/>
          <w:b/>
          <w:bCs/>
          <w:kern w:val="2"/>
          <w:sz w:val="32"/>
          <w:szCs w:val="32"/>
          <w:highlight w:val="none"/>
          <w:lang w:val="en-US" w:eastAsia="zh-CN"/>
        </w:rPr>
        <w:t>执行不规范</w:t>
      </w:r>
      <w:r>
        <w:rPr>
          <w:rFonts w:hint="default" w:ascii="Times New Roman" w:hAnsi="Times New Roman" w:cs="Times New Roman"/>
          <w:b/>
          <w:bCs/>
          <w:kern w:val="2"/>
          <w:sz w:val="32"/>
          <w:szCs w:val="32"/>
          <w:highlight w:val="none"/>
          <w:lang w:val="en-US" w:eastAsia="zh-CN"/>
        </w:rPr>
        <w:t>，存在管理漏洞。</w:t>
      </w:r>
      <w:r>
        <w:rPr>
          <w:rFonts w:hint="default" w:ascii="Times New Roman" w:hAnsi="Times New Roman" w:cs="Times New Roman"/>
          <w:b w:val="0"/>
          <w:bCs w:val="0"/>
          <w:kern w:val="2"/>
          <w:sz w:val="32"/>
          <w:szCs w:val="32"/>
          <w:highlight w:val="none"/>
          <w:shd w:val="clear"/>
          <w:lang w:val="en-US" w:eastAsia="zh-CN"/>
        </w:rPr>
        <w:t>本次</w:t>
      </w:r>
      <w:r>
        <w:rPr>
          <w:rFonts w:hint="default" w:cs="Times New Roman"/>
          <w:b w:val="0"/>
          <w:bCs w:val="0"/>
          <w:kern w:val="2"/>
          <w:sz w:val="32"/>
          <w:szCs w:val="32"/>
          <w:highlight w:val="none"/>
          <w:shd w:val="clear"/>
          <w:lang w:val="en-US" w:eastAsia="zh-CN"/>
        </w:rPr>
        <w:t>现场评价</w:t>
      </w:r>
      <w:r>
        <w:rPr>
          <w:rFonts w:hint="default" w:ascii="Times New Roman" w:hAnsi="Times New Roman" w:cs="Times New Roman"/>
          <w:b w:val="0"/>
          <w:bCs w:val="0"/>
          <w:kern w:val="2"/>
          <w:sz w:val="32"/>
          <w:szCs w:val="32"/>
          <w:highlight w:val="none"/>
          <w:shd w:val="clear"/>
          <w:lang w:val="en-US" w:eastAsia="zh-CN"/>
        </w:rPr>
        <w:t>发现</w:t>
      </w:r>
      <w:r>
        <w:rPr>
          <w:rFonts w:hint="default" w:cs="Times New Roman"/>
          <w:b w:val="0"/>
          <w:bCs w:val="0"/>
          <w:kern w:val="2"/>
          <w:sz w:val="32"/>
          <w:szCs w:val="32"/>
          <w:highlight w:val="none"/>
          <w:shd w:val="clear"/>
          <w:lang w:val="en-US" w:eastAsia="zh-CN"/>
        </w:rPr>
        <w:t>4</w:t>
      </w:r>
      <w:r>
        <w:rPr>
          <w:rFonts w:hint="default" w:ascii="Times New Roman" w:hAnsi="Times New Roman" w:cs="Times New Roman"/>
          <w:b w:val="0"/>
          <w:bCs w:val="0"/>
          <w:kern w:val="2"/>
          <w:sz w:val="32"/>
          <w:szCs w:val="32"/>
          <w:highlight w:val="none"/>
          <w:shd w:val="clear"/>
          <w:lang w:val="en-US" w:eastAsia="zh-CN"/>
        </w:rPr>
        <w:t>个项目采购执行不规范，具体表现为：一是</w:t>
      </w:r>
      <w:r>
        <w:rPr>
          <w:rFonts w:hint="default" w:cs="Times New Roman"/>
          <w:b w:val="0"/>
          <w:bCs w:val="0"/>
          <w:kern w:val="2"/>
          <w:sz w:val="32"/>
          <w:szCs w:val="32"/>
          <w:highlight w:val="none"/>
          <w:shd w:val="clear"/>
          <w:lang w:val="en-US" w:eastAsia="zh-CN"/>
        </w:rPr>
        <w:t>部分</w:t>
      </w:r>
      <w:r>
        <w:rPr>
          <w:rFonts w:hint="default" w:ascii="Times New Roman" w:hAnsi="Times New Roman" w:cs="Times New Roman"/>
          <w:b w:val="0"/>
          <w:bCs w:val="0"/>
          <w:kern w:val="2"/>
          <w:sz w:val="32"/>
          <w:szCs w:val="32"/>
          <w:highlight w:val="none"/>
          <w:shd w:val="clear"/>
          <w:lang w:val="en-US" w:eastAsia="zh-CN"/>
        </w:rPr>
        <w:t>项目直接采用直接采购方式，未按规定履行招投标、询比价等法定采购流程，未执行单一来源采购的审批程序；二是部分项目询比价流程流于形式，仅中标单位提供商品明细，其他参与单位未提供对应明细，无法评判中标结果的合理性与最优性；</w:t>
      </w:r>
      <w:r>
        <w:rPr>
          <w:rFonts w:hint="default" w:cs="Times New Roman"/>
          <w:b w:val="0"/>
          <w:bCs w:val="0"/>
          <w:kern w:val="2"/>
          <w:sz w:val="32"/>
          <w:szCs w:val="32"/>
          <w:highlight w:val="none"/>
          <w:shd w:val="clear"/>
          <w:lang w:val="en-US" w:eastAsia="zh-CN"/>
        </w:rPr>
        <w:t>三</w:t>
      </w:r>
      <w:r>
        <w:rPr>
          <w:rFonts w:hint="default" w:ascii="Times New Roman" w:hAnsi="Times New Roman" w:cs="Times New Roman"/>
          <w:b w:val="0"/>
          <w:bCs w:val="0"/>
          <w:kern w:val="2"/>
          <w:sz w:val="32"/>
          <w:szCs w:val="32"/>
          <w:highlight w:val="none"/>
          <w:shd w:val="clear"/>
          <w:lang w:val="en-US" w:eastAsia="zh-CN"/>
        </w:rPr>
        <w:t>是</w:t>
      </w:r>
      <w:r>
        <w:rPr>
          <w:rFonts w:hint="default" w:cs="Times New Roman"/>
          <w:b w:val="0"/>
          <w:bCs w:val="0"/>
          <w:kern w:val="2"/>
          <w:sz w:val="32"/>
          <w:szCs w:val="32"/>
          <w:highlight w:val="none"/>
          <w:shd w:val="clear"/>
          <w:lang w:val="en-US" w:eastAsia="zh-CN"/>
        </w:rPr>
        <w:t>个别</w:t>
      </w:r>
      <w:r>
        <w:rPr>
          <w:rFonts w:hint="default" w:ascii="Times New Roman" w:hAnsi="Times New Roman" w:cs="Times New Roman"/>
          <w:b w:val="0"/>
          <w:bCs w:val="0"/>
          <w:kern w:val="2"/>
          <w:sz w:val="32"/>
          <w:szCs w:val="32"/>
          <w:highlight w:val="none"/>
          <w:shd w:val="clear"/>
          <w:lang w:val="en-US" w:eastAsia="zh-CN"/>
        </w:rPr>
        <w:t>项目采购合同签订不规范，核心服务内容未约定具体金额，合同约束力不足。</w:t>
      </w:r>
    </w:p>
    <w:p w14:paraId="3B49B990">
      <w:pPr>
        <w:keepNext w:val="0"/>
        <w:keepLines w:val="0"/>
        <w:pageBreakBefore w:val="0"/>
        <w:widowControl w:val="0"/>
        <w:numPr>
          <w:ilvl w:val="0"/>
          <w:numId w:val="12"/>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项目承包管理不规范，存在合规风险。</w:t>
      </w:r>
      <w:r>
        <w:rPr>
          <w:rFonts w:hint="eastAsia" w:cs="Times New Roman"/>
          <w:b w:val="0"/>
          <w:bCs w:val="0"/>
          <w:kern w:val="2"/>
          <w:sz w:val="32"/>
          <w:szCs w:val="32"/>
          <w:highlight w:val="none"/>
          <w:lang w:val="en-US" w:eastAsia="zh-CN"/>
        </w:rPr>
        <w:t>个别</w:t>
      </w:r>
      <w:r>
        <w:rPr>
          <w:rFonts w:hint="default" w:ascii="Times New Roman" w:hAnsi="Times New Roman" w:cs="Times New Roman"/>
          <w:kern w:val="2"/>
          <w:sz w:val="32"/>
          <w:szCs w:val="32"/>
          <w:highlight w:val="none"/>
          <w:lang w:val="en-US" w:eastAsia="zh-CN"/>
        </w:rPr>
        <w:t>文旅基础设施提质项目直接由个人承包施工，未通过合规主体承接项目，不符合项目建设管理的相关规范要求，存在工程质量、安全生产等方面风险。</w:t>
      </w:r>
    </w:p>
    <w:p w14:paraId="235E8E15">
      <w:pPr>
        <w:numPr>
          <w:ilvl w:val="-1"/>
          <w:numId w:val="0"/>
        </w:numPr>
        <w:autoSpaceDE/>
        <w:ind w:leftChars="200" w:firstLine="0" w:firstLineChars="0"/>
        <w:rPr>
          <w:rFonts w:hint="eastAsia" w:ascii="楷体" w:hAnsi="楷体" w:eastAsia="楷体" w:cs="楷体"/>
          <w:b w:val="0"/>
          <w:bCs w:val="0"/>
          <w:color w:val="000000" w:themeColor="text1"/>
          <w:kern w:val="2"/>
          <w:sz w:val="32"/>
          <w:szCs w:val="32"/>
          <w:highlight w:val="none"/>
          <w:lang w:val="en-US" w:eastAsia="zh-CN"/>
          <w14:textFill>
            <w14:solidFill>
              <w14:schemeClr w14:val="tx1"/>
            </w14:solidFill>
          </w14:textFill>
        </w:rPr>
      </w:pPr>
      <w:bookmarkStart w:id="148" w:name="_Toc4035"/>
      <w:bookmarkStart w:id="149" w:name="_Toc31626"/>
      <w:r>
        <w:rPr>
          <w:rFonts w:hint="eastAsia" w:ascii="楷体" w:hAnsi="楷体" w:eastAsia="楷体" w:cs="楷体"/>
          <w:b w:val="0"/>
          <w:bCs w:val="0"/>
          <w:color w:val="000000" w:themeColor="text1"/>
          <w:kern w:val="2"/>
          <w:sz w:val="32"/>
          <w:szCs w:val="32"/>
          <w:highlight w:val="none"/>
          <w:lang w:val="en-US" w:eastAsia="zh-CN"/>
          <w14:textFill>
            <w14:solidFill>
              <w14:schemeClr w14:val="tx1"/>
            </w14:solidFill>
          </w14:textFill>
        </w:rPr>
        <w:t>（四）部分项目进度滞后，绩效目标未有效落地</w:t>
      </w:r>
      <w:bookmarkEnd w:id="148"/>
      <w:bookmarkEnd w:id="149"/>
    </w:p>
    <w:p w14:paraId="1F4E7FDF">
      <w:pPr>
        <w:keepNext w:val="0"/>
        <w:keepLines w:val="0"/>
        <w:pageBreakBefore w:val="0"/>
        <w:widowControl w:val="0"/>
        <w:numPr>
          <w:ilvl w:val="0"/>
          <w:numId w:val="13"/>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eastAsia" w:cs="Times New Roman"/>
          <w:b/>
          <w:bCs/>
          <w:kern w:val="2"/>
          <w:sz w:val="32"/>
          <w:szCs w:val="32"/>
          <w:highlight w:val="none"/>
          <w:lang w:val="en-US" w:eastAsia="zh-CN"/>
        </w:rPr>
        <w:t>部分</w:t>
      </w:r>
      <w:r>
        <w:rPr>
          <w:rFonts w:hint="default" w:ascii="Times New Roman" w:hAnsi="Times New Roman" w:cs="Times New Roman"/>
          <w:b/>
          <w:bCs/>
          <w:kern w:val="2"/>
          <w:sz w:val="32"/>
          <w:szCs w:val="32"/>
          <w:highlight w:val="none"/>
          <w:lang w:val="en-US" w:eastAsia="zh-CN"/>
        </w:rPr>
        <w:t>项目进度滞后，</w:t>
      </w:r>
      <w:r>
        <w:rPr>
          <w:rFonts w:hint="eastAsia" w:cs="Times New Roman"/>
          <w:b/>
          <w:bCs/>
          <w:kern w:val="2"/>
          <w:sz w:val="32"/>
          <w:szCs w:val="32"/>
          <w:highlight w:val="none"/>
          <w:lang w:val="en-US" w:eastAsia="zh-CN"/>
        </w:rPr>
        <w:t>部分</w:t>
      </w:r>
      <w:r>
        <w:rPr>
          <w:rFonts w:hint="default" w:ascii="Times New Roman" w:hAnsi="Times New Roman" w:cs="Times New Roman"/>
          <w:b/>
          <w:bCs/>
          <w:kern w:val="2"/>
          <w:sz w:val="32"/>
          <w:szCs w:val="32"/>
          <w:highlight w:val="none"/>
          <w:lang w:val="en-US" w:eastAsia="zh-CN"/>
        </w:rPr>
        <w:t>绩效目标未达成。</w:t>
      </w:r>
      <w:r>
        <w:rPr>
          <w:rFonts w:hint="default" w:ascii="Times New Roman" w:hAnsi="Times New Roman" w:cs="Times New Roman"/>
          <w:kern w:val="2"/>
          <w:sz w:val="32"/>
          <w:szCs w:val="32"/>
          <w:highlight w:val="none"/>
          <w:lang w:val="en-US" w:eastAsia="zh-CN"/>
        </w:rPr>
        <w:t>本次</w:t>
      </w:r>
      <w:r>
        <w:rPr>
          <w:rFonts w:hint="eastAsia" w:cs="Times New Roman"/>
          <w:kern w:val="2"/>
          <w:sz w:val="32"/>
          <w:szCs w:val="32"/>
          <w:highlight w:val="none"/>
          <w:lang w:val="en-US" w:eastAsia="zh-CN"/>
        </w:rPr>
        <w:t>现场评价</w:t>
      </w:r>
      <w:r>
        <w:rPr>
          <w:rFonts w:hint="default" w:ascii="Times New Roman" w:hAnsi="Times New Roman" w:cs="Times New Roman"/>
          <w:kern w:val="2"/>
          <w:sz w:val="32"/>
          <w:szCs w:val="32"/>
          <w:highlight w:val="none"/>
          <w:lang w:val="en-US" w:eastAsia="zh-CN"/>
        </w:rPr>
        <w:t>发现</w:t>
      </w:r>
      <w:r>
        <w:rPr>
          <w:rFonts w:hint="eastAsia" w:cs="Times New Roman"/>
          <w:kern w:val="2"/>
          <w:sz w:val="32"/>
          <w:szCs w:val="32"/>
          <w:highlight w:val="none"/>
          <w:lang w:val="en-US" w:eastAsia="zh-CN"/>
        </w:rPr>
        <w:t>部分</w:t>
      </w:r>
      <w:r>
        <w:rPr>
          <w:rFonts w:hint="default" w:ascii="Times New Roman" w:hAnsi="Times New Roman" w:cs="Times New Roman"/>
          <w:kern w:val="2"/>
          <w:sz w:val="32"/>
          <w:szCs w:val="32"/>
          <w:highlight w:val="none"/>
          <w:lang w:val="en-US" w:eastAsia="zh-CN"/>
        </w:rPr>
        <w:t>文艺创作、文旅提质、文物活化利用类项目，申报的实施周期为2025年12月</w:t>
      </w:r>
      <w:r>
        <w:rPr>
          <w:rFonts w:hint="eastAsia" w:cs="Times New Roman"/>
          <w:kern w:val="2"/>
          <w:sz w:val="32"/>
          <w:szCs w:val="32"/>
          <w:highlight w:val="none"/>
          <w:lang w:val="en-US" w:eastAsia="zh-CN"/>
        </w:rPr>
        <w:t>底前完成</w:t>
      </w:r>
      <w:r>
        <w:rPr>
          <w:rFonts w:hint="default" w:ascii="Times New Roman" w:hAnsi="Times New Roman" w:cs="Times New Roman"/>
          <w:kern w:val="2"/>
          <w:sz w:val="32"/>
          <w:szCs w:val="32"/>
          <w:highlight w:val="none"/>
          <w:lang w:val="en-US" w:eastAsia="zh-CN"/>
        </w:rPr>
        <w:t>，但截至2026年4月</w:t>
      </w:r>
      <w:r>
        <w:rPr>
          <w:rFonts w:hint="eastAsia" w:cs="Times New Roman"/>
          <w:kern w:val="2"/>
          <w:sz w:val="32"/>
          <w:szCs w:val="32"/>
          <w:highlight w:val="none"/>
          <w:lang w:val="en-US" w:eastAsia="zh-CN"/>
        </w:rPr>
        <w:t>底</w:t>
      </w:r>
      <w:r>
        <w:rPr>
          <w:rFonts w:hint="default" w:ascii="Times New Roman" w:hAnsi="Times New Roman" w:cs="Times New Roman"/>
          <w:kern w:val="2"/>
          <w:sz w:val="32"/>
          <w:szCs w:val="32"/>
          <w:highlight w:val="none"/>
          <w:lang w:val="en-US" w:eastAsia="zh-CN"/>
        </w:rPr>
        <w:t>，仅完成前期剧本创作、方案论证、调研等基础工作，未完成项目核心建设、创作、落地等内容，与申报的绩效目标存在差距；部分文物保护利用、文旅产品开发项目，因前期调研、方案编制、论证周期过长，项目整体进度严重滞后，资金全部结转至2026年使用，2025年度绩效目标完全未达成。</w:t>
      </w:r>
    </w:p>
    <w:p w14:paraId="4B53C1A9">
      <w:pPr>
        <w:keepNext w:val="0"/>
        <w:keepLines w:val="0"/>
        <w:pageBreakBefore w:val="0"/>
        <w:widowControl w:val="0"/>
        <w:numPr>
          <w:ilvl w:val="0"/>
          <w:numId w:val="13"/>
        </w:numPr>
        <w:kinsoku/>
        <w:wordWrap/>
        <w:overflowPunct/>
        <w:topLinePunct w:val="0"/>
        <w:autoSpaceDE/>
        <w:autoSpaceDN/>
        <w:bidi w:val="0"/>
        <w:adjustRightInd w:val="0"/>
        <w:snapToGrid/>
        <w:spacing w:line="560" w:lineRule="exact"/>
        <w:ind w:left="0" w:leftChars="0" w:firstLine="643" w:firstLineChars="200"/>
        <w:jc w:val="both"/>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b/>
          <w:bCs/>
          <w:kern w:val="2"/>
          <w:sz w:val="32"/>
          <w:szCs w:val="32"/>
          <w:highlight w:val="none"/>
          <w:lang w:val="en-US" w:eastAsia="zh-CN"/>
        </w:rPr>
        <w:t>绩效目标设置不合理，预算编制科学性不足。</w:t>
      </w:r>
      <w:r>
        <w:rPr>
          <w:rFonts w:hint="default" w:ascii="Times New Roman" w:hAnsi="Times New Roman" w:cs="Times New Roman"/>
          <w:kern w:val="2"/>
          <w:sz w:val="32"/>
          <w:szCs w:val="32"/>
          <w:highlight w:val="none"/>
          <w:lang w:val="en-US" w:eastAsia="zh-CN"/>
        </w:rPr>
        <w:t>部分项目绩效指标设置不科学、不合理，与项目实际实施内容、预期产出不匹配；部分项目资金测算依据不充分，预算编制与项目实际资金需求脱节，导致项目资金结余较多，资金使用效率偏低。</w:t>
      </w:r>
    </w:p>
    <w:p w14:paraId="3068DCEA">
      <w:pPr>
        <w:keepNext w:val="0"/>
        <w:keepLines w:val="0"/>
        <w:pageBreakBefore w:val="0"/>
        <w:widowControl w:val="0"/>
        <w:numPr>
          <w:ilvl w:val="0"/>
          <w:numId w:val="13"/>
        </w:numPr>
        <w:kinsoku/>
        <w:wordWrap/>
        <w:overflowPunct/>
        <w:topLinePunct w:val="0"/>
        <w:autoSpaceDE/>
        <w:autoSpaceDN/>
        <w:bidi w:val="0"/>
        <w:adjustRightInd w:val="0"/>
        <w:snapToGrid/>
        <w:spacing w:line="560" w:lineRule="exact"/>
        <w:ind w:left="0" w:leftChars="0" w:firstLine="643" w:firstLineChars="200"/>
        <w:jc w:val="both"/>
        <w:textAlignment w:val="auto"/>
        <w:rPr>
          <w:rFonts w:hint="eastAsia" w:ascii="Times New Roman" w:hAnsi="Times New Roman" w:cs="Times New Roman"/>
          <w:kern w:val="2"/>
          <w:sz w:val="32"/>
          <w:szCs w:val="32"/>
          <w:highlight w:val="none"/>
          <w:lang w:val="en-US" w:eastAsia="zh-CN"/>
        </w:rPr>
      </w:pPr>
      <w:r>
        <w:rPr>
          <w:rFonts w:hint="eastAsia"/>
          <w:b/>
          <w:bCs/>
          <w:lang w:val="en-US" w:eastAsia="zh-CN"/>
        </w:rPr>
        <w:t>部分</w:t>
      </w:r>
      <w:r>
        <w:rPr>
          <w:rFonts w:hint="eastAsia"/>
          <w:b/>
          <w:bCs/>
        </w:rPr>
        <w:t>项目可持续运营能力不足，长期效益</w:t>
      </w:r>
      <w:r>
        <w:rPr>
          <w:rFonts w:hint="eastAsia"/>
          <w:b/>
          <w:bCs/>
          <w:lang w:val="en-US" w:eastAsia="zh-CN"/>
        </w:rPr>
        <w:t>难</w:t>
      </w:r>
      <w:r>
        <w:rPr>
          <w:rFonts w:hint="eastAsia"/>
          <w:b/>
          <w:bCs/>
        </w:rPr>
        <w:t>达预期</w:t>
      </w:r>
    </w:p>
    <w:p w14:paraId="6A962A11">
      <w:pPr>
        <w:keepNext w:val="0"/>
        <w:keepLines w:val="0"/>
        <w:pageBreakBefore w:val="0"/>
        <w:widowControl w:val="0"/>
        <w:kinsoku/>
        <w:wordWrap/>
        <w:topLinePunct w:val="0"/>
        <w:autoSpaceDE/>
        <w:autoSpaceDN/>
        <w:bidi w:val="0"/>
        <w:adjustRightInd w:val="0"/>
        <w:snapToGrid/>
        <w:spacing w:line="560" w:lineRule="exact"/>
        <w:ind w:left="0" w:firstLine="640" w:firstLineChars="200"/>
        <w:contextualSpacing/>
        <w:jc w:val="both"/>
        <w:textAlignment w:val="auto"/>
        <w:outlineLvl w:val="9"/>
        <w:rPr>
          <w:rFonts w:hint="eastAsia" w:ascii="Times New Roman" w:hAnsi="Times New Roman" w:cs="Times New Roman"/>
          <w:kern w:val="2"/>
          <w:sz w:val="32"/>
          <w:szCs w:val="32"/>
          <w:highlight w:val="none"/>
          <w:lang w:val="en-US" w:eastAsia="zh-CN"/>
        </w:rPr>
      </w:pPr>
      <w:r>
        <w:rPr>
          <w:rFonts w:hint="eastAsia" w:ascii="Times New Roman" w:hAnsi="Times New Roman" w:cs="Times New Roman"/>
          <w:kern w:val="2"/>
          <w:sz w:val="32"/>
          <w:szCs w:val="32"/>
          <w:highlight w:val="none"/>
          <w:lang w:val="en-US" w:eastAsia="zh-CN"/>
        </w:rPr>
        <w:t>一是专业运维保障体系缺失，资产使用效率偏低。如通道县文旅基础设施灾后重建项目，项目建成后专业设备运维技术力量不足，未同步开展运维团队建设与技术培训，同时未针对文旅项目淡旺季差异制定运营应对策略，淡季设备利用率偏低。</w:t>
      </w:r>
    </w:p>
    <w:p w14:paraId="058BE1E9">
      <w:pPr>
        <w:keepNext w:val="0"/>
        <w:keepLines w:val="0"/>
        <w:pageBreakBefore w:val="0"/>
        <w:widowControl w:val="0"/>
        <w:kinsoku/>
        <w:wordWrap/>
        <w:topLinePunct w:val="0"/>
        <w:autoSpaceDE/>
        <w:autoSpaceDN/>
        <w:bidi w:val="0"/>
        <w:adjustRightInd w:val="0"/>
        <w:snapToGrid/>
        <w:spacing w:line="560" w:lineRule="exact"/>
        <w:ind w:left="0" w:firstLine="640" w:firstLineChars="200"/>
        <w:contextualSpacing/>
        <w:jc w:val="both"/>
        <w:textAlignment w:val="auto"/>
        <w:outlineLvl w:val="9"/>
        <w:rPr>
          <w:rFonts w:hint="eastAsia" w:ascii="Times New Roman" w:hAnsi="Times New Roman" w:cs="Times New Roman"/>
          <w:kern w:val="2"/>
          <w:sz w:val="32"/>
          <w:szCs w:val="32"/>
          <w:highlight w:val="none"/>
          <w:lang w:val="en-US" w:eastAsia="zh-CN"/>
        </w:rPr>
      </w:pPr>
      <w:r>
        <w:rPr>
          <w:rFonts w:hint="eastAsia" w:ascii="Times New Roman" w:hAnsi="Times New Roman" w:cs="Times New Roman"/>
          <w:kern w:val="2"/>
          <w:sz w:val="32"/>
          <w:szCs w:val="32"/>
          <w:highlight w:val="none"/>
          <w:lang w:val="en-US" w:eastAsia="zh-CN"/>
        </w:rPr>
        <w:t>二是市场化长效运营机制不健全，长期发展动力不足。如第四届湖南旅游发展大会项目，虽取得阶段性建设进展，但未建立成熟的市场化、可持续运营模式，项目建设与后续运营脱节，招大引强工作推进不足，缺乏专业的市场化运营主体与稳定的盈利模式，导致洞庭湖夜游等亮点项目常态化运营存在困难。</w:t>
      </w:r>
    </w:p>
    <w:p w14:paraId="6E828E90">
      <w:pPr>
        <w:keepNext w:val="0"/>
        <w:keepLines w:val="0"/>
        <w:pageBreakBefore w:val="0"/>
        <w:widowControl w:val="0"/>
        <w:kinsoku/>
        <w:wordWrap/>
        <w:topLinePunct w:val="0"/>
        <w:autoSpaceDE/>
        <w:autoSpaceDN/>
        <w:bidi w:val="0"/>
        <w:adjustRightInd w:val="0"/>
        <w:snapToGrid/>
        <w:spacing w:line="560" w:lineRule="exact"/>
        <w:ind w:left="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eastAsia" w:ascii="Times New Roman" w:hAnsi="Times New Roman" w:cs="Times New Roman"/>
          <w:kern w:val="2"/>
          <w:sz w:val="32"/>
          <w:szCs w:val="32"/>
          <w:highlight w:val="none"/>
          <w:lang w:val="en-US" w:eastAsia="zh-CN"/>
        </w:rPr>
        <w:t>三是区域资源统筹协同不足，发展合力未形成。部分重大文旅项目未建立全市“一盘棋”的统筹发展机制，各片区文旅资源联动、精品线路整合不到位，区域协同发展水平不足，未能形成规模化、品牌化的文旅发展优势，项目整体带动效益</w:t>
      </w:r>
      <w:r>
        <w:rPr>
          <w:rFonts w:hint="eastAsia" w:cs="Times New Roman"/>
          <w:kern w:val="2"/>
          <w:sz w:val="32"/>
          <w:szCs w:val="32"/>
          <w:highlight w:val="none"/>
          <w:lang w:val="en-US" w:eastAsia="zh-CN"/>
        </w:rPr>
        <w:t>未能</w:t>
      </w:r>
      <w:r>
        <w:rPr>
          <w:rFonts w:hint="eastAsia" w:ascii="Times New Roman" w:hAnsi="Times New Roman" w:cs="Times New Roman"/>
          <w:kern w:val="2"/>
          <w:sz w:val="32"/>
          <w:szCs w:val="32"/>
          <w:highlight w:val="none"/>
          <w:lang w:val="en-US" w:eastAsia="zh-CN"/>
        </w:rPr>
        <w:t>充分发挥。</w:t>
      </w:r>
    </w:p>
    <w:bookmarkEnd w:id="141"/>
    <w:p w14:paraId="6A1F89D3">
      <w:pPr>
        <w:pStyle w:val="3"/>
        <w:keepNext w:val="0"/>
        <w:keepLines w:val="0"/>
        <w:pageBreakBefore w:val="0"/>
        <w:widowControl w:val="0"/>
        <w:numPr>
          <w:ilvl w:val="0"/>
          <w:numId w:val="1"/>
        </w:numPr>
        <w:kinsoku/>
        <w:wordWrap/>
        <w:overflowPunct/>
        <w:topLinePunct w:val="0"/>
        <w:autoSpaceDE/>
        <w:autoSpaceDN/>
        <w:bidi w:val="0"/>
        <w:adjustRightInd/>
        <w:snapToGrid/>
        <w:spacing w:before="0" w:beforeAutospacing="0" w:line="560" w:lineRule="exact"/>
        <w:ind w:left="0" w:leftChars="0" w:firstLine="640" w:firstLineChars="200"/>
        <w:textAlignment w:val="auto"/>
        <w:rPr>
          <w:rFonts w:hint="default" w:ascii="Times New Roman" w:hAnsi="Times New Roman" w:cs="Times New Roman"/>
          <w:lang w:val="en-US" w:eastAsia="zh-CN"/>
        </w:rPr>
      </w:pPr>
      <w:bookmarkStart w:id="150" w:name="_Toc21514"/>
      <w:bookmarkStart w:id="151" w:name="_Toc11131"/>
      <w:r>
        <w:rPr>
          <w:rFonts w:hint="eastAsia" w:ascii="Times New Roman" w:hAnsi="Times New Roman" w:cs="Times New Roman"/>
          <w:lang w:val="en-US" w:eastAsia="zh-CN"/>
        </w:rPr>
        <w:t>改进建议</w:t>
      </w:r>
      <w:bookmarkEnd w:id="150"/>
      <w:bookmarkEnd w:id="151"/>
    </w:p>
    <w:p w14:paraId="60533189">
      <w:pPr>
        <w:keepNext w:val="0"/>
        <w:keepLines w:val="0"/>
        <w:pageBreakBefore w:val="0"/>
        <w:widowControl w:val="0"/>
        <w:kinsoku/>
        <w:wordWrap/>
        <w:topLinePunct w:val="0"/>
        <w:autoSpaceDE/>
        <w:autoSpaceDN/>
        <w:bidi w:val="0"/>
        <w:adjustRightInd w:val="0"/>
        <w:snapToGrid/>
        <w:spacing w:line="560" w:lineRule="exact"/>
        <w:ind w:left="0" w:firstLine="640" w:firstLineChars="200"/>
        <w:contextualSpacing/>
        <w:textAlignment w:val="auto"/>
        <w:outlineLvl w:val="9"/>
        <w:rPr>
          <w:rFonts w:hint="default" w:ascii="Times New Roman" w:hAnsi="Times New Roman" w:cs="Times New Roman"/>
          <w:kern w:val="2"/>
          <w:sz w:val="32"/>
          <w:szCs w:val="32"/>
          <w:highlight w:val="none"/>
          <w:lang w:val="en-US" w:eastAsia="zh-CN"/>
        </w:rPr>
      </w:pPr>
      <w:bookmarkStart w:id="152" w:name="_Toc12087"/>
      <w:bookmarkStart w:id="153" w:name="_Toc23966"/>
      <w:bookmarkStart w:id="154" w:name="_Toc7102"/>
      <w:bookmarkStart w:id="155" w:name="_Toc29481"/>
      <w:bookmarkStart w:id="156" w:name="_Toc24659"/>
      <w:bookmarkStart w:id="157" w:name="_Toc14983"/>
      <w:bookmarkStart w:id="158" w:name="_Toc1529"/>
      <w:bookmarkStart w:id="159" w:name="_Toc2963"/>
      <w:bookmarkStart w:id="160" w:name="_Toc3194"/>
      <w:bookmarkStart w:id="161" w:name="_Toc10923"/>
      <w:bookmarkStart w:id="162" w:name="_Toc72927793"/>
      <w:bookmarkStart w:id="163" w:name="_Toc24011"/>
      <w:bookmarkStart w:id="164" w:name="_Toc18653"/>
      <w:bookmarkStart w:id="165" w:name="_Toc25604"/>
      <w:r>
        <w:rPr>
          <w:rFonts w:hint="default" w:ascii="Times New Roman" w:hAnsi="Times New Roman" w:cs="Times New Roman"/>
          <w:kern w:val="2"/>
          <w:sz w:val="32"/>
          <w:szCs w:val="32"/>
          <w:highlight w:val="none"/>
          <w:lang w:val="en-US" w:eastAsia="zh-CN"/>
        </w:rPr>
        <w:t>针对上述绩效评价发现的问题，结合文化旅游发展专项资金管理要求与项目实施特点，提出以下针对性改进建议：</w:t>
      </w:r>
    </w:p>
    <w:p w14:paraId="4A775255">
      <w:pPr>
        <w:pStyle w:val="4"/>
        <w:keepNext w:val="0"/>
        <w:keepLines w:val="0"/>
        <w:pageBreakBefore w:val="0"/>
        <w:widowControl w:val="0"/>
        <w:numPr>
          <w:ilvl w:val="0"/>
          <w:numId w:val="14"/>
        </w:numPr>
        <w:kinsoku/>
        <w:wordWrap/>
        <w:topLinePunct w:val="0"/>
        <w:autoSpaceDE w:val="0"/>
        <w:autoSpaceDN/>
        <w:bidi w:val="0"/>
        <w:adjustRightInd w:val="0"/>
        <w:snapToGrid/>
        <w:spacing w:line="560" w:lineRule="exact"/>
        <w:ind w:left="0" w:leftChars="0" w:firstLine="420" w:firstLineChars="0"/>
        <w:textAlignment w:val="auto"/>
        <w:rPr>
          <w:rFonts w:hint="default" w:ascii="Times New Roman" w:hAnsi="Times New Roman" w:eastAsia="楷体_GB2312" w:cs="Times New Roman"/>
          <w:b/>
          <w:bCs/>
          <w:kern w:val="2"/>
          <w:sz w:val="32"/>
          <w:szCs w:val="32"/>
          <w:lang w:val="en-US" w:eastAsia="zh-CN"/>
        </w:rPr>
      </w:pPr>
      <w:bookmarkStart w:id="166" w:name="_Toc6912"/>
      <w:bookmarkStart w:id="167" w:name="_Toc30553"/>
      <w:r>
        <w:rPr>
          <w:rFonts w:hint="default" w:ascii="Times New Roman" w:hAnsi="Times New Roman" w:eastAsia="楷体_GB2312" w:cs="Times New Roman"/>
          <w:b/>
          <w:bCs/>
          <w:kern w:val="2"/>
          <w:sz w:val="32"/>
          <w:szCs w:val="32"/>
          <w:lang w:val="en-US" w:eastAsia="zh-CN"/>
        </w:rPr>
        <w:t>优化资金下达机制，提升资金拨付效率与保障能力</w:t>
      </w:r>
      <w:bookmarkEnd w:id="166"/>
      <w:bookmarkEnd w:id="167"/>
    </w:p>
    <w:p w14:paraId="0B450253">
      <w:pPr>
        <w:keepNext w:val="0"/>
        <w:keepLines w:val="0"/>
        <w:pageBreakBefore w:val="0"/>
        <w:widowControl w:val="0"/>
        <w:numPr>
          <w:ilvl w:val="0"/>
          <w:numId w:val="15"/>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压实资金拨付主体责任，明确下达时限要求。省级财政与文旅主管部门应联合明确专项资金下达的全流程时限要求，压实市县财政部门的资金拨付主体责任，要求市县财政在收到上级资金指标后，在规定时限内完成资金分解、下达至项目实施单位，杜绝资金滞留在财政环节，全面提升资金到位率。</w:t>
      </w:r>
    </w:p>
    <w:p w14:paraId="20DAB406">
      <w:pPr>
        <w:keepNext w:val="0"/>
        <w:keepLines w:val="0"/>
        <w:pageBreakBefore w:val="0"/>
        <w:widowControl w:val="0"/>
        <w:numPr>
          <w:ilvl w:val="0"/>
          <w:numId w:val="15"/>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优化资金下达节点，匹配项目实施周期。针对文旅项目创作、建设、落地的周期特点，合理调整专项资金申报、评审、下达的时间节点，避免资金在年底集中下达，为项目单位预留充足的资金执行、项目落地时间，从源头解决因资金下达晚导致的执行率低、进度滞后问题。</w:t>
      </w:r>
    </w:p>
    <w:p w14:paraId="07CAE0DB">
      <w:pPr>
        <w:keepNext w:val="0"/>
        <w:keepLines w:val="0"/>
        <w:pageBreakBefore w:val="0"/>
        <w:widowControl w:val="0"/>
        <w:numPr>
          <w:ilvl w:val="0"/>
          <w:numId w:val="15"/>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建立资金下达跟踪机制，强化动态监管。依托财政预算管理一体化系统，建立专项资金下达全流程跟踪机制，对资金分解、拨付、到账全环节进行动态监控，对未按时限下达资金的地区进行预警、通报，确保资金及时直达项目端。</w:t>
      </w:r>
    </w:p>
    <w:p w14:paraId="45C193B6">
      <w:pPr>
        <w:pStyle w:val="4"/>
        <w:keepNext w:val="0"/>
        <w:keepLines w:val="0"/>
        <w:pageBreakBefore w:val="0"/>
        <w:widowControl w:val="0"/>
        <w:numPr>
          <w:ilvl w:val="0"/>
          <w:numId w:val="14"/>
        </w:numPr>
        <w:kinsoku/>
        <w:wordWrap/>
        <w:topLinePunct w:val="0"/>
        <w:autoSpaceDE w:val="0"/>
        <w:autoSpaceDN/>
        <w:bidi w:val="0"/>
        <w:adjustRightInd w:val="0"/>
        <w:snapToGrid/>
        <w:spacing w:line="560" w:lineRule="exact"/>
        <w:ind w:left="0" w:leftChars="0" w:firstLine="420" w:firstLineChars="0"/>
        <w:textAlignment w:val="auto"/>
        <w:rPr>
          <w:rFonts w:hint="default" w:ascii="Times New Roman" w:hAnsi="Times New Roman" w:eastAsia="楷体_GB2312" w:cs="Times New Roman"/>
          <w:b/>
          <w:bCs/>
          <w:kern w:val="2"/>
          <w:sz w:val="32"/>
          <w:szCs w:val="32"/>
          <w:lang w:val="en-US" w:eastAsia="zh-CN"/>
        </w:rPr>
      </w:pPr>
      <w:bookmarkStart w:id="168" w:name="_Toc13467"/>
      <w:bookmarkStart w:id="169" w:name="_Toc20140"/>
      <w:r>
        <w:rPr>
          <w:rFonts w:hint="default" w:ascii="Times New Roman" w:hAnsi="Times New Roman" w:eastAsia="楷体_GB2312" w:cs="Times New Roman"/>
          <w:b/>
          <w:bCs/>
          <w:kern w:val="2"/>
          <w:sz w:val="32"/>
          <w:szCs w:val="32"/>
          <w:lang w:val="en-US" w:eastAsia="zh-CN"/>
        </w:rPr>
        <w:t>规范资金使用全流程管理，提升合规性与使用效率</w:t>
      </w:r>
      <w:bookmarkEnd w:id="168"/>
      <w:bookmarkEnd w:id="169"/>
    </w:p>
    <w:p w14:paraId="0FCEC0D9">
      <w:pPr>
        <w:keepNext w:val="0"/>
        <w:keepLines w:val="0"/>
        <w:pageBreakBefore w:val="0"/>
        <w:widowControl w:val="0"/>
        <w:numPr>
          <w:ilvl w:val="0"/>
          <w:numId w:val="16"/>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强化专款专用管理，筑牢资金使用红线。各级文旅主管部门、财政部门应联合开展专项资金使用合规性培训，明确专项资金的使用范围、禁止性要求，督促项目单位严格遵守专款专用原则，严禁将专项资金用于行政运行经费、项目间混用等违规行为；对违规使用资金的项目单位，依法依规进行追责、整改，并与后续项目申报、资金分配挂钩。</w:t>
      </w:r>
    </w:p>
    <w:p w14:paraId="40DFD83E">
      <w:pPr>
        <w:keepNext w:val="0"/>
        <w:keepLines w:val="0"/>
        <w:pageBreakBefore w:val="0"/>
        <w:widowControl w:val="0"/>
        <w:numPr>
          <w:ilvl w:val="0"/>
          <w:numId w:val="16"/>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规范资金台账管理，实现全流程可追溯。统一制定专项资金台账管理规范，要求所有项目单位必须建立专项资金明细账、专门台账，完整登记资金到账、拨付、使用、结余的全流程信息，同步留存完整的资金支付凭证、合同、验收资料等支撑材料，确保资金流向全程可追溯、可核查。</w:t>
      </w:r>
    </w:p>
    <w:p w14:paraId="51B6035E">
      <w:pPr>
        <w:keepNext w:val="0"/>
        <w:keepLines w:val="0"/>
        <w:pageBreakBefore w:val="0"/>
        <w:widowControl w:val="0"/>
        <w:numPr>
          <w:ilvl w:val="0"/>
          <w:numId w:val="16"/>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建立预算执行动态监控机制，提升资金执行率。各级财政、文旅部门应建立专项资金预算执行动态监控体系，按月度跟踪项目资金执行进度，对执行率偏低的项目进行预警、约谈，督促项目单位加快项目实施、资金支付进度；对长期无进展、资金无法执行的项目，按规定及时收回、调整资金，避免资金沉淀，全面提升资金使用效率。</w:t>
      </w:r>
    </w:p>
    <w:p w14:paraId="245174C6">
      <w:pPr>
        <w:pStyle w:val="4"/>
        <w:keepNext w:val="0"/>
        <w:keepLines w:val="0"/>
        <w:pageBreakBefore w:val="0"/>
        <w:widowControl w:val="0"/>
        <w:numPr>
          <w:ilvl w:val="0"/>
          <w:numId w:val="14"/>
        </w:numPr>
        <w:kinsoku/>
        <w:wordWrap/>
        <w:topLinePunct w:val="0"/>
        <w:autoSpaceDE w:val="0"/>
        <w:autoSpaceDN/>
        <w:bidi w:val="0"/>
        <w:adjustRightInd w:val="0"/>
        <w:snapToGrid/>
        <w:spacing w:line="560" w:lineRule="exact"/>
        <w:ind w:left="0" w:leftChars="0" w:firstLine="420" w:firstLineChars="0"/>
        <w:textAlignment w:val="auto"/>
        <w:rPr>
          <w:rFonts w:hint="default" w:ascii="Times New Roman" w:hAnsi="Times New Roman" w:eastAsia="楷体_GB2312" w:cs="Times New Roman"/>
          <w:b/>
          <w:bCs/>
          <w:kern w:val="2"/>
          <w:sz w:val="32"/>
          <w:szCs w:val="32"/>
          <w:lang w:val="en-US" w:eastAsia="zh-CN"/>
        </w:rPr>
      </w:pPr>
      <w:bookmarkStart w:id="170" w:name="_Toc24691"/>
      <w:bookmarkStart w:id="171" w:name="_Toc27693"/>
      <w:r>
        <w:rPr>
          <w:rFonts w:hint="default" w:ascii="Times New Roman" w:hAnsi="Times New Roman" w:eastAsia="楷体_GB2312" w:cs="Times New Roman"/>
          <w:b/>
          <w:bCs/>
          <w:kern w:val="2"/>
          <w:sz w:val="32"/>
          <w:szCs w:val="32"/>
          <w:lang w:val="en-US" w:eastAsia="zh-CN"/>
        </w:rPr>
        <w:t>健全项目全流程管理制度，规范采购与实施管理</w:t>
      </w:r>
      <w:bookmarkEnd w:id="170"/>
      <w:bookmarkEnd w:id="171"/>
    </w:p>
    <w:p w14:paraId="547AF6AD">
      <w:pPr>
        <w:keepNext w:val="0"/>
        <w:keepLines w:val="0"/>
        <w:pageBreakBefore w:val="0"/>
        <w:widowControl w:val="0"/>
        <w:numPr>
          <w:ilvl w:val="0"/>
          <w:numId w:val="17"/>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完善项目管理制度体系，明确管理规范。省级文旅主管部门应牵头制定文化旅游发展专项资金项目管理办法，明确项目申报、评审、实施、采购、验收、归档全流程的管理要求与操作规范，指导市县、项目单位建立健全项目内控制度，实现项目管理有章可循、有规可依。</w:t>
      </w:r>
    </w:p>
    <w:p w14:paraId="66A5B003">
      <w:pPr>
        <w:keepNext w:val="0"/>
        <w:keepLines w:val="0"/>
        <w:pageBreakBefore w:val="0"/>
        <w:widowControl w:val="0"/>
        <w:numPr>
          <w:ilvl w:val="0"/>
          <w:numId w:val="17"/>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严格规范采购流程，杜绝采购管理漏洞。督促项目单位严格遵守</w:t>
      </w:r>
      <w:r>
        <w:rPr>
          <w:rFonts w:hint="eastAsia" w:cs="Times New Roman"/>
          <w:kern w:val="2"/>
          <w:sz w:val="32"/>
          <w:szCs w:val="32"/>
          <w:highlight w:val="none"/>
          <w:lang w:val="en-US" w:eastAsia="zh-CN"/>
        </w:rPr>
        <w:t>《中华人民共和国政府采购法》</w:t>
      </w:r>
      <w:r>
        <w:rPr>
          <w:rFonts w:hint="default" w:ascii="Times New Roman" w:hAnsi="Times New Roman" w:cs="Times New Roman"/>
          <w:kern w:val="2"/>
          <w:sz w:val="32"/>
          <w:szCs w:val="32"/>
          <w:highlight w:val="none"/>
          <w:lang w:val="en-US" w:eastAsia="zh-CN"/>
        </w:rPr>
        <w:t>及相关规定，根据项目性质、金额规范选择采购方式，严禁规避招标、直接指定供应商等违规行为；严格执行单一来源采购、询价采购的审批、公示流程，确保采购流程公开、公平、公正；规范采购合同签订，明确服务内容、金额、验收标准、违约责任等核心条款，强化合同约束力。</w:t>
      </w:r>
    </w:p>
    <w:p w14:paraId="26D2E6D2">
      <w:pPr>
        <w:keepNext w:val="0"/>
        <w:keepLines w:val="0"/>
        <w:pageBreakBefore w:val="0"/>
        <w:widowControl w:val="0"/>
        <w:numPr>
          <w:ilvl w:val="0"/>
          <w:numId w:val="17"/>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强化项目过程管理，完善资料归档机制。督促项目单位建立项目实施全流程资料管理制度，对项目申报、审批、采购、合同、施工、验收、资金支付等全环节的资料进行完整收集、规范归档，确保项目实施全程留痕、闭环管理；各级文旅主管部门应定期开展项目资料归档情况检查，对资料不齐全、管理不规范的项目，督促</w:t>
      </w:r>
      <w:r>
        <w:rPr>
          <w:rFonts w:hint="eastAsia" w:cs="Times New Roman"/>
          <w:kern w:val="2"/>
          <w:sz w:val="32"/>
          <w:szCs w:val="32"/>
          <w:highlight w:val="none"/>
          <w:lang w:val="en-US" w:eastAsia="zh-CN"/>
        </w:rPr>
        <w:t>限期整改，对整改不</w:t>
      </w:r>
      <w:r>
        <w:rPr>
          <w:rFonts w:hint="default" w:ascii="Times New Roman" w:hAnsi="Times New Roman" w:cs="Times New Roman"/>
          <w:kern w:val="2"/>
          <w:sz w:val="32"/>
          <w:szCs w:val="32"/>
          <w:highlight w:val="none"/>
          <w:lang w:val="en-US" w:eastAsia="zh-CN"/>
        </w:rPr>
        <w:t>到位的暂停后续资金拨付。</w:t>
      </w:r>
    </w:p>
    <w:p w14:paraId="7EC07811">
      <w:pPr>
        <w:keepNext w:val="0"/>
        <w:keepLines w:val="0"/>
        <w:pageBreakBefore w:val="0"/>
        <w:widowControl w:val="0"/>
        <w:numPr>
          <w:ilvl w:val="0"/>
          <w:numId w:val="17"/>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规范项目承包管理，严控合规风险。明确文旅项目承接主体的资质要求，严禁项目由个人直接承包施工，所有项目必须由具备对应资质、合规经营的市场主体承接；对已存在个人承包的项目，督促限期整改，完善相关手续，同步开展工程质量、安全生产、资金使用情况的专项核查，消除各类风险隐患。</w:t>
      </w:r>
    </w:p>
    <w:p w14:paraId="472BBE26">
      <w:pPr>
        <w:pStyle w:val="4"/>
        <w:keepNext w:val="0"/>
        <w:keepLines w:val="0"/>
        <w:pageBreakBefore w:val="0"/>
        <w:widowControl w:val="0"/>
        <w:numPr>
          <w:ilvl w:val="0"/>
          <w:numId w:val="14"/>
        </w:numPr>
        <w:kinsoku/>
        <w:wordWrap/>
        <w:topLinePunct w:val="0"/>
        <w:autoSpaceDE w:val="0"/>
        <w:autoSpaceDN/>
        <w:bidi w:val="0"/>
        <w:adjustRightInd w:val="0"/>
        <w:snapToGrid/>
        <w:spacing w:line="560" w:lineRule="exact"/>
        <w:ind w:left="0" w:leftChars="0" w:firstLine="420" w:firstLineChars="0"/>
        <w:textAlignment w:val="auto"/>
        <w:rPr>
          <w:rFonts w:hint="default" w:ascii="Times New Roman" w:hAnsi="Times New Roman" w:eastAsia="楷体_GB2312" w:cs="Times New Roman"/>
          <w:b/>
          <w:bCs/>
          <w:kern w:val="2"/>
          <w:sz w:val="32"/>
          <w:szCs w:val="32"/>
          <w:lang w:val="en-US" w:eastAsia="zh-CN"/>
        </w:rPr>
      </w:pPr>
      <w:bookmarkStart w:id="172" w:name="_Toc13200"/>
      <w:bookmarkStart w:id="173" w:name="_Toc8070"/>
      <w:r>
        <w:rPr>
          <w:rFonts w:hint="default" w:ascii="Times New Roman" w:hAnsi="Times New Roman" w:eastAsia="楷体_GB2312" w:cs="Times New Roman"/>
          <w:b/>
          <w:bCs/>
          <w:kern w:val="2"/>
          <w:sz w:val="32"/>
          <w:szCs w:val="32"/>
          <w:lang w:val="en-US" w:eastAsia="zh-CN"/>
        </w:rPr>
        <w:t>强化绩效目标管理，推动项目绩效有效落地</w:t>
      </w:r>
      <w:bookmarkEnd w:id="172"/>
      <w:bookmarkEnd w:id="173"/>
    </w:p>
    <w:p w14:paraId="018288AE">
      <w:pPr>
        <w:keepNext w:val="0"/>
        <w:keepLines w:val="0"/>
        <w:pageBreakBefore w:val="0"/>
        <w:widowControl w:val="0"/>
        <w:numPr>
          <w:ilvl w:val="0"/>
          <w:numId w:val="18"/>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提升绩效目标编制质量，强化源头管控。在项目申报环节，建立绩效目标审核机制，指导项目单位科学、合理设置绩效目标，从数量、质量、时效、效益等维度细化可衡量、可考核的绩效指标，确保绩效目标与项目实施内容、资金规模、实施周期高度匹配，杜绝绩效目标虚化、泛化、不合理的问题；对绩效目标编制不符合要求的项目，不予受理、不予安排资金。</w:t>
      </w:r>
    </w:p>
    <w:p w14:paraId="5C8A51EB">
      <w:pPr>
        <w:keepNext w:val="0"/>
        <w:keepLines w:val="0"/>
        <w:pageBreakBefore w:val="0"/>
        <w:widowControl w:val="0"/>
        <w:numPr>
          <w:ilvl w:val="0"/>
          <w:numId w:val="18"/>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强化项目进度管控，推动绩效目标按期达成。建立项目实施进度跟踪机制，各级文旅主管部门按季度对项目实施进度进行跟踪调度，对进度滞后的项目，及时预警、督促项目单位制定整改方案，倒排工期、加快推进；对因客观原因确实无法按期完成的项目，按规定及时办理项目调整、延期手续，确保项目绩效目标可落地、可考核。</w:t>
      </w:r>
    </w:p>
    <w:p w14:paraId="09E82A1A">
      <w:pPr>
        <w:keepNext w:val="0"/>
        <w:keepLines w:val="0"/>
        <w:pageBreakBefore w:val="0"/>
        <w:widowControl w:val="0"/>
        <w:numPr>
          <w:ilvl w:val="0"/>
          <w:numId w:val="18"/>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lang w:val="en-US" w:eastAsia="zh-CN" w:bidi="ar"/>
        </w:rPr>
      </w:pPr>
      <w:r>
        <w:rPr>
          <w:rFonts w:hint="default" w:ascii="Times New Roman" w:hAnsi="Times New Roman" w:cs="Times New Roman"/>
          <w:kern w:val="2"/>
          <w:sz w:val="32"/>
          <w:szCs w:val="32"/>
          <w:highlight w:val="none"/>
          <w:lang w:val="en-US" w:eastAsia="zh-CN"/>
        </w:rPr>
        <w:t>强化绩效评价结果应用，建立长效约束机制。将本次绩效评价结果、后续年度绩效评价结果与专项资金分配、项目申报资格直接挂钩，对绩效评价结果优秀的地区、项目单位，在后续资金分配中予以倾斜；对绩效评价结果较差、问题整改不到位的地区、项目单位，核减或取消后续专项资金申报资格，倒逼各单位切实提升项目管理水平、资金使用效益，确保文化旅游发展专项资金真正发挥政策效益，推动文旅产业高质量发展。</w:t>
      </w:r>
    </w:p>
    <w:p w14:paraId="0F941BAD">
      <w:pPr>
        <w:keepNext w:val="0"/>
        <w:keepLines w:val="0"/>
        <w:pageBreakBefore w:val="0"/>
        <w:widowControl w:val="0"/>
        <w:numPr>
          <w:ilvl w:val="0"/>
          <w:numId w:val="18"/>
        </w:numPr>
        <w:kinsoku/>
        <w:wordWrap/>
        <w:topLinePunct w:val="0"/>
        <w:autoSpaceDE/>
        <w:autoSpaceDN/>
        <w:bidi w:val="0"/>
        <w:adjustRightInd w:val="0"/>
        <w:snapToGrid/>
        <w:spacing w:line="560" w:lineRule="exact"/>
        <w:ind w:left="0" w:leftChars="0" w:firstLine="640" w:firstLineChars="200"/>
        <w:contextualSpacing/>
        <w:jc w:val="both"/>
        <w:textAlignment w:val="auto"/>
        <w:outlineLvl w:val="9"/>
        <w:rPr>
          <w:rFonts w:hint="default" w:ascii="Times New Roman" w:hAnsi="Times New Roman" w:cs="Times New Roman"/>
          <w:kern w:val="2"/>
          <w:sz w:val="32"/>
          <w:szCs w:val="32"/>
          <w:lang w:val="en-US" w:eastAsia="zh-CN" w:bidi="ar"/>
        </w:rPr>
      </w:pPr>
      <w:r>
        <w:rPr>
          <w:rFonts w:hint="default" w:ascii="Times New Roman" w:hAnsi="Times New Roman" w:cs="Times New Roman"/>
          <w:kern w:val="2"/>
          <w:sz w:val="32"/>
          <w:szCs w:val="32"/>
          <w:lang w:val="en-US" w:eastAsia="zh-CN" w:bidi="ar"/>
        </w:rPr>
        <w:t>健全市场化长效运营机制，提升项目长期发展能力。针对重大文旅项目，指导项目单位提前构建 “政府引导、市场运作、社会参与” 的长效运营模式，加大招大引强力度，引入专业的文旅运营主体，打造稳定的盈利模式；推动项目建设与长期品牌培育、市场拓展深度绑定，针对世界级旅游目的地建设目标，制定长期的国际营销、品牌培育计划，持续提升项目的国际影响力与美誉度，充分实现专项资金的长期政策目标。</w:t>
      </w:r>
    </w:p>
    <w:p w14:paraId="312D10B2">
      <w:pPr>
        <w:pageBreakBefore w:val="0"/>
        <w:widowControl w:val="0"/>
        <w:kinsoku/>
        <w:wordWrap/>
        <w:topLinePunct w:val="0"/>
        <w:autoSpaceDE/>
        <w:autoSpaceDN/>
        <w:bidi w:val="0"/>
        <w:adjustRightInd w:val="0"/>
        <w:spacing w:line="560" w:lineRule="exact"/>
        <w:ind w:firstLine="640" w:firstLineChars="200"/>
        <w:contextualSpacing/>
        <w:outlineLvl w:val="9"/>
        <w:rPr>
          <w:rFonts w:hint="default" w:ascii="Times New Roman" w:hAnsi="Times New Roman" w:eastAsia="黑体" w:cs="Times New Roman"/>
          <w:color w:val="0D0D0D"/>
          <w:sz w:val="32"/>
          <w:szCs w:val="32"/>
          <w:highlight w:val="none"/>
        </w:rPr>
      </w:pPr>
    </w:p>
    <w:p w14:paraId="554BF6A0">
      <w:pPr>
        <w:pageBreakBefore w:val="0"/>
        <w:widowControl w:val="0"/>
        <w:kinsoku/>
        <w:wordWrap/>
        <w:topLinePunct w:val="0"/>
        <w:autoSpaceDE/>
        <w:autoSpaceDN/>
        <w:bidi w:val="0"/>
        <w:adjustRightInd w:val="0"/>
        <w:spacing w:line="560" w:lineRule="exact"/>
        <w:ind w:firstLine="640" w:firstLineChars="200"/>
        <w:contextualSpacing/>
        <w:outlineLvl w:val="0"/>
        <w:rPr>
          <w:rFonts w:hint="default" w:ascii="Times New Roman" w:hAnsi="Times New Roman" w:eastAsia="黑体" w:cs="Times New Roman"/>
          <w:color w:val="0D0D0D"/>
          <w:sz w:val="32"/>
          <w:szCs w:val="32"/>
          <w:highlight w:val="none"/>
          <w:lang w:eastAsia="zh-CN"/>
        </w:rPr>
      </w:pPr>
      <w:bookmarkStart w:id="174" w:name="_Toc4654"/>
      <w:bookmarkStart w:id="175" w:name="_Toc11145"/>
      <w:bookmarkStart w:id="176" w:name="_Toc3848"/>
      <w:bookmarkStart w:id="177" w:name="_Toc23056"/>
      <w:bookmarkStart w:id="178" w:name="_Toc24934"/>
      <w:r>
        <w:rPr>
          <w:rFonts w:hint="default" w:ascii="Times New Roman" w:hAnsi="Times New Roman" w:eastAsia="黑体" w:cs="Times New Roman"/>
          <w:color w:val="0D0D0D"/>
          <w:sz w:val="32"/>
          <w:szCs w:val="32"/>
          <w:highlight w:val="none"/>
        </w:rPr>
        <w:t>附</w:t>
      </w:r>
      <w:r>
        <w:rPr>
          <w:rFonts w:hint="default" w:ascii="Times New Roman" w:hAnsi="Times New Roman" w:eastAsia="黑体" w:cs="Times New Roman"/>
          <w:color w:val="0D0D0D"/>
          <w:sz w:val="32"/>
          <w:szCs w:val="32"/>
          <w:highlight w:val="none"/>
          <w:lang w:val="en-US" w:eastAsia="zh-CN"/>
        </w:rPr>
        <w:t>件</w:t>
      </w:r>
      <w:r>
        <w:rPr>
          <w:rFonts w:hint="default" w:ascii="Times New Roman" w:hAnsi="Times New Roman" w:eastAsia="黑体" w:cs="Times New Roman"/>
          <w:color w:val="0D0D0D"/>
          <w:sz w:val="32"/>
          <w:szCs w:val="32"/>
          <w:highlight w:val="none"/>
        </w:rPr>
        <w: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74"/>
      <w:bookmarkEnd w:id="175"/>
      <w:bookmarkEnd w:id="176"/>
      <w:bookmarkEnd w:id="177"/>
      <w:bookmarkEnd w:id="178"/>
    </w:p>
    <w:p w14:paraId="4257C929">
      <w:pPr>
        <w:keepNext w:val="0"/>
        <w:keepLines w:val="0"/>
        <w:pageBreakBefore w:val="0"/>
        <w:widowControl w:val="0"/>
        <w:numPr>
          <w:ilvl w:val="0"/>
          <w:numId w:val="19"/>
        </w:numPr>
        <w:kinsoku/>
        <w:wordWrap/>
        <w:overflowPunct/>
        <w:topLinePunct w:val="0"/>
        <w:autoSpaceDE/>
        <w:autoSpaceDN/>
        <w:bidi w:val="0"/>
        <w:adjustRightInd w:val="0"/>
        <w:snapToGrid/>
        <w:spacing w:line="560" w:lineRule="exact"/>
        <w:ind w:left="0" w:leftChars="0" w:firstLine="1280" w:firstLineChars="4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专项资金绩效基础数据表</w:t>
      </w:r>
    </w:p>
    <w:p w14:paraId="264D4D95">
      <w:pPr>
        <w:keepNext w:val="0"/>
        <w:keepLines w:val="0"/>
        <w:pageBreakBefore w:val="0"/>
        <w:widowControl w:val="0"/>
        <w:numPr>
          <w:ilvl w:val="0"/>
          <w:numId w:val="19"/>
        </w:numPr>
        <w:kinsoku/>
        <w:wordWrap/>
        <w:overflowPunct/>
        <w:topLinePunct w:val="0"/>
        <w:autoSpaceDE/>
        <w:autoSpaceDN/>
        <w:bidi w:val="0"/>
        <w:adjustRightInd w:val="0"/>
        <w:snapToGrid/>
        <w:spacing w:line="560" w:lineRule="exact"/>
        <w:ind w:left="0" w:leftChars="0" w:firstLine="1280" w:firstLineChars="4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专项资金绩效评价指标评分表</w:t>
      </w:r>
    </w:p>
    <w:p w14:paraId="4E32C75A">
      <w:pPr>
        <w:keepNext w:val="0"/>
        <w:keepLines w:val="0"/>
        <w:pageBreakBefore w:val="0"/>
        <w:widowControl w:val="0"/>
        <w:numPr>
          <w:ilvl w:val="0"/>
          <w:numId w:val="19"/>
        </w:numPr>
        <w:kinsoku/>
        <w:wordWrap/>
        <w:overflowPunct/>
        <w:topLinePunct w:val="0"/>
        <w:autoSpaceDE/>
        <w:autoSpaceDN/>
        <w:bidi w:val="0"/>
        <w:adjustRightInd w:val="0"/>
        <w:snapToGrid/>
        <w:spacing w:line="560" w:lineRule="exact"/>
        <w:ind w:left="0" w:leftChars="0" w:firstLine="1280" w:firstLineChars="4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专项资金绩效目标完成情况表</w:t>
      </w:r>
    </w:p>
    <w:p w14:paraId="1EECE8BB">
      <w:pPr>
        <w:keepNext w:val="0"/>
        <w:keepLines w:val="0"/>
        <w:pageBreakBefore w:val="0"/>
        <w:widowControl w:val="0"/>
        <w:numPr>
          <w:ilvl w:val="0"/>
          <w:numId w:val="19"/>
        </w:numPr>
        <w:kinsoku/>
        <w:wordWrap/>
        <w:overflowPunct/>
        <w:topLinePunct w:val="0"/>
        <w:autoSpaceDE/>
        <w:autoSpaceDN/>
        <w:bidi w:val="0"/>
        <w:adjustRightInd w:val="0"/>
        <w:snapToGrid/>
        <w:spacing w:line="560" w:lineRule="exact"/>
        <w:ind w:left="0" w:leftChars="0" w:firstLine="1280" w:firstLineChars="400"/>
        <w:textAlignment w:val="auto"/>
        <w:rPr>
          <w:rFonts w:hint="default" w:ascii="Times New Roman" w:hAnsi="Times New Roman" w:cs="Times New Roman"/>
        </w:rPr>
      </w:pPr>
      <w:r>
        <w:rPr>
          <w:rFonts w:hint="default" w:ascii="Times New Roman" w:hAnsi="Times New Roman" w:cs="Times New Roman"/>
          <w:lang w:val="en-US" w:eastAsia="zh-CN"/>
        </w:rPr>
        <w:t>现场复核评价发现问题清单</w:t>
      </w:r>
      <w:bookmarkEnd w:id="0"/>
    </w:p>
    <w:p w14:paraId="7FB468BC">
      <w:pPr>
        <w:widowControl w:val="0"/>
        <w:numPr>
          <w:ilvl w:val="0"/>
          <w:numId w:val="19"/>
        </w:numPr>
        <w:adjustRightInd w:val="0"/>
        <w:spacing w:line="560" w:lineRule="exact"/>
        <w:ind w:left="0" w:firstLine="1280" w:firstLineChars="400"/>
        <w:rPr>
          <w:rFonts w:hint="default" w:ascii="Times New Roman" w:hAnsi="Times New Roman" w:cs="Times New Roman"/>
        </w:rPr>
        <w:sectPr>
          <w:footerReference r:id="rId8" w:type="default"/>
          <w:pgSz w:w="11905" w:h="16838"/>
          <w:pgMar w:top="1440" w:right="1417" w:bottom="1440" w:left="1417" w:header="850" w:footer="794" w:gutter="0"/>
          <w:pgNumType w:fmt="decimal" w:start="1"/>
          <w:cols w:space="0" w:num="1"/>
          <w:rtlGutter w:val="0"/>
          <w:docGrid w:type="lines" w:linePitch="436" w:charSpace="0"/>
        </w:sectPr>
      </w:pPr>
    </w:p>
    <w:p w14:paraId="40228A4B">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附件1</w:t>
      </w:r>
    </w:p>
    <w:p w14:paraId="18FD3C5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2"/>
          <w:szCs w:val="32"/>
          <w:lang w:val="en-US" w:eastAsia="zh-CN"/>
        </w:rPr>
      </w:pPr>
      <w:bookmarkStart w:id="179" w:name="_Toc24788"/>
      <w:bookmarkStart w:id="180" w:name="_Toc898"/>
      <w:r>
        <w:rPr>
          <w:rFonts w:hint="default" w:ascii="Times New Roman" w:hAnsi="Times New Roman" w:eastAsia="方正小标宋_GBK" w:cs="Times New Roman"/>
          <w:color w:val="000000"/>
          <w:kern w:val="0"/>
          <w:sz w:val="32"/>
          <w:szCs w:val="32"/>
          <w:lang w:val="en-US" w:eastAsia="zh-CN"/>
        </w:rPr>
        <w:t>202</w:t>
      </w:r>
      <w:r>
        <w:rPr>
          <w:rFonts w:hint="eastAsia" w:ascii="Times New Roman" w:hAnsi="Times New Roman" w:eastAsia="方正小标宋_GBK" w:cs="Times New Roman"/>
          <w:color w:val="000000"/>
          <w:kern w:val="0"/>
          <w:sz w:val="32"/>
          <w:szCs w:val="32"/>
          <w:lang w:val="en-US" w:eastAsia="zh-CN"/>
        </w:rPr>
        <w:t>5</w:t>
      </w:r>
      <w:r>
        <w:rPr>
          <w:rFonts w:hint="default" w:ascii="Times New Roman" w:hAnsi="Times New Roman" w:eastAsia="方正小标宋_GBK" w:cs="Times New Roman"/>
          <w:color w:val="000000"/>
          <w:kern w:val="0"/>
          <w:sz w:val="32"/>
          <w:szCs w:val="32"/>
          <w:lang w:val="en-US" w:eastAsia="zh-CN"/>
        </w:rPr>
        <w:t>年度省文化旅游发展专项资金现场评价基础数据表</w:t>
      </w:r>
      <w:bookmarkEnd w:id="179"/>
      <w:bookmarkEnd w:id="180"/>
    </w:p>
    <w:tbl>
      <w:tblPr>
        <w:tblStyle w:val="16"/>
        <w:tblW w:w="1447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16"/>
        <w:gridCol w:w="1019"/>
        <w:gridCol w:w="995"/>
        <w:gridCol w:w="1003"/>
        <w:gridCol w:w="1004"/>
        <w:gridCol w:w="1871"/>
        <w:gridCol w:w="1004"/>
        <w:gridCol w:w="1004"/>
        <w:gridCol w:w="1008"/>
        <w:gridCol w:w="1014"/>
        <w:gridCol w:w="1014"/>
        <w:gridCol w:w="1010"/>
        <w:gridCol w:w="1014"/>
        <w:gridCol w:w="996"/>
      </w:tblGrid>
      <w:tr w14:paraId="6C686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5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600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序号</w:t>
            </w:r>
          </w:p>
        </w:tc>
        <w:tc>
          <w:tcPr>
            <w:tcW w:w="10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736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指标文号</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E39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市州</w:t>
            </w:r>
          </w:p>
        </w:tc>
        <w:tc>
          <w:tcPr>
            <w:tcW w:w="100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40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县市区</w:t>
            </w:r>
          </w:p>
        </w:tc>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8DF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项目单位</w:t>
            </w:r>
          </w:p>
        </w:tc>
        <w:tc>
          <w:tcPr>
            <w:tcW w:w="18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18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项目名称</w:t>
            </w:r>
          </w:p>
        </w:tc>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FF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项目类别</w:t>
            </w:r>
          </w:p>
        </w:tc>
        <w:tc>
          <w:tcPr>
            <w:tcW w:w="10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12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项目小类</w:t>
            </w:r>
          </w:p>
        </w:tc>
        <w:tc>
          <w:tcPr>
            <w:tcW w:w="10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476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金额</w:t>
            </w:r>
          </w:p>
        </w:tc>
        <w:tc>
          <w:tcPr>
            <w:tcW w:w="202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02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Fonts w:hint="eastAsia" w:ascii="仿宋_GB2312" w:hAnsi="Times New Roman" w:eastAsia="仿宋_GB2312" w:cs="仿宋_GB2312"/>
                <w:b w:val="0"/>
                <w:bCs w:val="0"/>
                <w:i w:val="0"/>
                <w:iCs w:val="0"/>
                <w:color w:val="000000"/>
                <w:kern w:val="0"/>
                <w:sz w:val="20"/>
                <w:szCs w:val="20"/>
                <w:u w:val="none"/>
                <w:lang w:val="en-US" w:eastAsia="zh-CN" w:bidi="ar"/>
              </w:rPr>
              <w:t>到位金额</w:t>
            </w:r>
          </w:p>
        </w:tc>
        <w:tc>
          <w:tcPr>
            <w:tcW w:w="202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329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支出情况</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F4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项目阶段性绩效目标是否达成</w:t>
            </w:r>
          </w:p>
        </w:tc>
      </w:tr>
      <w:tr w14:paraId="2398D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blHeader/>
          <w:jc w:val="center"/>
        </w:trPr>
        <w:tc>
          <w:tcPr>
            <w:tcW w:w="5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4F8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2BB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B40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0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12E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785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8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7A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9C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78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68A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4C9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截至</w:t>
            </w:r>
            <w:r>
              <w:rPr>
                <w:rStyle w:val="38"/>
                <w:rFonts w:eastAsia="宋体"/>
                <w:b w:val="0"/>
                <w:bCs w:val="0"/>
                <w:sz w:val="20"/>
                <w:szCs w:val="20"/>
                <w:lang w:val="en-US" w:eastAsia="zh-CN" w:bidi="ar"/>
              </w:rPr>
              <w:t>2025</w:t>
            </w:r>
            <w:r>
              <w:rPr>
                <w:rStyle w:val="37"/>
                <w:rFonts w:hint="default" w:hAnsi="Times New Roman"/>
                <w:b w:val="0"/>
                <w:bCs w:val="0"/>
                <w:sz w:val="20"/>
                <w:szCs w:val="20"/>
                <w:lang w:val="en-US" w:eastAsia="zh-CN" w:bidi="ar"/>
              </w:rPr>
              <w:t>年</w:t>
            </w:r>
            <w:r>
              <w:rPr>
                <w:rStyle w:val="38"/>
                <w:rFonts w:eastAsia="宋体"/>
                <w:b w:val="0"/>
                <w:bCs w:val="0"/>
                <w:sz w:val="20"/>
                <w:szCs w:val="20"/>
                <w:lang w:val="en-US" w:eastAsia="zh-CN" w:bidi="ar"/>
              </w:rPr>
              <w:t>12</w:t>
            </w:r>
            <w:r>
              <w:rPr>
                <w:rStyle w:val="37"/>
                <w:rFonts w:hint="default" w:hAnsi="Times New Roman"/>
                <w:b w:val="0"/>
                <w:bCs w:val="0"/>
                <w:sz w:val="20"/>
                <w:szCs w:val="20"/>
                <w:lang w:val="en-US" w:eastAsia="zh-CN" w:bidi="ar"/>
              </w:rPr>
              <w:t>月</w:t>
            </w:r>
            <w:r>
              <w:rPr>
                <w:rStyle w:val="38"/>
                <w:rFonts w:eastAsia="宋体"/>
                <w:b w:val="0"/>
                <w:bCs w:val="0"/>
                <w:sz w:val="20"/>
                <w:szCs w:val="20"/>
                <w:lang w:val="en-US" w:eastAsia="zh-CN" w:bidi="ar"/>
              </w:rPr>
              <w:t>31</w:t>
            </w:r>
            <w:r>
              <w:rPr>
                <w:rStyle w:val="37"/>
                <w:rFonts w:hint="default" w:hAnsi="Times New Roman"/>
                <w:b w:val="0"/>
                <w:bCs w:val="0"/>
                <w:sz w:val="20"/>
                <w:szCs w:val="20"/>
                <w:lang w:val="en-US" w:eastAsia="zh-CN" w:bidi="ar"/>
              </w:rPr>
              <w:t>日</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40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截至</w:t>
            </w:r>
            <w:r>
              <w:rPr>
                <w:rStyle w:val="38"/>
                <w:rFonts w:eastAsia="宋体"/>
                <w:b w:val="0"/>
                <w:bCs w:val="0"/>
                <w:sz w:val="20"/>
                <w:szCs w:val="20"/>
                <w:lang w:val="en-US" w:eastAsia="zh-CN" w:bidi="ar"/>
              </w:rPr>
              <w:t>2026</w:t>
            </w:r>
            <w:r>
              <w:rPr>
                <w:rStyle w:val="37"/>
                <w:rFonts w:hint="default" w:hAnsi="Times New Roman"/>
                <w:b w:val="0"/>
                <w:bCs w:val="0"/>
                <w:sz w:val="20"/>
                <w:szCs w:val="20"/>
                <w:lang w:val="en-US" w:eastAsia="zh-CN" w:bidi="ar"/>
              </w:rPr>
              <w:t>年</w:t>
            </w:r>
            <w:r>
              <w:rPr>
                <w:rStyle w:val="38"/>
                <w:rFonts w:eastAsia="宋体"/>
                <w:b w:val="0"/>
                <w:bCs w:val="0"/>
                <w:sz w:val="20"/>
                <w:szCs w:val="20"/>
                <w:lang w:val="en-US" w:eastAsia="zh-CN" w:bidi="ar"/>
              </w:rPr>
              <w:t>4</w:t>
            </w:r>
            <w:r>
              <w:rPr>
                <w:rStyle w:val="37"/>
                <w:rFonts w:hint="default" w:hAnsi="Times New Roman"/>
                <w:b w:val="0"/>
                <w:bCs w:val="0"/>
                <w:sz w:val="20"/>
                <w:szCs w:val="20"/>
                <w:lang w:val="en-US" w:eastAsia="zh-CN" w:bidi="ar"/>
              </w:rPr>
              <w:t>月</w:t>
            </w:r>
            <w:r>
              <w:rPr>
                <w:rStyle w:val="38"/>
                <w:rFonts w:eastAsia="宋体"/>
                <w:b w:val="0"/>
                <w:bCs w:val="0"/>
                <w:sz w:val="20"/>
                <w:szCs w:val="20"/>
                <w:lang w:val="en-US" w:eastAsia="zh-CN" w:bidi="ar"/>
              </w:rPr>
              <w:t>30</w:t>
            </w:r>
            <w:r>
              <w:rPr>
                <w:rStyle w:val="37"/>
                <w:rFonts w:hint="default" w:hAnsi="Times New Roman"/>
                <w:b w:val="0"/>
                <w:bCs w:val="0"/>
                <w:sz w:val="20"/>
                <w:szCs w:val="20"/>
                <w:lang w:val="en-US" w:eastAsia="zh-CN" w:bidi="ar"/>
              </w:rPr>
              <w:t>日</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93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截至</w:t>
            </w:r>
            <w:r>
              <w:rPr>
                <w:rStyle w:val="38"/>
                <w:rFonts w:eastAsia="宋体"/>
                <w:b w:val="0"/>
                <w:bCs w:val="0"/>
                <w:sz w:val="20"/>
                <w:szCs w:val="20"/>
                <w:lang w:val="en-US" w:eastAsia="zh-CN" w:bidi="ar"/>
              </w:rPr>
              <w:t>2025</w:t>
            </w:r>
            <w:r>
              <w:rPr>
                <w:rStyle w:val="37"/>
                <w:rFonts w:hint="default" w:hAnsi="Times New Roman"/>
                <w:b w:val="0"/>
                <w:bCs w:val="0"/>
                <w:sz w:val="20"/>
                <w:szCs w:val="20"/>
                <w:lang w:val="en-US" w:eastAsia="zh-CN" w:bidi="ar"/>
              </w:rPr>
              <w:t>年</w:t>
            </w:r>
            <w:r>
              <w:rPr>
                <w:rStyle w:val="38"/>
                <w:rFonts w:eastAsia="宋体"/>
                <w:b w:val="0"/>
                <w:bCs w:val="0"/>
                <w:sz w:val="20"/>
                <w:szCs w:val="20"/>
                <w:lang w:val="en-US" w:eastAsia="zh-CN" w:bidi="ar"/>
              </w:rPr>
              <w:t>12</w:t>
            </w:r>
            <w:r>
              <w:rPr>
                <w:rStyle w:val="37"/>
                <w:rFonts w:hint="default" w:hAnsi="Times New Roman"/>
                <w:b w:val="0"/>
                <w:bCs w:val="0"/>
                <w:sz w:val="20"/>
                <w:szCs w:val="20"/>
                <w:lang w:val="en-US" w:eastAsia="zh-CN" w:bidi="ar"/>
              </w:rPr>
              <w:t>月</w:t>
            </w:r>
            <w:r>
              <w:rPr>
                <w:rStyle w:val="38"/>
                <w:rFonts w:eastAsia="宋体"/>
                <w:b w:val="0"/>
                <w:bCs w:val="0"/>
                <w:sz w:val="20"/>
                <w:szCs w:val="20"/>
                <w:lang w:val="en-US" w:eastAsia="zh-CN" w:bidi="ar"/>
              </w:rPr>
              <w:t>31</w:t>
            </w:r>
            <w:r>
              <w:rPr>
                <w:rStyle w:val="37"/>
                <w:rFonts w:hint="default" w:hAnsi="Times New Roman"/>
                <w:b w:val="0"/>
                <w:bCs w:val="0"/>
                <w:sz w:val="20"/>
                <w:szCs w:val="20"/>
                <w:lang w:val="en-US" w:eastAsia="zh-CN" w:bidi="ar"/>
              </w:rPr>
              <w:t>日</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6D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b w:val="0"/>
                <w:bCs w:val="0"/>
                <w:i w:val="0"/>
                <w:iCs w:val="0"/>
                <w:color w:val="000000"/>
                <w:sz w:val="20"/>
                <w:szCs w:val="20"/>
                <w:u w:val="none"/>
              </w:rPr>
            </w:pPr>
            <w:r>
              <w:rPr>
                <w:rStyle w:val="37"/>
                <w:rFonts w:hint="default" w:hAnsi="Times New Roman"/>
                <w:b w:val="0"/>
                <w:bCs w:val="0"/>
                <w:sz w:val="20"/>
                <w:szCs w:val="20"/>
                <w:lang w:val="en-US" w:eastAsia="zh-CN" w:bidi="ar"/>
              </w:rPr>
              <w:t>截至</w:t>
            </w:r>
            <w:r>
              <w:rPr>
                <w:rStyle w:val="38"/>
                <w:rFonts w:eastAsia="宋体"/>
                <w:b w:val="0"/>
                <w:bCs w:val="0"/>
                <w:sz w:val="20"/>
                <w:szCs w:val="20"/>
                <w:lang w:val="en-US" w:eastAsia="zh-CN" w:bidi="ar"/>
              </w:rPr>
              <w:t>2026</w:t>
            </w:r>
            <w:r>
              <w:rPr>
                <w:rStyle w:val="37"/>
                <w:rFonts w:hint="default" w:hAnsi="Times New Roman"/>
                <w:b w:val="0"/>
                <w:bCs w:val="0"/>
                <w:sz w:val="20"/>
                <w:szCs w:val="20"/>
                <w:lang w:val="en-US" w:eastAsia="zh-CN" w:bidi="ar"/>
              </w:rPr>
              <w:t>年</w:t>
            </w:r>
            <w:r>
              <w:rPr>
                <w:rStyle w:val="38"/>
                <w:rFonts w:eastAsia="宋体"/>
                <w:b w:val="0"/>
                <w:bCs w:val="0"/>
                <w:sz w:val="20"/>
                <w:szCs w:val="20"/>
                <w:lang w:val="en-US" w:eastAsia="zh-CN" w:bidi="ar"/>
              </w:rPr>
              <w:t>4</w:t>
            </w:r>
            <w:r>
              <w:rPr>
                <w:rStyle w:val="37"/>
                <w:rFonts w:hint="default" w:hAnsi="Times New Roman"/>
                <w:b w:val="0"/>
                <w:bCs w:val="0"/>
                <w:sz w:val="20"/>
                <w:szCs w:val="20"/>
                <w:lang w:val="en-US" w:eastAsia="zh-CN" w:bidi="ar"/>
              </w:rPr>
              <w:t>月</w:t>
            </w:r>
            <w:r>
              <w:rPr>
                <w:rStyle w:val="38"/>
                <w:rFonts w:eastAsia="宋体"/>
                <w:b w:val="0"/>
                <w:bCs w:val="0"/>
                <w:sz w:val="20"/>
                <w:szCs w:val="20"/>
                <w:lang w:val="en-US" w:eastAsia="zh-CN" w:bidi="ar"/>
              </w:rPr>
              <w:t>30</w:t>
            </w:r>
            <w:r>
              <w:rPr>
                <w:rStyle w:val="37"/>
                <w:rFonts w:hint="default" w:hAnsi="Times New Roman"/>
                <w:b w:val="0"/>
                <w:bCs w:val="0"/>
                <w:sz w:val="20"/>
                <w:szCs w:val="20"/>
                <w:lang w:val="en-US" w:eastAsia="zh-CN" w:bidi="ar"/>
              </w:rPr>
              <w:t>日</w:t>
            </w: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EA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b/>
                <w:bCs/>
                <w:i w:val="0"/>
                <w:iCs w:val="0"/>
                <w:color w:val="000000"/>
                <w:sz w:val="20"/>
                <w:szCs w:val="20"/>
                <w:u w:val="none"/>
              </w:rPr>
            </w:pPr>
          </w:p>
        </w:tc>
      </w:tr>
      <w:tr w14:paraId="37E68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D4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6A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1B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6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1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长沙市芙蓉区文化旅游广电局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49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湖南光大国际旅行社有限公司：</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引客入湘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奖补</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2B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E37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引客入湘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入境旅游奖补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C4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3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BBA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3A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09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B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CB7F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8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D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FB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C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09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长沙市芙蓉区文化旅游广电局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3C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湖南华天大酒店有限公司：高品质旅游住宿业奖补</w:t>
            </w:r>
            <w:r>
              <w:rPr>
                <w:rStyle w:val="39"/>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2024</w:t>
            </w:r>
            <w:r>
              <w:rPr>
                <w:rStyle w:val="39"/>
                <w:rFonts w:hAnsi="Times New Roman"/>
                <w:sz w:val="20"/>
                <w:szCs w:val="20"/>
                <w:lang w:val="en-US" w:eastAsia="zh-CN" w:bidi="ar"/>
              </w:rPr>
              <w:t>全国星级旅游饭店服务技能竞赛总决赛</w:t>
            </w:r>
            <w:r>
              <w:rPr>
                <w:rStyle w:val="39"/>
                <w:sz w:val="20"/>
                <w:szCs w:val="20"/>
                <w:lang w:val="en-US" w:eastAsia="zh-CN" w:bidi="ar"/>
              </w:rPr>
              <w:t>－</w:t>
            </w:r>
            <w:r>
              <w:rPr>
                <w:rFonts w:hint="eastAsia"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黄丽娜（参赛项目：西餐服务二等奖）</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D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8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163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0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D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9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2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E4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24C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0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BC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7C2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F26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F0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长沙市芙蓉区文化旅游广电局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D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长沙神农酒店管理有限公司神农大酒店：高品质旅游住宿业奖补</w:t>
            </w:r>
            <w:r>
              <w:rPr>
                <w:rStyle w:val="39"/>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2024</w:t>
            </w:r>
            <w:r>
              <w:rPr>
                <w:rStyle w:val="39"/>
                <w:rFonts w:hAnsi="Times New Roman"/>
                <w:sz w:val="20"/>
                <w:szCs w:val="20"/>
                <w:lang w:val="en-US" w:eastAsia="zh-CN" w:bidi="ar"/>
              </w:rPr>
              <w:t>全国星级旅游饭店服务技能竞赛总决赛</w:t>
            </w:r>
            <w:r>
              <w:rPr>
                <w:rStyle w:val="39"/>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邹潇（参赛项目：中餐服务二等奖）</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B62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FB0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A3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E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B9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87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1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EB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B382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9B7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16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2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FE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DC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长沙市开福区文化旅游广电局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139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湖南圣爵菲斯投资有限公司：高品质旅游住宿业奖补</w:t>
            </w:r>
            <w:r>
              <w:rPr>
                <w:rStyle w:val="39"/>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2024</w:t>
            </w:r>
            <w:r>
              <w:rPr>
                <w:rStyle w:val="39"/>
                <w:rFonts w:hAnsi="Times New Roman"/>
                <w:sz w:val="20"/>
                <w:szCs w:val="20"/>
                <w:lang w:val="en-US" w:eastAsia="zh-CN" w:bidi="ar"/>
              </w:rPr>
              <w:t>全国星级旅游饭店服务技能竞赛总决赛</w:t>
            </w:r>
            <w:r>
              <w:rPr>
                <w:rStyle w:val="39"/>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魏海强（参赛项目：客房服务一等奖）</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45C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54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F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BB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F3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18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7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F0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E23C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F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E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79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20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746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长沙市雨花区文化旅游广电局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C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湖南中铁国际旅行社有限公司：</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引客入湘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奖补</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5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4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引客入湘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入境旅游奖补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447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47.27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EDD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5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E7B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29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5E6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4BED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E92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A8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40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DE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6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湖南湘江新区管理委员会宣传工作部</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D4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湖南大汉酒店管理有限公司：高品质旅游住宿业奖补</w:t>
            </w:r>
            <w:r>
              <w:rPr>
                <w:rStyle w:val="39"/>
                <w:sz w:val="20"/>
                <w:szCs w:val="20"/>
                <w:lang w:val="en-US" w:eastAsia="zh-CN" w:bidi="ar"/>
              </w:rPr>
              <w:t>。</w:t>
            </w:r>
            <w:r>
              <w:rPr>
                <w:rStyle w:val="39"/>
                <w:rFonts w:hAnsi="Times New Roman"/>
                <w:sz w:val="20"/>
                <w:szCs w:val="20"/>
                <w:lang w:val="en-US" w:eastAsia="zh-CN" w:bidi="ar"/>
              </w:rPr>
              <w:t>新评定五星级旅游饭店</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9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4F3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C74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FC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143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61E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B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63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5AE7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16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C4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98D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E5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A1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31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湖南围山云起民宿服务有限公司：高品质旅游住宿业奖补</w:t>
            </w:r>
            <w:r>
              <w:rPr>
                <w:rStyle w:val="39"/>
                <w:sz w:val="20"/>
                <w:szCs w:val="20"/>
                <w:lang w:val="en-US" w:eastAsia="zh-CN" w:bidi="ar"/>
              </w:rPr>
              <w:t>。</w:t>
            </w:r>
            <w:r>
              <w:rPr>
                <w:rStyle w:val="39"/>
                <w:rFonts w:hAnsi="Times New Roman"/>
                <w:sz w:val="20"/>
                <w:szCs w:val="20"/>
                <w:lang w:val="en-US" w:eastAsia="zh-CN" w:bidi="ar"/>
              </w:rPr>
              <w:t>新评国家级甲级旅游民宿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25F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B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6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02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8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3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E2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41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63D3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F19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C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B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BD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8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C0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文化和旅游综合统计项目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FD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17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C50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8B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16.30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E53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16.3</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D6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4.536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4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4.536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48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0996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823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0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8F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E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3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6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年第五届全国红色故事讲解员大赛项目补助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8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0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A0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19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45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A5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B6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43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72D8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2"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8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259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3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A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湘江新区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CEC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湘江新区管理委员会宣传工作部</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20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岳麓山青年戏剧季项目补助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F5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3C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4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66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0C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8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83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CC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640B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3F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7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E7F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71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336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长沙县文化旅游广电局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9D6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长沙市长沙县江背镇金洲村：四季村晚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D3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14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4B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6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3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E3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FC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CC19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4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CB6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A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58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57D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3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长沙歌舞剧院：音乐剧《她从长安来》</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4E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B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旅游文化演艺活动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9A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4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85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02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2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78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2A29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57F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3A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FB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6C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FF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长沙市湘剧保护传承中心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B2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湘剧艺术体验新空间</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C2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6EA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A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33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2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59F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21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D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0E0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A8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010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54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D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6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长沙市湘剧保护传承中心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72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湘剧小戏《大雁歌》</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F8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0F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B6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1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74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1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9.37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46B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6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1DA2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58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9C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34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16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2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09A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长沙花鼓戏《新六尺巷》</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27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C1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0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65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BA6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EB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35B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2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83E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0C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3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5D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C8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D7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刘少奇同志纪念馆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B0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大模型赋能刘少奇人物知识图谱创新构建项目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8BF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5A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1FB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1E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7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455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D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4E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485E3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D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7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35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6D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AD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长沙市群众艺术馆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48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小品《撤回了啥？》</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1F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AB5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5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0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2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BD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3C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83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51DF4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D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0F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00D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8EA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5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长沙市群众艺术馆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C9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歌曲《愿为潇湘客》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9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A83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F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C3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2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7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D4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BDA8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3"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110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75E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ED6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8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0A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长沙市芙蓉区定王台街道办事处丰泉古井社区居委会</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29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芙蓉区白果园智慧街区项目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2E2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4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6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B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7B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59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6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FF0000"/>
                <w:sz w:val="20"/>
                <w:szCs w:val="20"/>
                <w:u w:val="none"/>
              </w:rPr>
            </w:pPr>
            <w:r>
              <w:rPr>
                <w:rFonts w:hint="default" w:ascii="Times New Roman" w:hAnsi="Times New Roman" w:eastAsia="宋体" w:cs="Times New Roman"/>
                <w:i w:val="0"/>
                <w:iCs w:val="0"/>
                <w:color w:val="FF0000"/>
                <w:kern w:val="0"/>
                <w:sz w:val="20"/>
                <w:szCs w:val="20"/>
                <w:u w:val="none"/>
                <w:lang w:val="en-US" w:eastAsia="zh-CN" w:bidi="ar"/>
              </w:rPr>
              <w:t>9.3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75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88C2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DDB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B9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18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84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CB2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长沙市天心区文化旅游广电局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E1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岳麓山旅游文化开发杜甫江阁分公司：杜甫江阁提质升级项目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A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B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67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6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A0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874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2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91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不适用</w:t>
            </w:r>
          </w:p>
        </w:tc>
      </w:tr>
      <w:tr w14:paraId="0551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1D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0EE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43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7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BF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长沙市岳麓区文化馆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C3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舞蹈《春晓依旧》</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3F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4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0ED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1A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4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0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1E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8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不适用</w:t>
            </w:r>
          </w:p>
        </w:tc>
      </w:tr>
      <w:tr w14:paraId="3B0A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0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F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0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42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DA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长沙市开福区文化旅游广电局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1F7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长沙潮宗亦间陆伍零零酒店管理有限公司：亦间</w:t>
            </w:r>
            <w:r>
              <w:rPr>
                <w:rFonts w:hint="default" w:ascii="Times New Roman" w:hAnsi="Times New Roman" w:eastAsia="宋体" w:cs="Times New Roman"/>
                <w:i w:val="0"/>
                <w:iCs w:val="0"/>
                <w:color w:val="000000"/>
                <w:kern w:val="0"/>
                <w:sz w:val="20"/>
                <w:szCs w:val="20"/>
                <w:u w:val="none"/>
                <w:lang w:val="en-US" w:eastAsia="zh-CN" w:bidi="ar"/>
              </w:rPr>
              <w:t>·6500</w:t>
            </w:r>
            <w:r>
              <w:rPr>
                <w:rStyle w:val="39"/>
                <w:rFonts w:hAnsi="Times New Roman"/>
                <w:sz w:val="20"/>
                <w:szCs w:val="20"/>
                <w:lang w:val="en-US" w:eastAsia="zh-CN" w:bidi="ar"/>
              </w:rPr>
              <w:t>精品民宿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2C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66B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28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A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FAB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6C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BC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ECC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D840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A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F0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0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7C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78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长沙市开福区文化馆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2A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原创少儿舞蹈《鸡咯咯鸭嘎嘎》</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5E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3EF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7D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B6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C9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F51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2BD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9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7E71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D6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1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0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9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E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长沙市开福区文化馆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DC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长沙花鼓小戏《老街轶事》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A89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B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A40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9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3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E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7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E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D7B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F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521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C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4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4A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长沙市雨花区文化旅游体育局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1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长沙歌舞剧院：舞台剧《医圣</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长沙方》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A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003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28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3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1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7B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1A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A1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7D1B1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47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9C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C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611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FE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浏阳市北盛镇人民政府</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497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王震故居《一封家书》红色家风微党课项目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BBA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974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B4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37A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71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107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985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72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D572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27F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DA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07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7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7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浏阳市小河乡人民政府</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A6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小河乡客家非遗旅游示范项目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1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4F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C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6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F7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8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4F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E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2CA1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DC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BB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52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C1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宁乡市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5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宁乡市文化旅游广电体育局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A7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宁乡沩山峡谷漂流旅游发展有限公司：宁乡市探秘青铜文明</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禅茶避暑旅游廊道建设项目</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沩山漂流项目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92D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18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文旅新业态（四个一百）贷款贴息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58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A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68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97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A0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E0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AC38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9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B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7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CA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FBD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DE5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年文化和自然遗产日主场城市活动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98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87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文物保护利用六大工程</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25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D8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1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B2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63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CD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0AE8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A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7AB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B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1E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12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长沙简牍博物馆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5E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探秘简牍</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长沙简牍博物馆让简牍</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活</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起来智慧数字课程建设项目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4E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C4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1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33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0A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9A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75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7F8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5C78E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C2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5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67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5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7A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6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长沙市博物馆</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星城红韵</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系列红色文化旅游产品开发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A7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E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16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2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F34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9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5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36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F466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19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F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1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04E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D9D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杨开慧纪念馆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E2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杨开慧纪念馆文化遗产资源活化利用与传播</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52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6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A0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809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E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9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C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E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06A42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96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F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31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E6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82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3A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浏阳市博物馆文创产品开发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F37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5A6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2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55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FB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80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11.552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84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11.552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F40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843A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9B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8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53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2A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C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长沙市文化旅游广电局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50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6C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C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C1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72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A0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59</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10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0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48.25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C7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60.71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5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CA2D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92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0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99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B2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9B3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长沙市湘剧保护传承中心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2D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湘剧《琵琶</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四折》参加第二届全国高腔优秀剧目展演</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75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D4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86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37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C4D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039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6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B5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7D61B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58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C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71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1B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15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长沙市湘剧保护传承中心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A2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湘剧《打猎》参加第二届全国高腔优秀剧目展演</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0B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C6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7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D6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D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B1B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C9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AFF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5D87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9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E1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C1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08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D9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长沙市湘剧保护传承中心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867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首届全国小戏小品展演</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《大归》</w:t>
            </w:r>
            <w:r>
              <w:rPr>
                <w:rFonts w:hint="default" w:ascii="Times New Roman" w:hAnsi="Times New Roman" w:eastAsia="宋体" w:cs="Times New Roman"/>
                <w:i w:val="0"/>
                <w:iCs w:val="0"/>
                <w:color w:val="000000"/>
                <w:kern w:val="0"/>
                <w:sz w:val="20"/>
                <w:szCs w:val="20"/>
                <w:u w:val="none"/>
                <w:lang w:val="en-US" w:eastAsia="zh-CN" w:bidi="ar"/>
              </w:rPr>
              <w:t>3</w:t>
            </w:r>
            <w:r>
              <w:rPr>
                <w:rStyle w:val="39"/>
                <w:rFonts w:hAnsi="Times New Roman"/>
                <w:sz w:val="20"/>
                <w:szCs w:val="20"/>
                <w:lang w:val="en-US" w:eastAsia="zh-CN" w:bidi="ar"/>
              </w:rPr>
              <w:t>万、</w:t>
            </w: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年戏曲百戏（昆山）盛典之</w:t>
            </w:r>
            <w:r>
              <w:rPr>
                <w:rFonts w:hint="default" w:ascii="Times New Roman" w:hAnsi="Times New Roman" w:eastAsia="宋体" w:cs="Times New Roman"/>
                <w:i w:val="0"/>
                <w:iCs w:val="0"/>
                <w:color w:val="000000"/>
                <w:kern w:val="0"/>
                <w:sz w:val="20"/>
                <w:szCs w:val="20"/>
                <w:u w:val="none"/>
                <w:lang w:val="en-US" w:eastAsia="zh-CN" w:bidi="ar"/>
              </w:rPr>
              <w:t>2024</w:t>
            </w:r>
            <w:r>
              <w:rPr>
                <w:rStyle w:val="39"/>
                <w:rFonts w:hAnsi="Times New Roman"/>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戏曲领军人才计划入选演出</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周帆</w:t>
            </w:r>
            <w:r>
              <w:rPr>
                <w:rFonts w:hint="default" w:ascii="Times New Roman" w:hAnsi="Times New Roman" w:eastAsia="宋体" w:cs="Times New Roman"/>
                <w:i w:val="0"/>
                <w:iCs w:val="0"/>
                <w:color w:val="000000"/>
                <w:kern w:val="0"/>
                <w:sz w:val="20"/>
                <w:szCs w:val="20"/>
                <w:u w:val="none"/>
                <w:lang w:val="en-US" w:eastAsia="zh-CN" w:bidi="ar"/>
              </w:rPr>
              <w:t>3</w:t>
            </w:r>
            <w:r>
              <w:rPr>
                <w:rStyle w:val="39"/>
                <w:rFonts w:hAnsi="Times New Roman"/>
                <w:sz w:val="20"/>
                <w:szCs w:val="20"/>
                <w:lang w:val="en-US" w:eastAsia="zh-CN" w:bidi="ar"/>
              </w:rPr>
              <w:t>万</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DA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C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07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C79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4F0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7F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5.828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0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5.828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B1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A9AF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AAB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C84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F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D6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0F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湖南湘江新区管理委员会宣传工作部</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50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长沙市李自健美术馆：第三届</w:t>
            </w:r>
            <w:r>
              <w:rPr>
                <w:rFonts w:hint="eastAsia"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湖南少儿美术作品双年展</w:t>
            </w:r>
            <w:r>
              <w:rPr>
                <w:rFonts w:hint="eastAsia" w:eastAsia="宋体" w:cs="Times New Roman"/>
                <w:i w:val="0"/>
                <w:iCs w:val="0"/>
                <w:color w:val="000000"/>
                <w:kern w:val="0"/>
                <w:sz w:val="20"/>
                <w:szCs w:val="20"/>
                <w:u w:val="none"/>
                <w:lang w:val="en-US" w:eastAsia="zh-CN" w:bidi="ar"/>
              </w:rPr>
              <w:t>”</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1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A72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4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D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E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3E0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ED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7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0978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F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C3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0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AB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2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长沙市非物质文化遗产保护中心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EC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杨天福（宁乡县）、陈继武（浏阳市）、黄蔚德（浏阳市）、左季纯（长沙市）、贺艾芸（长沙市）、陈玉莲（长沙市）、黄笛（长沙市）、毛珊（长沙市）、秦石蛟（望城县）、王文定（长沙市）、罗志勇（长沙市）、刘志广（长沙市）、江林（浏阳市）、蔡颖强（开福区）、余小平（长沙市）、王娜娜（浏阳市）、周招弟（雨花区）、何志明（长沙市）、胡建忠（长沙市）、朱国强（长沙市）、王志敏（长沙市）、汪国义（开福区）、邬建美（长沙市）、徐向荣（长沙市）、陈江柱（长沙县）、何谷良（天心区）、胡立东（长沙县）、彭望球（望城区）、谭智祥（浏阳市）、梁长进（浏阳市）、刘嘉豪（望城区）、刘正华（雨花区）、李剑波（开福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2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D7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24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480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33.00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F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2FE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5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A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FABB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E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DB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8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0CA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9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AF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衡阳市南岳区逸山逸水酒店有限责任公司：高品质旅游住宿业奖补</w:t>
            </w:r>
            <w:r>
              <w:rPr>
                <w:rStyle w:val="39"/>
                <w:sz w:val="20"/>
                <w:szCs w:val="20"/>
                <w:lang w:val="en-US" w:eastAsia="zh-CN" w:bidi="ar"/>
              </w:rPr>
              <w:t>。</w:t>
            </w:r>
            <w:r>
              <w:rPr>
                <w:rStyle w:val="39"/>
                <w:rFonts w:hAnsi="Times New Roman"/>
                <w:sz w:val="20"/>
                <w:szCs w:val="20"/>
                <w:lang w:val="en-US" w:eastAsia="zh-CN" w:bidi="ar"/>
              </w:rPr>
              <w:t>新评定五星级旅游饭店</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E2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0C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4AA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2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E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A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187.34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0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199.71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11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618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4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A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18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8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021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4EF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衡阳林隐假日酒店有限公司：高品质旅游住宿业奖补</w:t>
            </w:r>
            <w:r>
              <w:rPr>
                <w:rStyle w:val="39"/>
                <w:sz w:val="20"/>
                <w:szCs w:val="20"/>
                <w:lang w:val="en-US" w:eastAsia="zh-CN" w:bidi="ar"/>
              </w:rPr>
              <w:t>。</w:t>
            </w:r>
            <w:r>
              <w:rPr>
                <w:rStyle w:val="39"/>
                <w:rFonts w:hAnsi="Times New Roman"/>
                <w:sz w:val="20"/>
                <w:szCs w:val="20"/>
                <w:lang w:val="en-US" w:eastAsia="zh-CN" w:bidi="ar"/>
              </w:rPr>
              <w:t>新评定五星级旅游饭店</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E4B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12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高品质旅游住宿业奖补</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72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8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DB9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B9B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1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94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AE24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5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06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9F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2B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4B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9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文化和旅游综合统计项目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BC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D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F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2C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7.40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8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3BB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6DA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7A6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7AB9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8E0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63A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0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1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祁东县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EC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祁东县文化旅游广电体育局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69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衡阳市祁东县蒋家桥镇龙兴村：四季村晚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CF5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6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A7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B68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0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F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2E2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B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6FC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8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D9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7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6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17E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CDB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衡阳衡州花鼓戏艺术有限责任公司：原创小型衡州现代花鼓戏《一抹月光》</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34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DAD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27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6D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EB2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2D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36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7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84D2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DA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D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BE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53F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9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CE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广场舞《渔鼓咚咚颂盛世》</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803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945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3CA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96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90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39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A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A4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F6FF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ADE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18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7F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E5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6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石鼓区文化旅游广电体育局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C18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衡阳市君玲传统食品科技发展有限责任公司：君玲水磨元宵制作技艺旅游产品开发项目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D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A4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EB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0C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B8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E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B8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5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D6C9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E0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D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9C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07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AE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蒸湘区文化旅游体育局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8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雨母山旅游度假区旅游驿站项目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17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1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EC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4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4.90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B0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597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92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8E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AC71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7F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6E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8EF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3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衡南县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01E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衡南县文化旅游广电体育局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74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新创音乐类作品《幸福日子唱着过》项目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7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FD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6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89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2EF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CE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C2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91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4976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39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C8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93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2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0D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13E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湖南盛世威得科技有限公司：恒生钟表文化博物馆融合发展文旅新业态项目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AAB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8E8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65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3DB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79B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E0E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18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25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310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48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E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9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E6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衡山县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9D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衡山县东湖镇人民政府</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32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衡山县文立正故居红色旅游文创开发项目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55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8A6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B3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9F7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648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9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1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C8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8A0A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E7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4A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88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1A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C8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衡东县荣桓图书馆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BA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衡东县荣桓图书馆智慧阅读互动建设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71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5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7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26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60C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695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8F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25.89</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5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605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25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C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6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F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BD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D6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衡东县文化馆群文合唱作品《忆秦娥</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娄山关》</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《祖国，慈祥的母亲》项目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F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0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7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9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4F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0B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B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CE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F085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2C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576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5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B6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F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衡东县恒韵花鼓戏演艺有限责任公司：花鼓小戏《红布币》</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C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5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C3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69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3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99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B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71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4DAF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E56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8C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84E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BF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常宁市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B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常宁市文化馆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7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瑶园塔山茶制作研学基地建设资金项目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9D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44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D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23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56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42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F6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2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FAA4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25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70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A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53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07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耒阳市考古研究和文物保护中心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E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《雪域丰碑》红色微短剧展演项目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3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6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4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BD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1A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E4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3C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3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32D7F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8E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62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68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8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2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92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耒阳市图书馆智慧型图书馆建设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33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E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C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F1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3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227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B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BEA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0CC3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DEC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0C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80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B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A04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耒阳市文化馆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D5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戏剧类小品《希望》复排</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1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F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E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EAE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BF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632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B2D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9A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7520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FB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3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3F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D08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C0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0A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衡阳市博物馆馆藏资源活化利用与传播</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83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E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21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CF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59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2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DE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23.48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8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0F4D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F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9E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29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512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D2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湘南学联纪念馆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68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《湘衡今续》全景影片内容制作</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97F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D5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D4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C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D5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091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93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E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2D62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16C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11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B0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F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7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衡东县罗荣桓故居管理处</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BE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罗荣桓故居纪念馆文创产品项目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5C6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2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7E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EC7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C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A8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0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87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F590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4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A4E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DC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B26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0BD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3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非遗科分配负责八个项目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32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A2E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87A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C1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631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0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22.93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57E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33.43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71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358A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82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A3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C8E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01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74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FAF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衡阳市祁剧艺术有限责任公司：祁剧《辞庵》参加第二届全国高腔优秀剧目展演　</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A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D8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B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342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0F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52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4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9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0D5F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1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F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C7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55E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5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衡阳市非物质文化遗产保护中心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4B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江中华（衡阳市）、王冬林（衡山县）、欧阳新年（衡山县）、肖金寿（衡山县）、费建楚（衡阳市）、梁丰助（衡阳县）、杨顺德（衡阳市）、梁成富（耒阳市）、李运华（衡山县）、肖求进（衡阳县）、刘晓安（衡南县）、龙丽萍（衡阳市）、彭红利（祁东县）、李红（衡阳市）、蒋深国（衡阳市）、江春燕（衡阳市）、罗冬元（耒阳市）、凌文武（衡阳县）、黄赛昭（衡山县）、易秒樱（衡山县）、刘朝阳（衡南县）、谭丽君（衡山县）、廖伦霜（常宁市）、王满城（衡阳市）、曾辉云（衡阳市）、王丽媛（衡山县）、尹冬海（衡阳市）、马志庆（衡南县）、袁春明（衡山县）、周艳琳（祁东县）、盘文国（常宁市）、文新学（衡东县）、梁铁球（衡阳县）、文焱华（衡东县）、杨昕（石鼓区）、鲁振华（石鼓区）、李强（衡阳县）、王冬华（耒阳市）、罗建文（耒阳市）、刘俊杨（耒阳市）、张建华（南岳区）、尹新生（常宁市）、欧礼（常宁市）、贺元甲（衡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1C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B3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D2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EC7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44.00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9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15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E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AD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D4BB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1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43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9B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525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隆回县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92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隆回县文化旅游广电体育局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B0A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邵阳市隆回县六都寨镇张家铺村：四季村晚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3D8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FE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70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C0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1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04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3A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8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D390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BE5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D2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5C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C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C1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EE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首届全国小戏小品展演</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《提灯正传》</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5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57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DD7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58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0B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758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463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C0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61E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B45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89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C8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5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0A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F21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第十四届中国艺术节</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参评文华节目奖</w:t>
            </w:r>
            <w:r>
              <w:rPr>
                <w:rStyle w:val="39"/>
                <w:sz w:val="20"/>
                <w:szCs w:val="20"/>
                <w:lang w:val="en-US" w:eastAsia="zh-CN" w:bidi="ar"/>
              </w:rPr>
              <w:t>：</w:t>
            </w:r>
            <w:r>
              <w:rPr>
                <w:rStyle w:val="39"/>
                <w:rFonts w:hAnsi="Times New Roman"/>
                <w:sz w:val="20"/>
                <w:szCs w:val="20"/>
                <w:lang w:val="en-US" w:eastAsia="zh-CN" w:bidi="ar"/>
              </w:rPr>
              <w:t>邵阳花鼓小戏《提灯正传》</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CC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78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3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C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7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1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044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84F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A2B5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39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06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5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80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E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2E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文化和旅游综合统计项目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7F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45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3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91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7.85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7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65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7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7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382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05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718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235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9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5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75F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邵阳花鼓小戏《路遇》</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9B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CA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FF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0D4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CC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07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556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BB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27AC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D6A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A5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C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BF5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C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0A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群舞《永远的嗅枪队》创作</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92F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9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B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85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41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DCB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BD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D0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8EFA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08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A9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2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07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E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57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洞口傅氏木雕工艺厂：洞口县木雕非遗工坊</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C7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9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D2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A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52B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1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6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6BE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D439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1D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B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58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3A9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AB1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邵阳市文化馆（邵阳市文化艺术研究所）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4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舞蹈《</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晒</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村晚》创作及复排</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6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388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D8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8C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0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AE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2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9ED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D8BA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8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7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86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EA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799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邵阳市文化馆（邵阳市文化艺术研究所）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EA1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群文音乐作品《撮珠朵》创作及复排</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EB1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B8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55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4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F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B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DD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5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E62B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8E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AC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17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0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BE7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9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邵阳市博物馆馆藏资源活化利用与传播</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F5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1A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6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1A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577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DD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1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17.841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0CD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5B993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5A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B3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834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0F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邵东市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4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邵东市文化旅游广电体育局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C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贺绿汀故居展示利用及智慧化改造项目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C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C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3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DA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C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AB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EE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FD4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16AD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44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2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A9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1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E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E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7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1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25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88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81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34.00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B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B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7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24.465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9E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1D44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FBA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4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FF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2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E7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湖南省祁剧保护传承中心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9BA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年艺术人才培养项目</w:t>
            </w:r>
            <w:r>
              <w:rPr>
                <w:rFonts w:hint="eastAsia"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祁剧表演后备人才培养</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9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年艺术人才培养</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34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艺术人才培养培训</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98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5B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62.50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028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62.5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44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5.97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662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BB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661D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20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CFF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C4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C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邵东市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52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邵东市文化馆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4FC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邵东市非遗数字展馆建设项目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2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D2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C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CA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0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B53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C6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5B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EDD5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5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0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8C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6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D03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4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洞口县数字化非遗展馆</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2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4D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C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2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7D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55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E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B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6B0A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44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0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F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D8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DF1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湖南省祁剧保护传承中心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30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全国优秀目连戏展演暨学术研讨会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B5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演艺惠民及演出活动经费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D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9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35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5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4C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3B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C4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实施中</w:t>
            </w:r>
          </w:p>
        </w:tc>
      </w:tr>
      <w:tr w14:paraId="388F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1F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D4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F4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6B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6D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邵阳市非物质文化遗产保护传承研究所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00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邓星艾（武冈市）、蒋振西（邵阳县）、胡光旦（隆回县）、李和平（湖南省祁剧保护传承中心）、张礼义（邵阳市）、付金林（洞口县）、秦刚（新宁县）、刘仁秀（城步苗族自治县）、何东祥（邵阳县）、王任贤（湖南省祁剧保护传承中心）、刘烈红（新宁县）、张交云（邵阳市）、戴学良（洞口县）、李赛俭（邵阳市）、申桂桃（湖南省祁剧保护传承中心）、李湘玲（邵东市）、刘金铎（北塔区）、沈燕希（隆回县）、尹冬香（隆回县）、刘凡弟（隆回县）、张玉民（邵阳市）、陈福元（武冈市）、曾令其（武冈市）、王理亮（新邵县）、陈治安（隆回县）、奉族群（隆回县）、陈孝友（新宁县）、杨涛（武冈市）、肖笑波（湖南省祁剧保护传承中心）、张求荣（邵阳市）、谢和平（邵东市）、李初阳（邵东市）、唐平清（邵阳县）、赵伟雄（邵东市）、邓子鹤（武冈市）、张永善（大祥区）、李志成（双清区）、刘小银（新宁县）、奉堂妹（隆回县）、唐文林（邵阳市）、王浩宇（邵阳市）、傅立先（洞口县）、周元桃（绥宁县）、谢意初（绥宁县）、伍先容（隆回县）、袁小伍（洞口县）、罗沙沙（邵阳县）、孙炜（新邵县）、刘绪银（新邵县）、陈岩花（城步苗族自治县）、屈海军（邵阳县）、舒爱凤（洞口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0C9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C8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44E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5A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9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60F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4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F90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9AF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75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C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〔2025〕85号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96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C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E1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任弼时纪念馆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93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任弼时故居修缮和环境整治工程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5BC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F5C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eastAsia" w:ascii="Times New Roman" w:hAnsi="Times New Roman" w:eastAsia="宋体" w:cs="Times New Roman"/>
                <w:i w:val="0"/>
                <w:iCs w:val="0"/>
                <w:color w:val="000000"/>
                <w:sz w:val="20"/>
                <w:szCs w:val="20"/>
                <w:u w:val="none"/>
                <w:lang w:val="en-US" w:eastAsia="zh-CN"/>
              </w:rPr>
            </w:pPr>
            <w:r>
              <w:rPr>
                <w:rFonts w:hint="eastAsia" w:ascii="Times New Roman" w:hAnsi="Times New Roman" w:eastAsia="宋体" w:cs="Times New Roman"/>
                <w:i w:val="0"/>
                <w:iCs w:val="0"/>
                <w:color w:val="000000"/>
                <w:sz w:val="20"/>
                <w:szCs w:val="20"/>
                <w:u w:val="none"/>
                <w:lang w:val="en-US" w:eastAsia="zh-CN"/>
              </w:rPr>
              <w:t>/</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7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82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2D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26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F5A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23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p>
        </w:tc>
      </w:tr>
      <w:tr w14:paraId="5F32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F7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4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D13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8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6E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62A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文化和旅游综合统计项目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8B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BD4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FD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D7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D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7.3</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93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7D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F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7DEA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8F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A0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9E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5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5C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93F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《湖那边》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EE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B6C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16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B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80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B04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AE6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A2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51E8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FB1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0BE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4C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3A7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7DD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B1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《部长吃笋》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CE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D2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A8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A6B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4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956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7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FA27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76C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BC6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EC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ED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533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63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情景器乐《端午新韵》</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C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C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897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32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11.60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A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81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6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8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76DF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A2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D5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85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05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27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岳阳市巴陵戏传承研究院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61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小型现代巴陵戏《天鹅情缘》</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37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DC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B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14A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7DF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EF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5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1E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9D22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5C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8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5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5DD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66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岳阳市美术馆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极目楚天</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第二届洞庭湖三年展</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2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1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重大美术（书法、摄影）主题展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39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4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4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DA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63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DA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实施中</w:t>
            </w:r>
          </w:p>
        </w:tc>
      </w:tr>
      <w:tr w14:paraId="343DB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840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79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EF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22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0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97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平江欧亚鑫生态农业旅游开发有限公司：平江县仙姑岩红军营景区文旅示范建设提升项目（红军营沉浸式红色教育基地）</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92A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75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6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1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F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BB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B4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805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EDE0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AB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2C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4E1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FD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30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岳阳县花鼓戏传承研究所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B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大型现代花鼓戏《河东河西》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D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51E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EFE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71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5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6D8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A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9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3B1AA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2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70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06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1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8C5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岳阳县花鼓戏传承研究所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A2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花鼓小戏《请跟我来》</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14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0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3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BAB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8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DF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9FE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D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75BA4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57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FC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25E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84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85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岳阳楼区文化馆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3B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《菱角弯呀弯》</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81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06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773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1A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791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6B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17.57</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A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2B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79C5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9D2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1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2A6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8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38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DB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花鼓小戏《桂花湾笑声》</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A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0B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2E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A7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1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D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F8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4A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62C8C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48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13D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1C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C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35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A4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花鼓小戏《黄马甲》</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3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73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9E3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DF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F1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7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E5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078D2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9D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599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1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2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B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D6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挖掘文物背后的故事</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系列微视频开发项目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3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D5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F2F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EB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FB1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8E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7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C80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0FB61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1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47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74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5AD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9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02F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w:t>
            </w:r>
            <w:r>
              <w:rPr>
                <w:rStyle w:val="39"/>
                <w:sz w:val="20"/>
                <w:szCs w:val="20"/>
                <w:lang w:val="en-US" w:eastAsia="zh-CN" w:bidi="ar"/>
              </w:rPr>
              <w:t>市</w:t>
            </w:r>
            <w:r>
              <w:rPr>
                <w:rStyle w:val="39"/>
                <w:rFonts w:hAnsi="Times New Roman"/>
                <w:sz w:val="20"/>
                <w:szCs w:val="20"/>
                <w:lang w:val="en-US" w:eastAsia="zh-CN" w:bidi="ar"/>
              </w:rPr>
              <w:t>考古研究和文物保护中心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141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柳六荣（岳阳县）、陈文彬（临湘市）、李政红（岳阳市）、李源（岳阳市）、李团生（平江县）、陈岳林（岳阳市）、刘茂林（岳阳市）、刘正文（岳阳县）、姚满华（平江县）、戴贤民（岳阳县）、李喜林（平江县）、方利（岳阳市）、卢新良（临湘市）、钟志远（平江县）、易文（岳阳县）、傅鹏（岳阳市）、高孝祖（君山区）、易琼辉（君山区）、卢明德（临湘市）、刘强（平江县）、许桂生（汨罗市）、陈意清（汨罗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CC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D7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4C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18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88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B26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3A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8E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3C43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C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DE5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D3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C27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1A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0C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岳阳市图书馆</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智盘悦览</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建设项目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0E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FE4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1E3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C0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AC8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7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7CF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933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42"/>
                <w:rFonts w:hAnsi="Times New Roman"/>
                <w:sz w:val="20"/>
                <w:szCs w:val="20"/>
                <w:lang w:val="en-US" w:eastAsia="zh-CN" w:bidi="ar"/>
              </w:rPr>
              <w:t>是</w:t>
            </w:r>
          </w:p>
        </w:tc>
      </w:tr>
      <w:tr w14:paraId="3568D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6F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0F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F9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5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161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岳阳楼区文化旅游广电体育局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C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岳阳市中洲通用航空有限公司：岳阳低空飞行文旅项目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F2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07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4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5D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99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CD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9E2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C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8FD6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65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03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923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CFD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F1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岳阳市云溪区图书馆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1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云溪区图书馆设备配置及更新项目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63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F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D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0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D3E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3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E8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9.57</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25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AA5E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0C6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3D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C0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8F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08B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DBE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商兽面纹扁体筒形觥</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酒文化创意产品开发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0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5C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F3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D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9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CE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09F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7F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442A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959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5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1D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86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A1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平江县李六如故居管理所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D9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平江县李六如故居红色文创开发项目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D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49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2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245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443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24.43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D6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48.85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4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7D8EE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75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C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A65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1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平江县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72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中共平江县委旧址管理处</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E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中共平江县委旧址红色党建研学课程及文创产品开发项目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3C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B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4B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3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9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6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2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546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61243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6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6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6B4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31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C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F7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C56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8A8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81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8A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56.00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B0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6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27.44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E67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27.44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5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5AB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B13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3E9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7D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C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5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汨罗屈子文化园事务中心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12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屈子文化园</w:t>
            </w:r>
            <w:r>
              <w:rPr>
                <w:rFonts w:hint="default" w:ascii="Times New Roman" w:hAnsi="Times New Roman" w:eastAsia="宋体" w:cs="Times New Roman"/>
                <w:i w:val="0"/>
                <w:iCs w:val="0"/>
                <w:color w:val="000000"/>
                <w:kern w:val="0"/>
                <w:sz w:val="20"/>
                <w:szCs w:val="20"/>
                <w:u w:val="none"/>
                <w:lang w:val="en-US" w:eastAsia="zh-CN" w:bidi="ar"/>
              </w:rPr>
              <w:t>“AI”</w:t>
            </w:r>
            <w:r>
              <w:rPr>
                <w:rStyle w:val="39"/>
                <w:rFonts w:hAnsi="Times New Roman"/>
                <w:sz w:val="20"/>
                <w:szCs w:val="20"/>
                <w:lang w:val="en-US" w:eastAsia="zh-CN" w:bidi="ar"/>
              </w:rPr>
              <w:t>智慧系统建设项目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3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AF4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6D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7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9D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185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36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63.315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D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7C6F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5B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F9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B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C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76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岳阳县文旅广体局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E4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全国</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春节村晚</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主会场活动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D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A5F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9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6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50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B0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B16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C83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108C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7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F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3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0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0B1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岳阳楼区文化馆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F3A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年非遗旅游发展项目</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湖湘非遗新视界体验项目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50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02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30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AC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2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2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F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0E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BFE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B5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3F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〔2025〕24号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E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1E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35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8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第四届湖南旅游发展大会办会配套专项资金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AE4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BF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1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BD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45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13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342.81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D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342.81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236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07A3B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11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3E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〔2025〕85号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7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E8A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87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任弼时纪念馆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C8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任弼时故居修缮和环境整治工程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5E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B0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BF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2E6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0A7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54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27.68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8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A0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F98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DA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F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〔2024〕71号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A7A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54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岳阳市本级</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F5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岳阳市文化旅游广电体育局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48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第四届湖南旅游发展大会专项经费</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E1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46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F4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5D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7403.00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99D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7403</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B7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6803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AA5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6803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A0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077F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D4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34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EAA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EA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0A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BE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文化和旅游综合统计项目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CF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9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5BB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8.14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2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8.14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4FE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8.14</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B2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8E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8.14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D19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5EF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DD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B6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6C0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C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A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41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你学法我送票</w:t>
            </w:r>
            <w:r>
              <w:rPr>
                <w:rStyle w:val="39"/>
                <w:sz w:val="20"/>
                <w:szCs w:val="20"/>
                <w:lang w:val="en-US" w:eastAsia="zh-CN" w:bidi="ar"/>
              </w:rPr>
              <w:t>－</w:t>
            </w:r>
            <w:r>
              <w:rPr>
                <w:rStyle w:val="39"/>
                <w:rFonts w:hAnsi="Times New Roman"/>
                <w:sz w:val="20"/>
                <w:szCs w:val="20"/>
                <w:lang w:val="en-US" w:eastAsia="zh-CN" w:bidi="ar"/>
              </w:rPr>
              <w:t>跟着旅发大会游湖南</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活动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7EF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B59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1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72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78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D0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F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6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208E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69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0B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8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0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26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A41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怀化市洪江市安江镇大畲坪社区：四季村晚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A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D1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0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E16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0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E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AD3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186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C68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E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3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0CF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C2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34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38F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湖南第十五届农民工春晚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A3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55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85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D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B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D4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402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60E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AE3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58C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24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9D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34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90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r>
              <w:rPr>
                <w:rStyle w:val="39"/>
                <w:rFonts w:hAnsi="Times New Roman"/>
                <w:sz w:val="20"/>
                <w:szCs w:val="20"/>
                <w:lang w:val="en-US" w:eastAsia="zh-CN" w:bidi="ar"/>
              </w:rPr>
              <w:t>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8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怀化市通道侗族自治县坪坦乡皇都村：四季村晚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39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CE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文旅业务活动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8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8D9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B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AB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734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CBF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78BA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91C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94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6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C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2E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怀化市民族歌舞剧团（怀化市鹤城区阳戏保护传承中心）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46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现代阳戏小戏《审红包》</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0A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0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专业口小戏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D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6A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0BA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3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CC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7EB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75041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3F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7B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B3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28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8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22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养心志</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育情操</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音乐讲堂设备配置及更新</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64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2C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FF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A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9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73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5C4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50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7644F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F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0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A2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6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6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99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原创群舞《侗</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千捶》提质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EC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62C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DB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6F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A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7D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D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0D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2EB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7F7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6F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1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6B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9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02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小组唱《葡萄姑娘》</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44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F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93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3A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33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49F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D5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86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AAA7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C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8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E7C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2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8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A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怀化非遗文创开发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5E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2A2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非遗旅游发展</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FA9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B2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A9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F8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D7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91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12CF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EAB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0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B89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9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新晃县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7B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新晃侗族自治县文化旅游广电体育局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AA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新晃原创舞蹈《锣</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傩》打磨提质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4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57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FB1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9C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67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40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25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75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B701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6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C74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E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F54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芷江县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48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芷江县文化旅游广电体育局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4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芷江侗族自治县文化旅游发展有限公司：芷江和平湖水陆光影夜游演艺项目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9F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47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融合发展文旅新业态</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21B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0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7C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DE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7A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E4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72C8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33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8A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A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C48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2E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洪江市文化馆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15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岩板上的瑶寨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C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A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B7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D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EB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65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97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B6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76965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CB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D9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6E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1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448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怀化市洪江区旅游发展事务中心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8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怀化市洪江区</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半个铜钱剧场</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设备更新项目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D40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FC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B43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64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5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9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2B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550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001F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FA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78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90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D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靖州县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8D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靖州苗族侗族自治县图书馆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B5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文旅乡韵</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图书馆基建擢升计划</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ECB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3D1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4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0A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C7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E2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0D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13.9</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A1B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26DA8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9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4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A4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B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靖州县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0A5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靖州县文化旅游广电体育局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B0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靖州苗族侗族自治县九苓经济建设投资有限公司：靖州茯苓文化科技馆建设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8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C7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79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C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2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1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716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07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17865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E2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9B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2D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CD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5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通道侗族自治县文化馆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06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原创音乐《一路追光》音乐提质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B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419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群文口小型戏曲、戏剧、音乐、舞蹈、曲艺等</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FAD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045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8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B2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6C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39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C1E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89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06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736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1D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5B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通道转兵纪念馆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F4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通道转兵音乐党史课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4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D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红色文化旅游</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DB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22D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AE5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21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895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81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192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F69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B6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92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EB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7A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怀化市文化遗产保护中心（市博物馆）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FF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怀化市博物馆馆藏资源活化利用与传播</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17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81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5D2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160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C74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8E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F6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87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38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4820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42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BC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84E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6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辰溪县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EA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辰溪县湘西剿匪文物陈列馆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2B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湘西剿匪史料陈列馆文创产品设计与开发项目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3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16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4A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8F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67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1F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D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93D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53E0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C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60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4B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53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麻阳县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84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麻阳苗族自治县博物馆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D3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麻阳苗族自治县博物馆文创产品研发设计</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F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2A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426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61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9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E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82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C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5FEE9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85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BA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B5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55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7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洪江区文化旅游广电体育局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C2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洪商文化博物馆</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走读湖湘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探寻洪商魅力</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研学、实践教育与展示传播系列活动项目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396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C07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文物保护利用</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E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E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A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7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5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2A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54BCC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89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B2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1F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C90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2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C3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2A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7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省级</w:t>
            </w:r>
            <w:r>
              <w:rPr>
                <w:rStyle w:val="39"/>
                <w:sz w:val="20"/>
                <w:szCs w:val="20"/>
                <w:lang w:val="en-US" w:eastAsia="zh-CN" w:bidi="ar"/>
              </w:rPr>
              <w:t>非物质文化遗产保护传承</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10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E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95B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15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0CB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9B1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561EF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0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B4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1C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FB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怀化市本级及所辖区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B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怀化市文化遗产保护中心（市博物馆）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5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石喜富（通道自治县）、黄休香（沅陵县）、石志运（通道自治县）、吴永春（通道自治县）、姜胜文（沅陵县）、张吉兵（沅陵县）、肖体贵（会同县）、李盛国（会同县）、吴念姬（通道自治县）、谢科团（靖州自治县）、吴祥跃（通道自治县）、向行钢（辰溪县）、陆飘（通道自治县）、易图毅（洪江市）、梁厚芳（怀化市）、吴焕英（</w:t>
            </w:r>
            <w:r>
              <w:rPr>
                <w:rStyle w:val="39"/>
                <w:sz w:val="20"/>
                <w:szCs w:val="20"/>
                <w:lang w:val="en-US" w:eastAsia="zh-CN" w:bidi="ar"/>
              </w:rPr>
              <w:t>通道侗族自治县</w:t>
            </w:r>
            <w:r>
              <w:rPr>
                <w:rStyle w:val="39"/>
                <w:rFonts w:hAnsi="Times New Roman"/>
                <w:sz w:val="20"/>
                <w:szCs w:val="20"/>
                <w:lang w:val="en-US" w:eastAsia="zh-CN" w:bidi="ar"/>
              </w:rPr>
              <w:t>）、陈付清（鹤城区）、唐运善（辰溪县）、奉兰香（溆浦县）、胡杨（芷江县）、傅昭槐（怀化市）、蒲祖龙（新晃县）、潘学文（靖州县）、罗光金（辰溪县）、张东霞（溆浦县）、石兰英（辰溪县）、何应标（麻阳县）、蒲学塘（芷江县）、李奉安（</w:t>
            </w:r>
            <w:r>
              <w:rPr>
                <w:rStyle w:val="39"/>
                <w:sz w:val="20"/>
                <w:szCs w:val="20"/>
                <w:lang w:val="en-US" w:eastAsia="zh-CN" w:bidi="ar"/>
              </w:rPr>
              <w:t>通道侗族自治县</w:t>
            </w:r>
            <w:r>
              <w:rPr>
                <w:rStyle w:val="39"/>
                <w:rFonts w:hAnsi="Times New Roman"/>
                <w:sz w:val="20"/>
                <w:szCs w:val="20"/>
                <w:lang w:val="en-US" w:eastAsia="zh-CN" w:bidi="ar"/>
              </w:rPr>
              <w:t>）、易明珍（靖州县）、姚仕彬（新晃县）、谢科培（靖州县）、杨通照（通道自治县）、杨团花（通道自治县）、梁美云（会同县）、田可元（芷江县）、唐荣华（溆浦县）、张传吉（溆浦县）、涂显孟（辰溪县）、王身君（溆浦县）、粟兴菊（通道自治县）、张克贵（溆浦县）、龙景新（新晃县）、全庭杰（沅陵县）、夏先桥（洪江市）、杨江华（会同县）、张锦芳（麻阳县）、杨和英（辰溪县）、李生忠（沅陵县）、罗先梅（靖州县）、杨忠林（会同县）、杨盛春（</w:t>
            </w:r>
            <w:r>
              <w:rPr>
                <w:rStyle w:val="39"/>
                <w:sz w:val="20"/>
                <w:szCs w:val="20"/>
                <w:lang w:val="en-US" w:eastAsia="zh-CN" w:bidi="ar"/>
              </w:rPr>
              <w:t>通道侗族自治县</w:t>
            </w:r>
            <w:r>
              <w:rPr>
                <w:rStyle w:val="39"/>
                <w:rFonts w:hAnsi="Times New Roman"/>
                <w:sz w:val="20"/>
                <w:szCs w:val="20"/>
                <w:lang w:val="en-US" w:eastAsia="zh-CN" w:bidi="ar"/>
              </w:rPr>
              <w:t>）、肖从文（辰溪县）、曾凡恩（中方县）、龙金香（靖州县）、杨云生（靖州县）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5D8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D4E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非遗传承人补助</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95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5E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56.00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C6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87C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A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9B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15FF6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5C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AE5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〔2025〕54号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B3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A7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2E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r>
              <w:rPr>
                <w:rStyle w:val="39"/>
                <w:rFonts w:hAnsi="Times New Roman"/>
                <w:sz w:val="20"/>
                <w:szCs w:val="20"/>
                <w:lang w:val="en-US" w:eastAsia="zh-CN" w:bidi="ar"/>
              </w:rPr>
              <w:t>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8E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文旅县域经济考核奖励</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F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省委省政府部署项目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5B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文旅县域经济考核奖励</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3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2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E5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7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F1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CD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EACD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5D1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9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〔2025〕70号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0A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F2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29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洪江区文化旅游广电体育局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06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文旅基础设施灾后重建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F5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文旅基础设施建设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C5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文旅基础设施灾后重建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9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515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C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F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F93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5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41260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A8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B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Fonts w:hint="default" w:ascii="Times New Roman" w:hAnsi="Times New Roman" w:eastAsia="宋体" w:cs="Times New Roman"/>
                <w:i w:val="0"/>
                <w:iCs w:val="0"/>
                <w:color w:val="000000"/>
                <w:kern w:val="0"/>
                <w:sz w:val="20"/>
                <w:szCs w:val="20"/>
                <w:u w:val="none"/>
                <w:lang w:val="en-US" w:eastAsia="zh-CN" w:bidi="ar"/>
              </w:rPr>
              <w:t>2025</w:t>
            </w:r>
            <w:r>
              <w:rPr>
                <w:rStyle w:val="39"/>
                <w:rFonts w:hAnsi="Times New Roman"/>
                <w:sz w:val="20"/>
                <w:szCs w:val="20"/>
                <w:lang w:val="en-US" w:eastAsia="zh-CN" w:bidi="ar"/>
              </w:rPr>
              <w:t>〕</w:t>
            </w:r>
            <w:r>
              <w:rPr>
                <w:rFonts w:hint="default" w:ascii="Times New Roman" w:hAnsi="Times New Roman" w:eastAsia="宋体" w:cs="Times New Roman"/>
                <w:i w:val="0"/>
                <w:iCs w:val="0"/>
                <w:color w:val="000000"/>
                <w:kern w:val="0"/>
                <w:sz w:val="20"/>
                <w:szCs w:val="20"/>
                <w:u w:val="none"/>
                <w:lang w:val="en-US" w:eastAsia="zh-CN" w:bidi="ar"/>
              </w:rPr>
              <w:t>48</w:t>
            </w:r>
            <w:r>
              <w:rPr>
                <w:rStyle w:val="39"/>
                <w:rFonts w:hAnsi="Times New Roman"/>
                <w:sz w:val="20"/>
                <w:szCs w:val="20"/>
                <w:lang w:val="en-US" w:eastAsia="zh-CN" w:bidi="ar"/>
              </w:rPr>
              <w:t>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74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E1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4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sz w:val="20"/>
                <w:szCs w:val="20"/>
                <w:lang w:val="en-US" w:eastAsia="zh-CN" w:bidi="ar"/>
              </w:rPr>
              <w:t>通道侗族自治县</w:t>
            </w:r>
            <w:r>
              <w:rPr>
                <w:rStyle w:val="39"/>
                <w:rFonts w:hAnsi="Times New Roman"/>
                <w:sz w:val="20"/>
                <w:szCs w:val="20"/>
                <w:lang w:val="en-US" w:eastAsia="zh-CN" w:bidi="ar"/>
              </w:rPr>
              <w:t>皇都村</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EC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文旅基础设施灾后重建</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F6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文旅基础设施建设</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85F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文旅基础设施灾后重建</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A0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8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C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1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A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64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794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9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BB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〔2025〕24号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36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69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8C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24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第五届湖南旅游发展大会承办地专项资金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B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F6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4C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C1D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2553.14 </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2B78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4124.91</w:t>
            </w:r>
          </w:p>
        </w:tc>
        <w:tc>
          <w:tcPr>
            <w:tcW w:w="1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13E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2460.6</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77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4614.86</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DA5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部分达成</w:t>
            </w:r>
          </w:p>
        </w:tc>
      </w:tr>
      <w:tr w14:paraId="39CA5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48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20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〔2025〕24号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E5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CA9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怀化市本级</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CFE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怀化市文化旅游广电体育局</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0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第五届湖南旅游发展大会办会配套专项资金</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A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3F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湖南旅游发展大会</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59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1100 </w:t>
            </w: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31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73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DB2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F4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85A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r>
      <w:tr w14:paraId="78A96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6AB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83E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5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60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湖南省艺术研究院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99D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湖南省艺术研究院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9CE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潇湘梨园</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百年芳华</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湖南地方戏曲主题书画创作及展览</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80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58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9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69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9F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100.55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79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100.55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17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56F7F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DF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B1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E07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77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9B2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F8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湘剧《左公柳》修改打磨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3F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B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24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9D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170.00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E6A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0E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ED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91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76A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2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1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F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E7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9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E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沉浸式新中式湘剧《聂小倩》修改打磨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D8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B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7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2CA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300.00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96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6AE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291.30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502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300.00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B5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96A7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21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D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456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9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00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8B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湖南省湘剧院青年演员单身宿舍维修改造</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BB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18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文旅设施提质设备更新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1D2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C1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3C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D0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77.72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FF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77.72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82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0CC57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18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F9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79A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77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3B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7D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文旅版方言生活秀</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《火宫殿》</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E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4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1D4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2E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6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6B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13.08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90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13.08 </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B5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563A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30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F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126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A26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D9E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32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大型原创舞台剧《女书》</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6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77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C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8F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500.00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9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F70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BDC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0 </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97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15ADA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76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60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6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8D9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2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17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湖南戏曲演出中心座位设施提升</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1BF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F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文旅设施提质设备更新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0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4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1F1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4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A9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 </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E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DB0F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1E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1D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AE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2F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42F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66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文旅融合励志木偶剧《丑小鸭》</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8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FF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DF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8C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468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2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0.72</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A8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0.72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41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4AD39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F5F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9C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DED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D4D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CD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ED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新编京剧《皿方</w:t>
            </w:r>
            <w:r>
              <w:rPr>
                <w:rStyle w:val="43"/>
                <w:sz w:val="20"/>
                <w:szCs w:val="20"/>
                <w:lang w:val="en-US" w:eastAsia="zh-CN" w:bidi="ar"/>
              </w:rPr>
              <w:t>罍</w:t>
            </w:r>
            <w:r>
              <w:rPr>
                <w:rStyle w:val="39"/>
                <w:rFonts w:hAnsi="Times New Roman"/>
                <w:sz w:val="20"/>
                <w:szCs w:val="20"/>
                <w:lang w:val="en-US" w:eastAsia="zh-CN" w:bidi="ar"/>
              </w:rPr>
              <w:t>》修改打磨及巡演</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9A4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FD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2C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9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FE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EF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146.53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2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146.63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B4E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F6D6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32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D44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0A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5B7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8C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42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业务楼维修及音响、乐器、化妆设备材料购置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8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F0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文旅设施提质设备更新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9D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FB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27D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B4D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67.46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665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67.70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881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5A8BB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E17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2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82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56E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湖南省文化和旅游厅幼儿院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B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湖南省文化和旅游厅幼儿院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C4A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天心分园非遗幼教基地外墙改造工程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845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FF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1"/>
                <w:rFonts w:hAnsi="Times New Roman"/>
                <w:sz w:val="20"/>
                <w:szCs w:val="20"/>
                <w:lang w:val="en-US" w:eastAsia="zh-CN" w:bidi="ar"/>
              </w:rPr>
              <w:t>文旅设施提质设备更新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6C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93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60.00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561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660.00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44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29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60.00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97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E9EA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3"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FD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53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E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68A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湖南省文物考古研究院</w:t>
            </w:r>
            <w:r>
              <w:rPr>
                <w:rStyle w:val="39"/>
                <w:sz w:val="20"/>
                <w:szCs w:val="20"/>
                <w:lang w:val="en-US" w:eastAsia="zh-CN" w:bidi="ar"/>
              </w:rPr>
              <w:t>（</w:t>
            </w:r>
            <w:r>
              <w:rPr>
                <w:rStyle w:val="39"/>
                <w:rFonts w:hAnsi="Times New Roman"/>
                <w:sz w:val="20"/>
                <w:szCs w:val="20"/>
                <w:lang w:val="en-US" w:eastAsia="zh-CN" w:bidi="ar"/>
              </w:rPr>
              <w:t>湖南省文物保护利用中心</w:t>
            </w:r>
            <w:r>
              <w:rPr>
                <w:rStyle w:val="39"/>
                <w:sz w:val="20"/>
                <w:szCs w:val="20"/>
                <w:lang w:val="en-US" w:eastAsia="zh-CN" w:bidi="ar"/>
              </w:rPr>
              <w:t>）</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291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湖南省文物考古研究院</w:t>
            </w:r>
            <w:r>
              <w:rPr>
                <w:rStyle w:val="39"/>
                <w:sz w:val="20"/>
                <w:szCs w:val="20"/>
                <w:lang w:val="en-US" w:eastAsia="zh-CN" w:bidi="ar"/>
              </w:rPr>
              <w:t>（</w:t>
            </w:r>
            <w:r>
              <w:rPr>
                <w:rStyle w:val="39"/>
                <w:rFonts w:hAnsi="Times New Roman"/>
                <w:sz w:val="20"/>
                <w:szCs w:val="20"/>
                <w:lang w:val="en-US" w:eastAsia="zh-CN" w:bidi="ar"/>
              </w:rPr>
              <w:t>湖南省文物保护利用中心</w:t>
            </w:r>
            <w:r>
              <w:rPr>
                <w:rStyle w:val="39"/>
                <w:sz w:val="20"/>
                <w:szCs w:val="20"/>
                <w:lang w:val="en-US" w:eastAsia="zh-CN" w:bidi="ar"/>
              </w:rPr>
              <w:t>）</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62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述湖湘</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简牍书法研究展</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7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46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B4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2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71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35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117.41</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5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195.41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A61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E503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3"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D3C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8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〔2024〕82号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D98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01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湖南省文物考古研究院</w:t>
            </w:r>
            <w:r>
              <w:rPr>
                <w:rStyle w:val="39"/>
                <w:sz w:val="20"/>
                <w:szCs w:val="20"/>
                <w:lang w:val="en-US" w:eastAsia="zh-CN" w:bidi="ar"/>
              </w:rPr>
              <w:t>（</w:t>
            </w:r>
            <w:r>
              <w:rPr>
                <w:rStyle w:val="39"/>
                <w:rFonts w:hAnsi="Times New Roman"/>
                <w:sz w:val="20"/>
                <w:szCs w:val="20"/>
                <w:lang w:val="en-US" w:eastAsia="zh-CN" w:bidi="ar"/>
              </w:rPr>
              <w:t>湖南省文物保护利用中心</w:t>
            </w:r>
            <w:r>
              <w:rPr>
                <w:rStyle w:val="39"/>
                <w:sz w:val="20"/>
                <w:szCs w:val="20"/>
                <w:lang w:val="en-US" w:eastAsia="zh-CN" w:bidi="ar"/>
              </w:rPr>
              <w:t>）</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3C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湖南省文物考古研究院</w:t>
            </w:r>
            <w:r>
              <w:rPr>
                <w:rStyle w:val="39"/>
                <w:sz w:val="20"/>
                <w:szCs w:val="20"/>
                <w:lang w:val="en-US" w:eastAsia="zh-CN" w:bidi="ar"/>
              </w:rPr>
              <w:t>（</w:t>
            </w:r>
            <w:r>
              <w:rPr>
                <w:rStyle w:val="39"/>
                <w:rFonts w:hAnsi="Times New Roman"/>
                <w:sz w:val="20"/>
                <w:szCs w:val="20"/>
                <w:lang w:val="en-US" w:eastAsia="zh-CN" w:bidi="ar"/>
              </w:rPr>
              <w:t>湖南省文物保护利用中心</w:t>
            </w:r>
            <w:r>
              <w:rPr>
                <w:rStyle w:val="39"/>
                <w:sz w:val="20"/>
                <w:szCs w:val="20"/>
                <w:lang w:val="en-US" w:eastAsia="zh-CN" w:bidi="ar"/>
              </w:rPr>
              <w:t>）</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CDF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千秋遗墨</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湖湘简牍文化系列广播剧创制和宣推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2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重点项目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64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899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295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150.00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2D5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5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145.54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4DD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145.54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90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0FE2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1C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9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9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23A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湖南省文化和旅游厅导游服务中心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07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湖南省文化和旅游厅导游服务中心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13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湖南省导游人才振兴工程项目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48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C36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6B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BB5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EC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3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6E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44.27</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1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6085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1E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2C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46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CD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湖南省文化和旅游厅导游服务中心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B7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湖南省文化和旅游厅导游服务中心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4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湖湘万年</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金牌导游说文博</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旅游品牌系列活动</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443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文旅活动和行业管理项目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1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行业管理项目</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2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56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4A2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36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61.16</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74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61.16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F4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2790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C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A91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BE0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58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4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E8E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《湖南图书馆家谱数字化建设》（三期）</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300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9B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8DC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3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38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130.00</w:t>
            </w:r>
          </w:p>
        </w:tc>
        <w:tc>
          <w:tcPr>
            <w:tcW w:w="1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39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61.71</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66E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61.71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1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3090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BB1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26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B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4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E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85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《湖南图书馆家谱数字化建设》（三期）</w:t>
            </w:r>
            <w:r>
              <w:rPr>
                <w:rFonts w:hint="default" w:ascii="Times New Roman" w:hAnsi="Times New Roman" w:eastAsia="宋体" w:cs="Times New Roman"/>
                <w:i w:val="0"/>
                <w:iCs w:val="0"/>
                <w:color w:val="000000"/>
                <w:kern w:val="0"/>
                <w:sz w:val="20"/>
                <w:szCs w:val="20"/>
                <w:u w:val="none"/>
                <w:lang w:val="en-US" w:eastAsia="zh-CN" w:bidi="ar"/>
              </w:rPr>
              <w:t xml:space="preserve"> </w:t>
            </w:r>
            <w:r>
              <w:rPr>
                <w:rStyle w:val="39"/>
                <w:rFonts w:hAnsi="Times New Roman"/>
                <w:sz w:val="20"/>
                <w:szCs w:val="20"/>
                <w:lang w:val="en-US" w:eastAsia="zh-CN" w:bidi="ar"/>
              </w:rPr>
              <w:t>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3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6E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A5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37C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7D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20.00</w:t>
            </w:r>
          </w:p>
        </w:tc>
        <w:tc>
          <w:tcPr>
            <w:tcW w:w="1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B3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B4F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A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7C660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4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B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88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78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湖南省少年儿童图书馆</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9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湖南省少年儿童图书馆</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A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文旅小剧场及阅览大楼外立面维修改造项目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1FB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3C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B1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6F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1A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CAB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4.30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CC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10.82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47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497CE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A68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156</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F0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C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C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湖南省艺术研究院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7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湖南省艺术研究院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81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湘韵艺萃</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沉浸式多功能展厅建设项目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96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A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1D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A3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C6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11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55.43</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6A8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55.43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CEA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3D9E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70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157</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3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7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E6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67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5F4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湘剧《周南女中》（暂定名）</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2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3B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9D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230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55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230.00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AC9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230.00</w:t>
            </w:r>
          </w:p>
        </w:tc>
        <w:tc>
          <w:tcPr>
            <w:tcW w:w="10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69B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50.48</w:t>
            </w:r>
          </w:p>
        </w:tc>
        <w:tc>
          <w:tcPr>
            <w:tcW w:w="10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C9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50.77</w:t>
            </w:r>
          </w:p>
        </w:tc>
        <w:tc>
          <w:tcPr>
            <w:tcW w:w="9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E6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48851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8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158</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AA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58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3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73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湖南省湘剧院</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490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湘剧《周南女中》（暂定名）</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80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F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2B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2B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200.00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B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200.00</w:t>
            </w:r>
          </w:p>
        </w:tc>
        <w:tc>
          <w:tcPr>
            <w:tcW w:w="10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32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rPr>
                <w:rFonts w:hint="default" w:ascii="Times New Roman" w:hAnsi="Times New Roman" w:eastAsia="宋体" w:cs="Times New Roman"/>
                <w:i w:val="0"/>
                <w:iCs w:val="0"/>
                <w:color w:val="000000"/>
                <w:sz w:val="20"/>
                <w:szCs w:val="20"/>
                <w:u w:val="none"/>
              </w:rPr>
            </w:pPr>
          </w:p>
        </w:tc>
        <w:tc>
          <w:tcPr>
            <w:tcW w:w="10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669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rPr>
                <w:rFonts w:hint="default" w:ascii="Times New Roman" w:hAnsi="Times New Roman" w:eastAsia="宋体" w:cs="Times New Roman"/>
                <w:i w:val="0"/>
                <w:iCs w:val="0"/>
                <w:color w:val="000000"/>
                <w:sz w:val="20"/>
                <w:szCs w:val="20"/>
                <w:u w:val="none"/>
              </w:rPr>
            </w:pPr>
          </w:p>
        </w:tc>
        <w:tc>
          <w:tcPr>
            <w:tcW w:w="9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E5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宋体" w:cs="Times New Roman"/>
                <w:i w:val="0"/>
                <w:iCs w:val="0"/>
                <w:color w:val="000000"/>
                <w:sz w:val="20"/>
                <w:szCs w:val="20"/>
                <w:u w:val="none"/>
              </w:rPr>
            </w:pPr>
          </w:p>
        </w:tc>
      </w:tr>
      <w:tr w14:paraId="6EE44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B1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159</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E1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A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FC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419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34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戏曲数字化科技展厅二期</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EE8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BA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D02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A0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52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BB8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77.25</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2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77.25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8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770C8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61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160</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A1C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7F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91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7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湖南省花鼓戏保护传承中心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E20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大型荒诞花鼓戏《桂宝轶事》</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B4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AF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378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A0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208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400 </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86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183.24</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2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266.42</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2AE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148D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A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161</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D8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4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2C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F6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湖南省京剧保护传承中心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04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湖湘京韵</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数字化传承与创新发展</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A2F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03C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C5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CFD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8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16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1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0.60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01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65612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2A1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162</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8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8F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2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3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8E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演艺新空间</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9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0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文旅基础设施提升</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C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B4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100.00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F22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100.00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E5B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9C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32.41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6B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2F3BE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80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163</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9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8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12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52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木偶剧《做一粒好种子》</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E2F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73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A2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CC6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C5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80.00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8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17.10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3AB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17.10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2AA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r w14:paraId="14EF1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B3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164</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741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513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DC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C71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湖南省木偶皮影艺术保护传承中心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9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皮影戏《拯救火焰山》</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422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A5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专业口大戏</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BC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180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B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180.00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B7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180.00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C2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58.00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F1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99.08</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B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是</w:t>
            </w:r>
          </w:p>
        </w:tc>
      </w:tr>
      <w:tr w14:paraId="6CBCC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jc w:val="center"/>
        </w:trPr>
        <w:tc>
          <w:tcPr>
            <w:tcW w:w="5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F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165</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9C3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湘财文指</w:t>
            </w:r>
            <w:r>
              <w:rPr>
                <w:rStyle w:val="39"/>
                <w:sz w:val="20"/>
                <w:szCs w:val="20"/>
                <w:lang w:val="en-US" w:eastAsia="zh-CN" w:bidi="ar"/>
              </w:rPr>
              <w:t>〔2025〕60号</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9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湖南省文化和旅游厅</w:t>
            </w:r>
          </w:p>
        </w:tc>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08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湖南博物院（湖南省文物鉴定中心）</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B0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湖南博物院（湖南省文物鉴定中心）</w:t>
            </w:r>
          </w:p>
        </w:tc>
        <w:tc>
          <w:tcPr>
            <w:tcW w:w="18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B5E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互动体验《辛追夫人的秘密》</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63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39"/>
                <w:rFonts w:hAnsi="Times New Roman"/>
                <w:sz w:val="20"/>
                <w:szCs w:val="20"/>
                <w:lang w:val="en-US" w:eastAsia="zh-CN" w:bidi="ar"/>
              </w:rPr>
              <w:t>申报项目</w:t>
            </w:r>
          </w:p>
        </w:tc>
        <w:tc>
          <w:tcPr>
            <w:tcW w:w="10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394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文化</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科技</w:t>
            </w:r>
            <w:r>
              <w:rPr>
                <w:rFonts w:hint="default" w:ascii="Times New Roman" w:hAnsi="Times New Roman" w:eastAsia="宋体" w:cs="Times New Roman"/>
                <w:i w:val="0"/>
                <w:iCs w:val="0"/>
                <w:color w:val="000000"/>
                <w:kern w:val="0"/>
                <w:sz w:val="20"/>
                <w:szCs w:val="20"/>
                <w:u w:val="none"/>
                <w:lang w:val="en-US" w:eastAsia="zh-CN" w:bidi="ar"/>
              </w:rPr>
              <w:t>”</w:t>
            </w:r>
            <w:r>
              <w:rPr>
                <w:rStyle w:val="39"/>
                <w:rFonts w:hAnsi="Times New Roman"/>
                <w:sz w:val="20"/>
                <w:szCs w:val="20"/>
                <w:lang w:val="en-US" w:eastAsia="zh-CN" w:bidi="ar"/>
              </w:rPr>
              <w:t>推进科技与文旅行业深度融合</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A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73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 xml:space="preserve">120.00 </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032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right"/>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120.00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A63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0</w:t>
            </w:r>
          </w:p>
        </w:tc>
        <w:tc>
          <w:tcPr>
            <w:tcW w:w="10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89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34.95</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BCC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i w:val="0"/>
                <w:iCs w:val="0"/>
                <w:color w:val="000000"/>
                <w:sz w:val="20"/>
                <w:szCs w:val="20"/>
                <w:u w:val="none"/>
              </w:rPr>
            </w:pPr>
            <w:r>
              <w:rPr>
                <w:rStyle w:val="40"/>
                <w:rFonts w:hAnsi="Times New Roman"/>
                <w:sz w:val="20"/>
                <w:szCs w:val="20"/>
                <w:lang w:val="en-US" w:eastAsia="zh-CN" w:bidi="ar"/>
              </w:rPr>
              <w:t>否</w:t>
            </w:r>
          </w:p>
        </w:tc>
      </w:tr>
    </w:tbl>
    <w:p w14:paraId="57FC3FD6">
      <w:pPr>
        <w:spacing w:line="560" w:lineRule="exact"/>
        <w:ind w:left="0" w:leftChars="0" w:firstLine="0" w:firstLineChars="0"/>
        <w:rPr>
          <w:rFonts w:hint="default" w:ascii="Times New Roman" w:hAnsi="Times New Roman" w:cs="Times New Roman"/>
          <w:sz w:val="28"/>
          <w:szCs w:val="28"/>
          <w:highlight w:val="none"/>
        </w:rPr>
      </w:pPr>
    </w:p>
    <w:p w14:paraId="6E2D29C0">
      <w:pPr>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br w:type="page"/>
      </w:r>
    </w:p>
    <w:p w14:paraId="5927C32F">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附件2</w:t>
      </w:r>
    </w:p>
    <w:p w14:paraId="3B106ED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2"/>
          <w:szCs w:val="32"/>
          <w:lang w:val="en-US" w:eastAsia="zh-CN"/>
        </w:rPr>
      </w:pPr>
      <w:bookmarkStart w:id="181" w:name="_Toc2259"/>
      <w:bookmarkStart w:id="182" w:name="_Toc18670"/>
      <w:r>
        <w:rPr>
          <w:rFonts w:hint="default" w:ascii="Times New Roman" w:hAnsi="Times New Roman" w:eastAsia="方正小标宋_GBK" w:cs="Times New Roman"/>
          <w:color w:val="000000"/>
          <w:kern w:val="0"/>
          <w:sz w:val="32"/>
          <w:szCs w:val="32"/>
          <w:lang w:val="en-US" w:eastAsia="zh-CN"/>
        </w:rPr>
        <w:t>202</w:t>
      </w:r>
      <w:r>
        <w:rPr>
          <w:rFonts w:hint="eastAsia" w:ascii="Times New Roman" w:hAnsi="Times New Roman" w:eastAsia="方正小标宋_GBK" w:cs="Times New Roman"/>
          <w:color w:val="000000"/>
          <w:kern w:val="0"/>
          <w:sz w:val="32"/>
          <w:szCs w:val="32"/>
          <w:lang w:val="en-US" w:eastAsia="zh-CN"/>
        </w:rPr>
        <w:t>5</w:t>
      </w:r>
      <w:r>
        <w:rPr>
          <w:rFonts w:hint="default" w:ascii="Times New Roman" w:hAnsi="Times New Roman" w:eastAsia="方正小标宋_GBK" w:cs="Times New Roman"/>
          <w:color w:val="000000"/>
          <w:kern w:val="0"/>
          <w:sz w:val="32"/>
          <w:szCs w:val="32"/>
          <w:lang w:val="en-US" w:eastAsia="zh-CN"/>
        </w:rPr>
        <w:t>年度省文化旅游发展专项资金绩效评价指标评分表</w:t>
      </w:r>
      <w:bookmarkEnd w:id="181"/>
      <w:bookmarkEnd w:id="182"/>
    </w:p>
    <w:tbl>
      <w:tblPr>
        <w:tblStyle w:val="16"/>
        <w:tblW w:w="523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1"/>
        <w:gridCol w:w="648"/>
        <w:gridCol w:w="980"/>
        <w:gridCol w:w="552"/>
        <w:gridCol w:w="2457"/>
        <w:gridCol w:w="5769"/>
        <w:gridCol w:w="2994"/>
        <w:gridCol w:w="802"/>
      </w:tblGrid>
      <w:tr w14:paraId="5411F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blHeader/>
          <w:jc w:val="center"/>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61C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一级指标</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3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二级指标</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90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三级指标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86C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分值</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07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指标解释</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13F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评分标准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13E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评分说明</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3E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b/>
                <w:bCs/>
                <w:i w:val="0"/>
                <w:iCs w:val="0"/>
                <w:color w:val="000000"/>
                <w:sz w:val="18"/>
                <w:szCs w:val="18"/>
                <w:u w:val="none"/>
              </w:rPr>
            </w:pPr>
            <w:r>
              <w:rPr>
                <w:rStyle w:val="36"/>
                <w:rFonts w:hint="default" w:ascii="Times New Roman" w:hAnsi="Times New Roman" w:eastAsia="仿宋_GB2312" w:cs="Times New Roman"/>
                <w:sz w:val="18"/>
                <w:szCs w:val="18"/>
                <w:lang w:val="en-US" w:eastAsia="zh-CN" w:bidi="ar"/>
              </w:rPr>
              <w:t>得分</w:t>
            </w:r>
          </w:p>
        </w:tc>
      </w:tr>
      <w:tr w14:paraId="18CFF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6" w:hRule="atLeast"/>
          <w:jc w:val="center"/>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929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决策</w:t>
            </w: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E54B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项目立项</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9EF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立项依据充分性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25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4E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立项/决策是否符合法律法规、相关政策、发展规划以及部门职责，用以反映和考核决策（立项）的依据情况。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6E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①项目立项是否符合国家相关法律法规、国民经济发展规划和相关政策；</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②项目立项是否符合发展规划、年度工作任务等要求；</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③项目立项是否与部门职责范围相符，属于部门履职所需；</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④项目立项是否与相关部门或部门内部相关决策</w:t>
            </w:r>
            <w:r>
              <w:rPr>
                <w:rFonts w:hint="default" w:ascii="Times New Roman" w:hAnsi="Times New Roman" w:eastAsia="仿宋_GB2312" w:cs="Times New Roman"/>
                <w:i w:val="0"/>
                <w:iCs w:val="0"/>
                <w:color w:val="000000"/>
                <w:kern w:val="0"/>
                <w:sz w:val="18"/>
                <w:szCs w:val="18"/>
                <w:u w:val="none"/>
                <w:lang w:val="en-US" w:eastAsia="zh-CN" w:bidi="ar"/>
              </w:rPr>
              <w:t>/</w:t>
            </w:r>
            <w:r>
              <w:rPr>
                <w:rFonts w:hint="eastAsia" w:ascii="Times New Roman" w:hAnsi="Times New Roman" w:eastAsia="仿宋_GB2312" w:cs="Times New Roman"/>
                <w:i w:val="0"/>
                <w:iCs w:val="0"/>
                <w:color w:val="000000"/>
                <w:kern w:val="0"/>
                <w:sz w:val="18"/>
                <w:szCs w:val="18"/>
                <w:u w:val="none"/>
                <w:lang w:val="en-US" w:eastAsia="zh-CN" w:bidi="ar"/>
              </w:rPr>
              <w:t>项目重复；</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每发现一例不符扣</w:t>
            </w:r>
            <w:r>
              <w:rPr>
                <w:rFonts w:hint="default" w:ascii="Times New Roman" w:hAnsi="Times New Roman" w:eastAsia="仿宋_GB2312" w:cs="Times New Roman"/>
                <w:i w:val="0"/>
                <w:iCs w:val="0"/>
                <w:color w:val="000000"/>
                <w:kern w:val="0"/>
                <w:sz w:val="18"/>
                <w:szCs w:val="18"/>
                <w:u w:val="none"/>
                <w:lang w:val="en-US" w:eastAsia="zh-CN" w:bidi="ar"/>
              </w:rPr>
              <w:t>0.5</w:t>
            </w:r>
            <w:r>
              <w:rPr>
                <w:rFonts w:hint="eastAsia" w:ascii="Times New Roman" w:hAnsi="Times New Roman" w:eastAsia="仿宋_GB2312" w:cs="Times New Roman"/>
                <w:i w:val="0"/>
                <w:iCs w:val="0"/>
                <w:color w:val="000000"/>
                <w:kern w:val="0"/>
                <w:sz w:val="18"/>
                <w:szCs w:val="18"/>
                <w:u w:val="none"/>
                <w:lang w:val="en-US" w:eastAsia="zh-CN" w:bidi="ar"/>
              </w:rPr>
              <w:t>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71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按规定程序办理项目申报、立项与评审工作</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4FF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68945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2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9F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C67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项目申报规范性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BC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6E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项目申报是否符合相关法规，用以反映和考核项目申报的规范情况。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1D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①是否按有关政策、专项资金管理办法、申报通知等要求组织项目申报；</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②项目单位是否按照申报通知要求提出申请，且申请文件真实、完整、规范。</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每发现一例不符扣0.5分（同类问题不重复扣分），扣完为止。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4B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按规定程序办理项目申报、立项与评审工作</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26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09D39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6F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99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39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项目评审规范性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B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F6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项目审批程序是否完备、合规，用以反映和考核项目审核的规范情况。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9E0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①是否按照相关规定组织项目审查、专家评审、集体决策、领导批示、网上公示等程序；</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②审查通过的项目是否符合相关政策要求，是否属于专项资金管理办法支持类别。</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每发现一例不符扣0.5分，扣完为止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8A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按规定程序办理项目申报、立项与评审工作</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B1E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r>
      <w:tr w14:paraId="715C2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3"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FF0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11D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绩效目标</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58C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绩效目标合理性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CBF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111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绩效目标是否依据充分，是否符合客观实际，用以反映和考核项目绩效目标与项目实施的相符情况。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32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①是否设置绩效目标或相关的工作任务目标；</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②目标是否符合国家相关法律法规、国民经济发展规划和省委省政府重大部署；</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③是否与实际工作内容具有相关性；</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④是否与预算确定的项目投资额或资金量相匹配。</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每发现一项不符扣0.5分（同类问题不重复扣分），扣完为止。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8D9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专项及项目层面均设置了绩效目标或制定了实施方案，明确任务和目标，</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BD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r>
      <w:tr w14:paraId="739DE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7"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C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D4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5C9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绩效指标明确性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3B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1E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依据绩效目标设定的绩效指标是否清晰、细化、可衡量等，用以反映绩效目标的细化情况。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D73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①是否从数量、质量、时效以及经济效益、社会效益、生态效益、满意度等方面进行细化；</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②是否通过清晰、可衡量的指标值予以体现。不能以量化形式表述的，采用定性形式表述；</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③是否与目标任务数或工作计划数相对应。</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每发现一例不符扣</w:t>
            </w:r>
            <w:r>
              <w:rPr>
                <w:rFonts w:hint="default" w:ascii="Times New Roman" w:hAnsi="Times New Roman" w:eastAsia="仿宋_GB2312" w:cs="Times New Roman"/>
                <w:i w:val="0"/>
                <w:iCs w:val="0"/>
                <w:color w:val="000000"/>
                <w:kern w:val="0"/>
                <w:sz w:val="18"/>
                <w:szCs w:val="18"/>
                <w:u w:val="none"/>
                <w:lang w:val="en-US" w:eastAsia="zh-CN" w:bidi="ar"/>
              </w:rPr>
              <w:t>0.5</w:t>
            </w:r>
            <w:r>
              <w:rPr>
                <w:rFonts w:hint="eastAsia" w:ascii="Times New Roman" w:hAnsi="Times New Roman" w:eastAsia="仿宋_GB2312" w:cs="Times New Roman"/>
                <w:i w:val="0"/>
                <w:iCs w:val="0"/>
                <w:color w:val="000000"/>
                <w:kern w:val="0"/>
                <w:sz w:val="18"/>
                <w:szCs w:val="18"/>
                <w:u w:val="none"/>
                <w:lang w:val="en-US" w:eastAsia="zh-CN" w:bidi="ar"/>
              </w:rPr>
              <w:t>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390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部分项目绩效指标设置不合理，扣0.5分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59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1.5</w:t>
            </w:r>
          </w:p>
        </w:tc>
      </w:tr>
      <w:tr w14:paraId="6C02E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6AD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EED3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资金投入</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D7A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预算编制科学性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45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B67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预算编制是否经过科学论证、有明确标准，资金额度与年度目标是否相适应，用以反映和考核预算支出预算编制的科学性、合理性情况。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75B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①预算编制是否经过科学论证项目与支出内容是否匹配；</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②预算额度测算依据是否充分，是否按照标准编制；</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③预算确定的预算支出投资额或资金量是否与工作任务相匹配；</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每发现一例不符扣0.5分（同类问题不重复扣分），扣完为止。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F8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部分专项资金预算编制不科学，资金用途与项目实际实施周期、政策目标脱节。如岳阳楼博物馆古琴交流中心项目前期经费</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45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1.5</w:t>
            </w:r>
          </w:p>
        </w:tc>
      </w:tr>
      <w:tr w14:paraId="01FDA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EA2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66E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7F7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资金分配合理性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706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AB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预算资金分配是否有测算依据，与补助单位或地方实际是否相适应，用以反映和考核预算支出预算资金分配的科学性、合理性情况。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43B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①预算资金分配依据是否充分；</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②资金分配额度是否合理，与项目实施单位或地方实际是否相适应；</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③资金分配额度是否与项目单位或地方的目标任务相适应。</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每发现一例不符扣0.5分（同类问题不重复扣分），扣完为止。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E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部分项目资金测算依据不充分，项目资金结余较多</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94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1.5</w:t>
            </w:r>
          </w:p>
        </w:tc>
      </w:tr>
      <w:tr w14:paraId="58A77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8BA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过程</w:t>
            </w: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6F37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资金管理</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FB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资金到位率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779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86F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实际到位资金与预算资金的比率，用以反映和考核资金落实情况对预算支出实施的总体保障程度。</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185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资金到位率=（实际到位资金/指标下达金额）×100%。</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实际到位资金：截至2025年12月31日拨付到位的金额。</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指标下达金额：2025年度专项资金指标下达金额。</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得分=资金到位率*指标分值</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28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截至2025年12月31日，现场评价资金的到位率为67.33%</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522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2.02</w:t>
            </w:r>
          </w:p>
        </w:tc>
      </w:tr>
      <w:tr w14:paraId="40FAB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5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18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B21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DF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预算执行率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957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031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预算资金是否按照计划执行，用以反映或考核预算支出预算执行情况。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46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预算执行率=（实际支出资金/实际到位资金）×100%</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实际支出资金：截至2025年12月31日实际已支出的金额。</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实际到位资金：截至2025年12月31日拨付到位的金额。</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预算执行率≥90%，得满分。否则，每降低1%，扣0.1分。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DD5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截至2025年12月31日，已拨付到位的项目资金的执行率为79.53%</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3F3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2.39</w:t>
            </w:r>
          </w:p>
        </w:tc>
      </w:tr>
      <w:tr w14:paraId="34DC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8"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9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3E7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nil"/>
              <w:right w:val="single" w:color="000000" w:sz="4" w:space="0"/>
            </w:tcBorders>
            <w:shd w:val="clear" w:color="auto" w:fill="auto"/>
            <w:vAlign w:val="center"/>
          </w:tcPr>
          <w:p w14:paraId="5265BE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资金使用</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合规性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B24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6</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8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资金使用是否符合相关的财务管理制度规定，用以反映和考核预算资金的规范使用情况。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DE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①是否符合国家财经法规、财务管理制度、专项资金管理办法的规定；</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②资金的拨付是否有完整的审批程序和手续；</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③是否与预算批复的项目内容相符，是否保证专款专用；</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④是否存在截留、挤占、挪用、</w:t>
            </w:r>
            <w:r>
              <w:rPr>
                <w:rFonts w:hint="eastAsia" w:cs="Times New Roman"/>
                <w:i w:val="0"/>
                <w:iCs w:val="0"/>
                <w:color w:val="000000"/>
                <w:kern w:val="0"/>
                <w:sz w:val="18"/>
                <w:szCs w:val="18"/>
                <w:u w:val="none"/>
                <w:lang w:val="en-US" w:eastAsia="zh-CN" w:bidi="ar"/>
              </w:rPr>
              <w:t>虚列</w:t>
            </w:r>
            <w:r>
              <w:rPr>
                <w:rFonts w:hint="default" w:ascii="Times New Roman" w:hAnsi="Times New Roman" w:eastAsia="仿宋_GB2312" w:cs="Times New Roman"/>
                <w:i w:val="0"/>
                <w:iCs w:val="0"/>
                <w:color w:val="000000"/>
                <w:kern w:val="0"/>
                <w:sz w:val="18"/>
                <w:szCs w:val="18"/>
                <w:u w:val="none"/>
                <w:lang w:val="en-US" w:eastAsia="zh-CN" w:bidi="ar"/>
              </w:rPr>
              <w:t>支出等情况。</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上述①②③标准，出现一项不符则扣0.2分（同类问题不重复扣分）；标准④出现一项不符，扣1分，扣完为止。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AF0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部分项目单位专项资金使用和规范，存在项目间资金混用等现象，扣0.8分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B0A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5.2</w:t>
            </w:r>
          </w:p>
        </w:tc>
      </w:tr>
      <w:tr w14:paraId="37F8A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BE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29C7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组织实施</w:t>
            </w:r>
          </w:p>
        </w:tc>
        <w:tc>
          <w:tcPr>
            <w:tcW w:w="329" w:type="pct"/>
            <w:tcBorders>
              <w:top w:val="single" w:color="000000" w:sz="4" w:space="0"/>
              <w:left w:val="single" w:color="000000" w:sz="4" w:space="0"/>
              <w:bottom w:val="nil"/>
              <w:right w:val="single" w:color="000000" w:sz="4" w:space="0"/>
            </w:tcBorders>
            <w:shd w:val="clear" w:color="auto" w:fill="auto"/>
            <w:vAlign w:val="center"/>
          </w:tcPr>
          <w:p w14:paraId="0C8D12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管理制度健全性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F5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4</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E30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项目单位的财务和业务管理制度是否健全，用以反映和考核财务和业务管理制度对项目顺利实施的保障情况。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8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①项目单位内控制度健全，具有财务、业务、资产、合同等方面管理制度；</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②财务、业务管理制度是否合法、合规、完整，是否具有可操作性。</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每发现一例不符扣0.2分（同类问题不重复扣分），扣完为止。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E1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项目单位制度较为健全</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49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4</w:t>
            </w:r>
          </w:p>
        </w:tc>
      </w:tr>
      <w:tr w14:paraId="42537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2E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A1B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nil"/>
              <w:right w:val="single" w:color="000000" w:sz="4" w:space="0"/>
            </w:tcBorders>
            <w:shd w:val="clear" w:color="auto" w:fill="auto"/>
            <w:vAlign w:val="center"/>
          </w:tcPr>
          <w:p w14:paraId="0C90D2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制度执行</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有效性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AFB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6</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A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项目实施及过程管理是否按相关管理制度有效执行，用以反映和考核相关管理制度的有效执行情况。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DDC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①项目开展是否遵循各项规范文件、内控制度的规定；</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②项目调整及支出调整是否履行了必要的审批程序，手续是否完备；</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③项目实施的采购、招标、合同、验收等资料是否齐全并及时归档；</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每发现一例不符扣</w:t>
            </w:r>
            <w:r>
              <w:rPr>
                <w:rFonts w:hint="default" w:ascii="Times New Roman" w:hAnsi="Times New Roman" w:eastAsia="仿宋_GB2312" w:cs="Times New Roman"/>
                <w:i w:val="0"/>
                <w:iCs w:val="0"/>
                <w:color w:val="000000"/>
                <w:kern w:val="0"/>
                <w:sz w:val="18"/>
                <w:szCs w:val="18"/>
                <w:u w:val="none"/>
                <w:lang w:val="en-US" w:eastAsia="zh-CN" w:bidi="ar"/>
              </w:rPr>
              <w:t>0.5</w:t>
            </w:r>
            <w:r>
              <w:rPr>
                <w:rFonts w:hint="eastAsia" w:ascii="Times New Roman" w:hAnsi="Times New Roman" w:eastAsia="仿宋_GB2312" w:cs="Times New Roman"/>
                <w:i w:val="0"/>
                <w:iCs w:val="0"/>
                <w:color w:val="000000"/>
                <w:kern w:val="0"/>
                <w:sz w:val="18"/>
                <w:szCs w:val="18"/>
                <w:u w:val="none"/>
                <w:lang w:val="en-US" w:eastAsia="zh-CN" w:bidi="ar"/>
              </w:rPr>
              <w:t>分（同类问题不重复扣分），扣完为止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421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eastAsia" w:ascii="Times New Roman" w:hAnsi="Times New Roman" w:eastAsia="仿宋_GB2312"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4</w:t>
            </w:r>
            <w:r>
              <w:rPr>
                <w:rFonts w:hint="eastAsia" w:ascii="Times New Roman" w:hAnsi="Times New Roman" w:eastAsia="仿宋_GB2312" w:cs="Times New Roman"/>
                <w:i w:val="0"/>
                <w:iCs w:val="0"/>
                <w:color w:val="000000"/>
                <w:kern w:val="0"/>
                <w:sz w:val="18"/>
                <w:szCs w:val="18"/>
                <w:u w:val="none"/>
                <w:lang w:val="en-US" w:eastAsia="zh-CN" w:bidi="ar"/>
              </w:rPr>
              <w:t>个项目采购程序执行不规范</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E7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eastAsia" w:ascii="Times New Roman" w:hAnsi="Times New Roman" w:eastAsia="仿宋_GB2312"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4</w:t>
            </w:r>
          </w:p>
        </w:tc>
      </w:tr>
      <w:tr w14:paraId="46B87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jc w:val="center"/>
        </w:trPr>
        <w:tc>
          <w:tcPr>
            <w:tcW w:w="216" w:type="pct"/>
            <w:vMerge w:val="restart"/>
            <w:tcBorders>
              <w:top w:val="nil"/>
              <w:left w:val="single" w:color="000000" w:sz="4" w:space="0"/>
              <w:bottom w:val="nil"/>
              <w:right w:val="single" w:color="000000" w:sz="4" w:space="0"/>
            </w:tcBorders>
            <w:shd w:val="clear" w:color="auto" w:fill="auto"/>
            <w:vAlign w:val="center"/>
          </w:tcPr>
          <w:p w14:paraId="3215DF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成本指标</w:t>
            </w:r>
          </w:p>
        </w:tc>
        <w:tc>
          <w:tcPr>
            <w:tcW w:w="218" w:type="pct"/>
            <w:vMerge w:val="restart"/>
            <w:tcBorders>
              <w:top w:val="nil"/>
              <w:left w:val="single" w:color="000000" w:sz="4" w:space="0"/>
              <w:bottom w:val="single" w:color="000000" w:sz="4" w:space="0"/>
              <w:right w:val="single" w:color="000000" w:sz="4" w:space="0"/>
            </w:tcBorders>
            <w:shd w:val="clear" w:color="auto" w:fill="auto"/>
            <w:vAlign w:val="center"/>
          </w:tcPr>
          <w:p w14:paraId="1C45F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经济成本</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9F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项目成本控制率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E79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A1F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项目实施投资额不超过预算额。用于反映和考核项目成本的控制有效性。</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A6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实际投资额大于计划投资额，则属于项目建设超预计成本。其中，实际投资额：如期、保质、保量完成既定工作目标实际所耗费的支出；计划投资额：为完成工作目标计划安排的支出，一般以项目预计投资额为参考。</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每出现一例超预算的项目，扣该指标总分的0.2分，扣完为止。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14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根据怀化市文旅局自评报告，个别项目部分支出超出预算</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0B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2.8</w:t>
            </w:r>
          </w:p>
        </w:tc>
      </w:tr>
      <w:tr w14:paraId="2C616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jc w:val="center"/>
        </w:trPr>
        <w:tc>
          <w:tcPr>
            <w:tcW w:w="216" w:type="pct"/>
            <w:vMerge w:val="continue"/>
            <w:tcBorders>
              <w:top w:val="nil"/>
              <w:left w:val="single" w:color="000000" w:sz="4" w:space="0"/>
              <w:bottom w:val="nil"/>
              <w:right w:val="single" w:color="000000" w:sz="4" w:space="0"/>
            </w:tcBorders>
            <w:shd w:val="clear" w:color="auto" w:fill="auto"/>
            <w:vAlign w:val="center"/>
          </w:tcPr>
          <w:p w14:paraId="0F0BD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nil"/>
              <w:left w:val="single" w:color="000000" w:sz="4" w:space="0"/>
              <w:bottom w:val="single" w:color="000000" w:sz="4" w:space="0"/>
              <w:right w:val="single" w:color="000000" w:sz="4" w:space="0"/>
            </w:tcBorders>
            <w:shd w:val="clear" w:color="auto" w:fill="auto"/>
            <w:vAlign w:val="center"/>
          </w:tcPr>
          <w:p w14:paraId="4E96AA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D3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项目奖补未超标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044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FF9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专项资金对项目的奖补标准未超标。用于</w:t>
            </w:r>
            <w:r>
              <w:rPr>
                <w:rFonts w:hint="eastAsia" w:cs="Times New Roman"/>
                <w:i w:val="0"/>
                <w:iCs w:val="0"/>
                <w:color w:val="000000"/>
                <w:kern w:val="0"/>
                <w:sz w:val="18"/>
                <w:szCs w:val="18"/>
                <w:u w:val="none"/>
                <w:lang w:val="en-US" w:eastAsia="zh-CN" w:bidi="ar"/>
              </w:rPr>
              <w:t>反映</w:t>
            </w:r>
            <w:r>
              <w:rPr>
                <w:rFonts w:hint="default" w:ascii="Times New Roman" w:hAnsi="Times New Roman" w:eastAsia="仿宋_GB2312" w:cs="Times New Roman"/>
                <w:i w:val="0"/>
                <w:iCs w:val="0"/>
                <w:color w:val="000000"/>
                <w:kern w:val="0"/>
                <w:sz w:val="18"/>
                <w:szCs w:val="18"/>
                <w:u w:val="none"/>
                <w:lang w:val="en-US" w:eastAsia="zh-CN" w:bidi="ar"/>
              </w:rPr>
              <w:t>和考核专项资金奖补按标准控制的程度。</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4B3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各项目奖补标准均按专项资金管理办法、分配方案等标准执行，得3分，否则出现一类不符，扣0.5分，扣完为止。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F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各项奖补均按制度或方案执行，未超标，得满分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86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4E10D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216" w:type="pct"/>
            <w:vMerge w:val="continue"/>
            <w:tcBorders>
              <w:top w:val="nil"/>
              <w:left w:val="single" w:color="000000" w:sz="4" w:space="0"/>
              <w:bottom w:val="nil"/>
              <w:right w:val="single" w:color="000000" w:sz="4" w:space="0"/>
            </w:tcBorders>
            <w:shd w:val="clear" w:color="auto" w:fill="auto"/>
            <w:vAlign w:val="center"/>
          </w:tcPr>
          <w:p w14:paraId="793BF0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nil"/>
              <w:left w:val="single" w:color="000000" w:sz="4" w:space="0"/>
              <w:bottom w:val="single" w:color="000000" w:sz="4" w:space="0"/>
              <w:right w:val="single" w:color="000000" w:sz="4" w:space="0"/>
            </w:tcBorders>
            <w:shd w:val="clear" w:color="auto" w:fill="auto"/>
            <w:vAlign w:val="center"/>
          </w:tcPr>
          <w:p w14:paraId="2DE57B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生态成本</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561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生态环境破坏损失</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0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B6D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用以考核和反映在项目实施过程中</w:t>
            </w:r>
            <w:r>
              <w:rPr>
                <w:rFonts w:hint="eastAsia" w:ascii="Times New Roman" w:hAnsi="Times New Roman" w:eastAsia="仿宋_GB2312" w:cs="Times New Roman"/>
                <w:i w:val="0"/>
                <w:iCs w:val="0"/>
                <w:color w:val="000000"/>
                <w:kern w:val="0"/>
                <w:sz w:val="18"/>
                <w:szCs w:val="18"/>
                <w:u w:val="none"/>
                <w:lang w:val="en-US" w:eastAsia="zh-CN" w:bidi="ar"/>
              </w:rPr>
              <w:t>，</w:t>
            </w:r>
            <w:r>
              <w:rPr>
                <w:rFonts w:hint="default" w:ascii="Times New Roman" w:hAnsi="Times New Roman" w:eastAsia="仿宋_GB2312" w:cs="Times New Roman"/>
                <w:i w:val="0"/>
                <w:iCs w:val="0"/>
                <w:color w:val="000000"/>
                <w:kern w:val="0"/>
                <w:sz w:val="18"/>
                <w:szCs w:val="18"/>
                <w:u w:val="none"/>
                <w:lang w:val="en-US" w:eastAsia="zh-CN" w:bidi="ar"/>
              </w:rPr>
              <w:t>为了保护环境和实现可持续发展所付出的经济代价</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42F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未发生因违规操作引发的生态环境重大破坏，得2分。否则出现一例扣2分。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16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未发生，得满分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3B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r>
      <w:tr w14:paraId="7231E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35" w:hRule="atLeast"/>
          <w:jc w:val="center"/>
        </w:trPr>
        <w:tc>
          <w:tcPr>
            <w:tcW w:w="216" w:type="pct"/>
            <w:vMerge w:val="restart"/>
            <w:tcBorders>
              <w:top w:val="single" w:color="000000" w:sz="4" w:space="0"/>
              <w:left w:val="single" w:color="000000" w:sz="4" w:space="0"/>
              <w:bottom w:val="nil"/>
              <w:right w:val="single" w:color="000000" w:sz="4" w:space="0"/>
            </w:tcBorders>
            <w:shd w:val="clear" w:color="auto" w:fill="auto"/>
            <w:vAlign w:val="center"/>
          </w:tcPr>
          <w:p w14:paraId="51551B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w:t>
            </w: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D2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产出数量</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AF9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实际完成率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794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7</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4A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专项资金所支持项目的完成情况，用以考核和反映项目单位项目计划完成工作、任务、目标数量的达成情况。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D06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单位计划完成工作、任务、目标数量的达成情况，包括宣传推广项目、文旅业务活动、旅游资源普查、演艺惠民活动、艺术精品（群文作品）创作及复排活动、省级非物质文化遗产代表性传承人开展传承活动等。</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得分=实际完成值/计划完成值*分值</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0BC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根据现场评价统计情况，37个项目未完成计划的任务，实际完成率为77.58%</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41B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5.43</w:t>
            </w:r>
          </w:p>
        </w:tc>
      </w:tr>
      <w:tr w14:paraId="48306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2" w:hRule="atLeast"/>
          <w:jc w:val="center"/>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5160A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60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产出质量</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EC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质量达标率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484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7</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DD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项目完成的质量达标情况，用以反映和考核项目实施质量目标的实现程度。</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AC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所支持项目完成后实际达到既定质量标准，包括依据计划标准、行业标准、历史标准或其他标准设定的预期质量指标。如惠民演出优质率、艺术精品创作项目优良率、文创产品代表性等方面质量指标的达成情况。</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default" w:ascii="Times New Roman" w:hAnsi="Times New Roman" w:eastAsia="仿宋_GB2312" w:cs="Times New Roman"/>
                <w:i w:val="0"/>
                <w:iCs w:val="0"/>
                <w:color w:val="000000"/>
                <w:kern w:val="0"/>
                <w:sz w:val="18"/>
                <w:szCs w:val="18"/>
                <w:u w:val="none"/>
                <w:lang w:val="en-US" w:eastAsia="zh-CN" w:bidi="ar"/>
              </w:rPr>
              <w:t>每发现一例不符扣0.5分，扣完为止。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5A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靖州苗族侗族自治县九苓经济建设投资有限公司：靖州茯苓文化科技馆建设</w:t>
            </w:r>
            <w:r>
              <w:rPr>
                <w:rFonts w:hint="default" w:cs="Times New Roman"/>
                <w:i w:val="0"/>
                <w:iCs w:val="0"/>
                <w:color w:val="000000"/>
                <w:kern w:val="0"/>
                <w:sz w:val="18"/>
                <w:szCs w:val="18"/>
                <w:u w:val="none"/>
                <w:lang w:val="en-US" w:eastAsia="zh-CN" w:bidi="ar"/>
              </w:rPr>
              <w:t>，</w:t>
            </w:r>
            <w:r>
              <w:rPr>
                <w:rFonts w:hint="eastAsia" w:ascii="Times New Roman" w:hAnsi="Times New Roman" w:eastAsia="仿宋_GB2312" w:cs="Times New Roman"/>
                <w:i w:val="0"/>
                <w:iCs w:val="0"/>
                <w:color w:val="000000"/>
                <w:kern w:val="0"/>
                <w:sz w:val="18"/>
                <w:szCs w:val="18"/>
                <w:u w:val="none"/>
                <w:lang w:val="en-US" w:eastAsia="zh-CN" w:bidi="ar"/>
              </w:rPr>
              <w:t>根据游客反馈，部分展览陈列与智能化设施需进行进一步优化调整。</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12E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6.5</w:t>
            </w:r>
          </w:p>
        </w:tc>
      </w:tr>
      <w:tr w14:paraId="6BB84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E4D47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B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产出时效</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BF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完成及时性</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2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6</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53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项目实际完成时间与计划完成时间的比较，用以反映和考核项目按预期计划或规定时间完成。</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B8C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是否在规定时间或计划周期内完成项目建设、达成既定目标等。存在一例延期，则扣0.1分。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1A4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27</w:t>
            </w:r>
            <w:r>
              <w:rPr>
                <w:rFonts w:hint="default" w:ascii="Times New Roman" w:hAnsi="Times New Roman" w:eastAsia="仿宋_GB2312" w:cs="Times New Roman"/>
                <w:i w:val="0"/>
                <w:iCs w:val="0"/>
                <w:color w:val="000000"/>
                <w:kern w:val="0"/>
                <w:sz w:val="18"/>
                <w:szCs w:val="18"/>
                <w:u w:val="none"/>
                <w:lang w:val="en-US" w:eastAsia="zh-CN" w:bidi="ar"/>
              </w:rPr>
              <w:t>个项目实施进度存在延期，扣</w:t>
            </w:r>
            <w:r>
              <w:rPr>
                <w:rFonts w:hint="default" w:cs="Times New Roman"/>
                <w:i w:val="0"/>
                <w:iCs w:val="0"/>
                <w:color w:val="000000"/>
                <w:kern w:val="0"/>
                <w:sz w:val="18"/>
                <w:szCs w:val="18"/>
                <w:u w:val="none"/>
                <w:lang w:val="en-US" w:eastAsia="zh-CN" w:bidi="ar"/>
              </w:rPr>
              <w:t>2.7</w:t>
            </w:r>
            <w:r>
              <w:rPr>
                <w:rFonts w:hint="default" w:ascii="Times New Roman" w:hAnsi="Times New Roman" w:eastAsia="仿宋_GB2312" w:cs="Times New Roman"/>
                <w:i w:val="0"/>
                <w:iCs w:val="0"/>
                <w:color w:val="000000"/>
                <w:kern w:val="0"/>
                <w:sz w:val="18"/>
                <w:szCs w:val="18"/>
                <w:u w:val="none"/>
                <w:lang w:val="en-US" w:eastAsia="zh-CN" w:bidi="ar"/>
              </w:rPr>
              <w:t>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F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cs="Times New Roman"/>
                <w:i w:val="0"/>
                <w:iCs w:val="0"/>
                <w:color w:val="000000"/>
                <w:kern w:val="0"/>
                <w:sz w:val="18"/>
                <w:szCs w:val="18"/>
                <w:u w:val="none"/>
                <w:lang w:val="en-US" w:eastAsia="zh-CN" w:bidi="ar"/>
              </w:rPr>
              <w:t>3.3</w:t>
            </w:r>
          </w:p>
        </w:tc>
      </w:tr>
      <w:tr w14:paraId="277D1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2" w:hRule="atLeast"/>
          <w:jc w:val="center"/>
        </w:trPr>
        <w:tc>
          <w:tcPr>
            <w:tcW w:w="2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1F1E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效益</w:t>
            </w:r>
          </w:p>
        </w:tc>
        <w:tc>
          <w:tcPr>
            <w:tcW w:w="218" w:type="pct"/>
            <w:vMerge w:val="restart"/>
            <w:tcBorders>
              <w:top w:val="single" w:color="000000" w:sz="4" w:space="0"/>
              <w:left w:val="single" w:color="000000" w:sz="4" w:space="0"/>
              <w:bottom w:val="nil"/>
              <w:right w:val="single" w:color="000000" w:sz="4" w:space="0"/>
            </w:tcBorders>
            <w:shd w:val="clear" w:color="auto" w:fill="auto"/>
            <w:vAlign w:val="center"/>
          </w:tcPr>
          <w:p w14:paraId="24561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经济效益</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FC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促进游客总花费增长率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089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099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项目实施或专项资金投入促使旅游行业发展而带来的经济收益情况。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101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促进游客总花费增长率≥7%，得满分，否则得分=实际促进游客总花费增长率/7%*指标分值。</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EDA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实际总花费同比增长9.02%，得满分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0EF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1FBE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D00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nil"/>
              <w:right w:val="single" w:color="000000" w:sz="4" w:space="0"/>
            </w:tcBorders>
            <w:shd w:val="clear" w:color="auto" w:fill="auto"/>
            <w:vAlign w:val="center"/>
          </w:tcPr>
          <w:p w14:paraId="63CB18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B7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规上文化和相关产业企业营收</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E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A65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项目实施或专项资金投入促使旅游行业发展而带来的经济收益情况。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470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规上文化和相关产业企业营收≥3300亿元，得满分，否则得分=实际完成值/3300亿元*指标分值。</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788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前三季度，全省规上文旅及相关产业企业达7629家，营收3388.79亿元，已超出计划完成值。因此，得满分。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47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458C0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6"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F62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nil"/>
              <w:right w:val="single" w:color="000000" w:sz="4" w:space="0"/>
            </w:tcBorders>
            <w:shd w:val="clear" w:color="auto" w:fill="auto"/>
            <w:vAlign w:val="center"/>
          </w:tcPr>
          <w:p w14:paraId="7BE802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CC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促进接待游客人数增长率</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F18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842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项目实施或专项资金投入促使旅游行业发展而带来的经济收益情况。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BC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促进接待游客人数增长率≥7%，得满分，否则得分=实际完成率/7%*指标分值。</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25A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全年接待游客</w:t>
            </w:r>
            <w:r>
              <w:rPr>
                <w:rFonts w:hint="default" w:ascii="Times New Roman" w:hAnsi="Times New Roman" w:eastAsia="仿宋_GB2312" w:cs="Times New Roman"/>
                <w:i w:val="0"/>
                <w:iCs w:val="0"/>
                <w:color w:val="000000"/>
                <w:kern w:val="0"/>
                <w:sz w:val="18"/>
                <w:szCs w:val="18"/>
                <w:u w:val="none"/>
                <w:lang w:val="en-US" w:eastAsia="zh-CN" w:bidi="ar"/>
              </w:rPr>
              <w:t>8.19</w:t>
            </w:r>
            <w:r>
              <w:rPr>
                <w:rFonts w:hint="eastAsia" w:ascii="Times New Roman" w:hAnsi="Times New Roman" w:eastAsia="仿宋_GB2312" w:cs="Times New Roman"/>
                <w:i w:val="0"/>
                <w:iCs w:val="0"/>
                <w:color w:val="000000"/>
                <w:kern w:val="0"/>
                <w:sz w:val="18"/>
                <w:szCs w:val="18"/>
                <w:u w:val="none"/>
                <w:lang w:val="en-US" w:eastAsia="zh-CN" w:bidi="ar"/>
              </w:rPr>
              <w:t>亿人次，同口径比增长10.56%</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0C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44E7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B6A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9F3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社会效益</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C81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产业融合发展</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0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2EC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推动旅游与其他产业的融合</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DA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①推动旅游与其他产业的融合</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②弘扬革命传统、提升红色旅游吸引力</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③提高本地居民对本地文化、旅游的热情</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以上一项指标未达标扣</w:t>
            </w:r>
            <w:r>
              <w:rPr>
                <w:rFonts w:hint="default" w:ascii="Times New Roman" w:hAnsi="Times New Roman" w:eastAsia="仿宋_GB2312" w:cs="Times New Roman"/>
                <w:i w:val="0"/>
                <w:iCs w:val="0"/>
                <w:color w:val="000000"/>
                <w:kern w:val="0"/>
                <w:sz w:val="18"/>
                <w:szCs w:val="18"/>
                <w:u w:val="none"/>
                <w:lang w:val="en-US" w:eastAsia="zh-CN" w:bidi="ar"/>
              </w:rPr>
              <w:t>1</w:t>
            </w:r>
            <w:r>
              <w:rPr>
                <w:rFonts w:hint="eastAsia" w:ascii="Times New Roman" w:hAnsi="Times New Roman" w:eastAsia="仿宋_GB2312" w:cs="Times New Roman"/>
                <w:i w:val="0"/>
                <w:iCs w:val="0"/>
                <w:color w:val="000000"/>
                <w:kern w:val="0"/>
                <w:sz w:val="18"/>
                <w:szCs w:val="18"/>
                <w:u w:val="none"/>
                <w:lang w:val="en-US" w:eastAsia="zh-CN" w:bidi="ar"/>
              </w:rPr>
              <w:t>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B4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2025年度文旅与农业、工业、教育、康养等产业的深度融合，打造了一批乡村旅游、工业旅游、研学旅游示范项目；通过红色文化主题展陈、红色旅游线路优化等方式，弘扬革命传统，红色旅游吸引力显著提升；项目实施过程中，通过文旅惠民活动、文化宣传推广等形式，有效提高了本地居民对本土文化和旅游的认同感与参与热情。</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2F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2F7AC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13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CB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CBC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项目实施运行效果</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B4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4</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278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项目实施或专项资金投入对旅游行业秩序的影响，用于反映和考核旅游行业秩序的稳定情况。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1F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①全省文旅行业投资环境得到改善；</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②未发生重大旅游安全事故；</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③无重大旅游投诉；</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④无旅游负面舆情、旅游市场失信等市场秩序问题等。</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以上一项指标未达标扣</w:t>
            </w:r>
            <w:r>
              <w:rPr>
                <w:rFonts w:hint="default" w:ascii="Times New Roman" w:hAnsi="Times New Roman" w:eastAsia="仿宋_GB2312" w:cs="Times New Roman"/>
                <w:i w:val="0"/>
                <w:iCs w:val="0"/>
                <w:color w:val="000000"/>
                <w:kern w:val="0"/>
                <w:sz w:val="18"/>
                <w:szCs w:val="18"/>
                <w:u w:val="none"/>
                <w:lang w:val="en-US" w:eastAsia="zh-CN" w:bidi="ar"/>
              </w:rPr>
              <w:t>1</w:t>
            </w:r>
            <w:r>
              <w:rPr>
                <w:rFonts w:hint="eastAsia" w:ascii="Times New Roman" w:hAnsi="Times New Roman" w:eastAsia="仿宋_GB2312" w:cs="Times New Roman"/>
                <w:i w:val="0"/>
                <w:iCs w:val="0"/>
                <w:color w:val="000000"/>
                <w:kern w:val="0"/>
                <w:sz w:val="18"/>
                <w:szCs w:val="18"/>
                <w:u w:val="none"/>
                <w:lang w:val="en-US" w:eastAsia="zh-CN" w:bidi="ar"/>
              </w:rPr>
              <w:t>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854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2025年度全省文旅行业投资环境得到改善，推动了项目落地与市场活力提升；全年未发生重大旅游安全事故，未出现重大旅游投诉，也无重大旅游负面舆情、旅游市场失信等影响行业秩序的问题。</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716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4</w:t>
            </w:r>
          </w:p>
        </w:tc>
      </w:tr>
      <w:tr w14:paraId="3D843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3C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F2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9DD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文化惠民与公共服务普及效果</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28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2</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252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用于衡量推动公共文化服务均等化、普惠化方面的成效，反映通过开展免费开放、惠民演出、文旅消费惠民等活动受益覆盖面与服务质量。</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3E7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①公共文化场馆免费开放率100%，且全年无重大服务投诉，得1分。否则扣1分。</w:t>
            </w:r>
            <w:r>
              <w:rPr>
                <w:rFonts w:hint="eastAsia"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②年度文旅惠民活动场次、受益人次均达到或超过年度目标，且活动台账、佐证材料完整规范。得1分，否则，</w:t>
            </w:r>
            <w:r>
              <w:rPr>
                <w:rFonts w:hint="eastAsia" w:cs="Times New Roman"/>
                <w:i w:val="0"/>
                <w:iCs w:val="0"/>
                <w:color w:val="000000"/>
                <w:kern w:val="0"/>
                <w:sz w:val="18"/>
                <w:szCs w:val="18"/>
                <w:u w:val="none"/>
                <w:lang w:val="en-US" w:eastAsia="zh-CN" w:bidi="ar"/>
              </w:rPr>
              <w:t>每</w:t>
            </w:r>
            <w:r>
              <w:rPr>
                <w:rFonts w:hint="eastAsia" w:ascii="Times New Roman" w:hAnsi="Times New Roman" w:eastAsia="仿宋_GB2312" w:cs="Times New Roman"/>
                <w:i w:val="0"/>
                <w:iCs w:val="0"/>
                <w:color w:val="000000"/>
                <w:kern w:val="0"/>
                <w:sz w:val="18"/>
                <w:szCs w:val="18"/>
                <w:u w:val="none"/>
                <w:lang w:val="en-US" w:eastAsia="zh-CN" w:bidi="ar"/>
              </w:rPr>
              <w:t>出现一例，扣0.2分。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11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全省公共文化场馆免费开放率达 100%，全年无重大服务投诉；共开展送戏下乡、文化进万家、戏曲进校园等各类文旅惠民活动7.12万场次，受益群众达926万人次</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0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2</w:t>
            </w:r>
          </w:p>
        </w:tc>
      </w:tr>
      <w:tr w14:paraId="357C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3D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C1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084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文旅公共服务均等化与区域协调效果</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AAF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22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用于衡量专项资金在推动全省文旅公共服务均衡发展、缩小区域与群体差距方面的成效</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76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①专项资金项目实现全省14个市州全覆盖，得2分，否则，每少1个扣0.5分。</w:t>
            </w:r>
            <w:r>
              <w:rPr>
                <w:rFonts w:hint="eastAsia"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②乡村旅游惠及行政村数量、特殊群体文旅服务覆盖率均达到或超过年度目标，且无重大区域发展失衡问题，1分。否则出现一例未达标扣0.2分。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82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专项资金实现 14 个市州全覆盖；“四个一百” 工程规划到2025年省级乡村旅游重点村镇达到342家</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AFC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3</w:t>
            </w:r>
          </w:p>
        </w:tc>
      </w:tr>
      <w:tr w14:paraId="4F675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86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F9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生态效益</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52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旅游环境改善情况</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AA0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4</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0BC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项目实施对旅游环境所带来的直接或间接影响，用以考核和反映旅游业发展对</w:t>
            </w:r>
            <w:r>
              <w:rPr>
                <w:rFonts w:hint="eastAsia" w:cs="Times New Roman"/>
                <w:i w:val="0"/>
                <w:iCs w:val="0"/>
                <w:color w:val="000000"/>
                <w:kern w:val="0"/>
                <w:sz w:val="18"/>
                <w:szCs w:val="18"/>
                <w:u w:val="none"/>
                <w:lang w:val="en-US" w:eastAsia="zh-CN" w:bidi="ar"/>
              </w:rPr>
              <w:t>生态环境保护</w:t>
            </w:r>
            <w:r>
              <w:rPr>
                <w:rFonts w:hint="default" w:ascii="Times New Roman" w:hAnsi="Times New Roman" w:eastAsia="仿宋_GB2312" w:cs="Times New Roman"/>
                <w:i w:val="0"/>
                <w:iCs w:val="0"/>
                <w:color w:val="000000"/>
                <w:kern w:val="0"/>
                <w:sz w:val="18"/>
                <w:szCs w:val="18"/>
                <w:u w:val="none"/>
                <w:lang w:val="en-US" w:eastAsia="zh-CN" w:bidi="ar"/>
              </w:rPr>
              <w:t>情况。</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7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①未发生生态环境破坏事件；</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②项目单位是否收到环保局等部门的整改通知书。</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以上事例，发生一起扣</w:t>
            </w:r>
            <w:r>
              <w:rPr>
                <w:rFonts w:hint="default" w:ascii="Times New Roman" w:hAnsi="Times New Roman" w:eastAsia="仿宋_GB2312" w:cs="Times New Roman"/>
                <w:i w:val="0"/>
                <w:iCs w:val="0"/>
                <w:color w:val="000000"/>
                <w:kern w:val="0"/>
                <w:sz w:val="18"/>
                <w:szCs w:val="18"/>
                <w:u w:val="none"/>
                <w:lang w:val="en-US" w:eastAsia="zh-CN" w:bidi="ar"/>
              </w:rPr>
              <w:t>2</w:t>
            </w:r>
            <w:r>
              <w:rPr>
                <w:rFonts w:hint="eastAsia" w:ascii="Times New Roman" w:hAnsi="Times New Roman" w:eastAsia="仿宋_GB2312" w:cs="Times New Roman"/>
                <w:i w:val="0"/>
                <w:iCs w:val="0"/>
                <w:color w:val="000000"/>
                <w:kern w:val="0"/>
                <w:sz w:val="18"/>
                <w:szCs w:val="18"/>
                <w:u w:val="none"/>
                <w:lang w:val="en-US" w:eastAsia="zh-CN" w:bidi="ar"/>
              </w:rPr>
              <w:t>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72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未发生环境破坏事件</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B7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4</w:t>
            </w:r>
          </w:p>
        </w:tc>
      </w:tr>
      <w:tr w14:paraId="7C584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88D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A36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可持续影响</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57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项目实施可持续效果</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DD4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4</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F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项目实施在人力、物力、财力及机制等方面所提供的持续性的保障，以确保项目带来可持续的效果。</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C3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①项目建设成果是否在一定时期内持续运营；</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②是否有专门机构或人员管理和维护项目成果；</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③是否有稳定的资金来源对项目成果进行维护和利用；</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④是否具备影响项目正常运营的主要问题和解决问题的对策。</w:t>
            </w:r>
            <w:r>
              <w:rPr>
                <w:rFonts w:hint="default" w:ascii="Times New Roman" w:hAnsi="Times New Roman" w:eastAsia="仿宋_GB2312" w:cs="Times New Roman"/>
                <w:i w:val="0"/>
                <w:iCs w:val="0"/>
                <w:color w:val="000000"/>
                <w:kern w:val="0"/>
                <w:sz w:val="18"/>
                <w:szCs w:val="18"/>
                <w:u w:val="none"/>
                <w:lang w:val="en-US" w:eastAsia="zh-CN" w:bidi="ar"/>
              </w:rPr>
              <w:br w:type="textWrapping"/>
            </w:r>
            <w:r>
              <w:rPr>
                <w:rFonts w:hint="eastAsia" w:ascii="Times New Roman" w:hAnsi="Times New Roman" w:eastAsia="仿宋_GB2312" w:cs="Times New Roman"/>
                <w:i w:val="0"/>
                <w:iCs w:val="0"/>
                <w:color w:val="000000"/>
                <w:kern w:val="0"/>
                <w:sz w:val="18"/>
                <w:szCs w:val="18"/>
                <w:u w:val="none"/>
                <w:lang w:val="en-US" w:eastAsia="zh-CN" w:bidi="ar"/>
              </w:rPr>
              <w:t>以上存在一项缺失，扣</w:t>
            </w:r>
            <w:r>
              <w:rPr>
                <w:rFonts w:hint="default" w:ascii="Times New Roman" w:hAnsi="Times New Roman" w:eastAsia="仿宋_GB2312" w:cs="Times New Roman"/>
                <w:i w:val="0"/>
                <w:iCs w:val="0"/>
                <w:color w:val="000000"/>
                <w:kern w:val="0"/>
                <w:sz w:val="18"/>
                <w:szCs w:val="18"/>
                <w:u w:val="none"/>
                <w:lang w:val="en-US" w:eastAsia="zh-CN" w:bidi="ar"/>
              </w:rPr>
              <w:t>0.5</w:t>
            </w:r>
            <w:r>
              <w:rPr>
                <w:rFonts w:hint="eastAsia" w:ascii="Times New Roman" w:hAnsi="Times New Roman" w:eastAsia="仿宋_GB2312" w:cs="Times New Roman"/>
                <w:i w:val="0"/>
                <w:iCs w:val="0"/>
                <w:color w:val="000000"/>
                <w:kern w:val="0"/>
                <w:sz w:val="18"/>
                <w:szCs w:val="18"/>
                <w:u w:val="none"/>
                <w:lang w:val="en-US" w:eastAsia="zh-CN" w:bidi="ar"/>
              </w:rPr>
              <w:t>分，扣完为止。</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664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ascii="Times New Roman" w:hAnsi="Times New Roman" w:eastAsia="仿宋_GB2312" w:cs="Times New Roman"/>
                <w:i w:val="0"/>
                <w:iCs w:val="0"/>
                <w:color w:val="000000"/>
                <w:kern w:val="0"/>
                <w:sz w:val="18"/>
                <w:szCs w:val="18"/>
                <w:u w:val="none"/>
                <w:lang w:val="en-US" w:eastAsia="zh-CN" w:bidi="ar"/>
              </w:rPr>
              <w:t>个别地区社会资本参与红色文旅项目的长效机制不完善、个别地区淡季设备利用率有待提升。扣1分</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A6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3</w:t>
            </w:r>
          </w:p>
        </w:tc>
      </w:tr>
      <w:tr w14:paraId="41DF0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7" w:hRule="atLeast"/>
          <w:jc w:val="center"/>
        </w:trPr>
        <w:tc>
          <w:tcPr>
            <w:tcW w:w="2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71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rPr>
                <w:rFonts w:hint="default" w:ascii="Times New Roman" w:hAnsi="Times New Roman" w:eastAsia="仿宋_GB2312" w:cs="Times New Roman"/>
                <w:i w:val="0"/>
                <w:iCs w:val="0"/>
                <w:color w:val="000000"/>
                <w:sz w:val="18"/>
                <w:szCs w:val="18"/>
                <w:u w:val="none"/>
              </w:rPr>
            </w:pPr>
          </w:p>
        </w:tc>
        <w:tc>
          <w:tcPr>
            <w:tcW w:w="2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A0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满意度</w:t>
            </w:r>
          </w:p>
        </w:tc>
        <w:tc>
          <w:tcPr>
            <w:tcW w:w="3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C39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社会公众或服务对象或满意度</w:t>
            </w:r>
          </w:p>
        </w:tc>
        <w:tc>
          <w:tcPr>
            <w:tcW w:w="1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60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5</w:t>
            </w:r>
          </w:p>
        </w:tc>
        <w:tc>
          <w:tcPr>
            <w:tcW w:w="8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D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社会公众或服务对象对项目实施效果的满意程度</w:t>
            </w:r>
          </w:p>
        </w:tc>
        <w:tc>
          <w:tcPr>
            <w:tcW w:w="19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8EB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default" w:ascii="Times New Roman" w:hAnsi="Times New Roman" w:eastAsia="仿宋_GB2312" w:cs="Times New Roman"/>
                <w:i w:val="0"/>
                <w:iCs w:val="0"/>
                <w:color w:val="000000"/>
                <w:kern w:val="0"/>
                <w:sz w:val="18"/>
                <w:szCs w:val="18"/>
                <w:u w:val="none"/>
                <w:lang w:val="en-US" w:eastAsia="zh-CN" w:bidi="ar"/>
              </w:rPr>
              <w:t>根据满意度调查问卷统计满意度比例。满意度比例≥90%，得满分；低于90%，每降低1%扣0.2分；低于75%不得分。</w:t>
            </w: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44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left"/>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满意度比例为90.99%</w:t>
            </w: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1E69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kern w:val="0"/>
                <w:sz w:val="18"/>
                <w:szCs w:val="18"/>
                <w:u w:val="none"/>
                <w:lang w:val="en-US" w:eastAsia="zh-CN" w:bidi="ar"/>
              </w:rPr>
            </w:pPr>
            <w:r>
              <w:rPr>
                <w:rFonts w:hint="eastAsia" w:cs="Times New Roman"/>
                <w:i w:val="0"/>
                <w:iCs w:val="0"/>
                <w:color w:val="000000"/>
                <w:kern w:val="0"/>
                <w:sz w:val="18"/>
                <w:szCs w:val="18"/>
                <w:u w:val="none"/>
                <w:lang w:val="en-US" w:eastAsia="zh-CN" w:bidi="ar"/>
              </w:rPr>
              <w:t>5</w:t>
            </w:r>
          </w:p>
        </w:tc>
      </w:tr>
      <w:tr w14:paraId="65BF9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7" w:hRule="atLeast"/>
          <w:jc w:val="center"/>
        </w:trPr>
        <w:tc>
          <w:tcPr>
            <w:tcW w:w="76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AA3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合计</w:t>
            </w:r>
          </w:p>
        </w:tc>
        <w:tc>
          <w:tcPr>
            <w:tcW w:w="1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DA4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rPr>
            </w:pPr>
            <w:r>
              <w:rPr>
                <w:rFonts w:hint="default" w:ascii="Times New Roman" w:hAnsi="Times New Roman" w:eastAsia="仿宋_GB2312" w:cs="Times New Roman"/>
                <w:i w:val="0"/>
                <w:iCs w:val="0"/>
                <w:color w:val="000000"/>
                <w:kern w:val="0"/>
                <w:sz w:val="18"/>
                <w:szCs w:val="18"/>
                <w:u w:val="none"/>
                <w:lang w:val="en-US" w:eastAsia="zh-CN" w:bidi="ar"/>
              </w:rPr>
              <w:t>100</w:t>
            </w:r>
          </w:p>
        </w:tc>
        <w:tc>
          <w:tcPr>
            <w:tcW w:w="8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B48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19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B6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10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326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rPr>
                <w:rFonts w:hint="default" w:ascii="Times New Roman" w:hAnsi="Times New Roman" w:eastAsia="仿宋_GB2312" w:cs="Times New Roman"/>
                <w:i w:val="0"/>
                <w:iCs w:val="0"/>
                <w:color w:val="000000"/>
                <w:sz w:val="18"/>
                <w:szCs w:val="18"/>
                <w:u w:val="none"/>
              </w:rPr>
            </w:pPr>
          </w:p>
        </w:tc>
        <w:tc>
          <w:tcPr>
            <w:tcW w:w="2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4A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20" w:lineRule="exact"/>
              <w:ind w:left="0" w:right="0" w:firstLine="0" w:firstLineChars="0"/>
              <w:jc w:val="center"/>
              <w:textAlignment w:val="center"/>
              <w:rPr>
                <w:rFonts w:hint="default" w:ascii="Times New Roman" w:hAnsi="Times New Roman" w:eastAsia="仿宋_GB2312" w:cs="Times New Roman"/>
                <w:i w:val="0"/>
                <w:iCs w:val="0"/>
                <w:color w:val="000000"/>
                <w:sz w:val="18"/>
                <w:szCs w:val="18"/>
                <w:u w:val="none"/>
                <w:lang w:val="en-US" w:eastAsia="zh-CN"/>
              </w:rPr>
            </w:pPr>
            <w:r>
              <w:rPr>
                <w:rFonts w:hint="eastAsia" w:cs="Times New Roman"/>
                <w:i w:val="0"/>
                <w:iCs w:val="0"/>
                <w:color w:val="000000"/>
                <w:sz w:val="18"/>
                <w:szCs w:val="18"/>
                <w:u w:val="none"/>
                <w:lang w:val="en-US" w:eastAsia="zh-CN"/>
              </w:rPr>
              <w:t>88.14</w:t>
            </w:r>
          </w:p>
        </w:tc>
      </w:tr>
    </w:tbl>
    <w:p w14:paraId="49AF7131">
      <w:pPr>
        <w:spacing w:line="560" w:lineRule="exact"/>
        <w:ind w:firstLine="0" w:firstLineChars="0"/>
        <w:rPr>
          <w:rFonts w:hint="default" w:ascii="Times New Roman" w:hAnsi="Times New Roman" w:eastAsia="黑体" w:cs="Times New Roman"/>
          <w:sz w:val="24"/>
          <w:szCs w:val="24"/>
          <w:lang w:val="en-US"/>
        </w:rPr>
      </w:pPr>
      <w:r>
        <w:rPr>
          <w:rFonts w:hint="default" w:ascii="Times New Roman" w:hAnsi="Times New Roman" w:eastAsia="黑体" w:cs="Times New Roman"/>
          <w:sz w:val="24"/>
          <w:szCs w:val="24"/>
          <w:lang w:val="en-US"/>
        </w:rPr>
        <w:br w:type="page"/>
      </w:r>
    </w:p>
    <w:p w14:paraId="54D981BC">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rPr>
        <w:sectPr>
          <w:pgSz w:w="16838" w:h="11905" w:orient="landscape"/>
          <w:pgMar w:top="1417" w:right="1440" w:bottom="1417" w:left="1440" w:header="850" w:footer="794" w:gutter="0"/>
          <w:pgNumType w:fmt="decimal"/>
          <w:cols w:space="0" w:num="1"/>
          <w:rtlGutter w:val="0"/>
          <w:docGrid w:type="lines" w:linePitch="436" w:charSpace="0"/>
        </w:sectPr>
      </w:pPr>
    </w:p>
    <w:p w14:paraId="600EA9E3">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rPr>
        <w:t>附表</w:t>
      </w:r>
      <w:r>
        <w:rPr>
          <w:rFonts w:hint="default" w:ascii="Times New Roman" w:hAnsi="Times New Roman" w:cs="Times New Roman"/>
          <w:sz w:val="32"/>
          <w:szCs w:val="32"/>
          <w:highlight w:val="none"/>
          <w:lang w:val="en-US" w:eastAsia="zh-CN"/>
        </w:rPr>
        <w:t>3</w:t>
      </w:r>
    </w:p>
    <w:p w14:paraId="6B7716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2"/>
          <w:szCs w:val="32"/>
        </w:rPr>
      </w:pPr>
      <w:bookmarkStart w:id="183" w:name="_Toc6627"/>
      <w:r>
        <w:rPr>
          <w:rFonts w:hint="default" w:ascii="Times New Roman" w:hAnsi="Times New Roman" w:eastAsia="方正小标宋_GBK" w:cs="Times New Roman"/>
          <w:color w:val="000000"/>
          <w:kern w:val="0"/>
          <w:sz w:val="32"/>
          <w:szCs w:val="32"/>
        </w:rPr>
        <w:t>202</w:t>
      </w:r>
      <w:r>
        <w:rPr>
          <w:rFonts w:hint="eastAsia" w:eastAsia="方正小标宋_GBK" w:cs="Times New Roman"/>
          <w:color w:val="000000"/>
          <w:kern w:val="0"/>
          <w:sz w:val="32"/>
          <w:szCs w:val="32"/>
          <w:lang w:val="en-US" w:eastAsia="zh-CN"/>
        </w:rPr>
        <w:t>5</w:t>
      </w:r>
      <w:r>
        <w:rPr>
          <w:rFonts w:hint="default" w:ascii="Times New Roman" w:hAnsi="Times New Roman" w:eastAsia="方正小标宋_GBK" w:cs="Times New Roman"/>
          <w:color w:val="000000"/>
          <w:kern w:val="0"/>
          <w:sz w:val="32"/>
          <w:szCs w:val="32"/>
        </w:rPr>
        <w:t>年度</w:t>
      </w:r>
      <w:r>
        <w:rPr>
          <w:rFonts w:hint="default" w:ascii="Times New Roman" w:hAnsi="Times New Roman" w:eastAsia="方正小标宋_GBK" w:cs="Times New Roman"/>
          <w:color w:val="000000"/>
          <w:kern w:val="0"/>
          <w:sz w:val="32"/>
          <w:szCs w:val="32"/>
          <w:lang w:val="en-US" w:eastAsia="zh-CN"/>
        </w:rPr>
        <w:t>文化旅游发展</w:t>
      </w:r>
      <w:r>
        <w:rPr>
          <w:rFonts w:hint="default" w:ascii="Times New Roman" w:hAnsi="Times New Roman" w:eastAsia="方正小标宋_GBK" w:cs="Times New Roman"/>
          <w:color w:val="000000"/>
          <w:kern w:val="0"/>
          <w:sz w:val="32"/>
          <w:szCs w:val="32"/>
        </w:rPr>
        <w:t>专项资金总体绩效目标完成情况表</w:t>
      </w:r>
      <w:bookmarkEnd w:id="183"/>
    </w:p>
    <w:p w14:paraId="10EA66A2">
      <w:pPr>
        <w:keepNext w:val="0"/>
        <w:keepLines w:val="0"/>
        <w:pageBreakBefore w:val="0"/>
        <w:widowControl/>
        <w:kinsoku/>
        <w:wordWrap/>
        <w:overflowPunct/>
        <w:topLinePunct w:val="0"/>
        <w:autoSpaceDE/>
        <w:autoSpaceDN/>
        <w:bidi w:val="0"/>
        <w:adjustRightInd/>
        <w:snapToGrid/>
        <w:spacing w:line="400" w:lineRule="exact"/>
        <w:ind w:firstLine="0" w:firstLineChars="0"/>
        <w:jc w:val="right"/>
        <w:textAlignment w:val="auto"/>
        <w:rPr>
          <w:rFonts w:hint="eastAsia" w:ascii="Times New Roman" w:hAnsi="Times New Roman" w:eastAsia="仿宋_GB2312" w:cs="Times New Roman"/>
          <w:color w:val="000000"/>
          <w:kern w:val="0"/>
          <w:sz w:val="28"/>
          <w:szCs w:val="28"/>
          <w:lang w:eastAsia="zh-CN"/>
        </w:rPr>
      </w:pPr>
      <w:r>
        <w:rPr>
          <w:rFonts w:hint="default" w:ascii="Times New Roman" w:hAnsi="Times New Roman" w:eastAsia="仿宋_GB2312" w:cs="Times New Roman"/>
          <w:color w:val="000000"/>
          <w:kern w:val="0"/>
          <w:sz w:val="21"/>
          <w:szCs w:val="21"/>
        </w:rPr>
        <w:t>单位：万元</w:t>
      </w:r>
    </w:p>
    <w:tbl>
      <w:tblPr>
        <w:tblStyle w:val="16"/>
        <w:tblW w:w="99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2598"/>
        <w:gridCol w:w="4448"/>
        <w:gridCol w:w="1329"/>
      </w:tblGrid>
      <w:tr w14:paraId="297A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8" w:type="dxa"/>
            <w:noWrap/>
            <w:vAlign w:val="center"/>
          </w:tcPr>
          <w:p w14:paraId="318F98F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专项资金</w:t>
            </w:r>
          </w:p>
        </w:tc>
        <w:tc>
          <w:tcPr>
            <w:tcW w:w="8375" w:type="dxa"/>
            <w:gridSpan w:val="3"/>
            <w:noWrap/>
            <w:vAlign w:val="center"/>
          </w:tcPr>
          <w:p w14:paraId="5505004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文化旅游发展专项资金</w:t>
            </w:r>
          </w:p>
        </w:tc>
      </w:tr>
      <w:tr w14:paraId="6C59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8" w:type="dxa"/>
            <w:noWrap/>
            <w:vAlign w:val="center"/>
          </w:tcPr>
          <w:p w14:paraId="5007C98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主管部门</w:t>
            </w:r>
          </w:p>
        </w:tc>
        <w:tc>
          <w:tcPr>
            <w:tcW w:w="8375" w:type="dxa"/>
            <w:gridSpan w:val="3"/>
            <w:noWrap/>
            <w:vAlign w:val="center"/>
          </w:tcPr>
          <w:p w14:paraId="4CF54B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highlight w:val="none"/>
                <w:lang w:val="en-US" w:eastAsia="zh-CN"/>
              </w:rPr>
              <w:t>湖南省文化和旅游厅</w:t>
            </w:r>
          </w:p>
        </w:tc>
      </w:tr>
      <w:tr w14:paraId="14C6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8" w:type="dxa"/>
            <w:noWrap/>
            <w:vAlign w:val="center"/>
          </w:tcPr>
          <w:p w14:paraId="21191C1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资金规模</w:t>
            </w:r>
          </w:p>
        </w:tc>
        <w:tc>
          <w:tcPr>
            <w:tcW w:w="8375" w:type="dxa"/>
            <w:gridSpan w:val="3"/>
            <w:noWrap/>
            <w:vAlign w:val="center"/>
          </w:tcPr>
          <w:p w14:paraId="74CE82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eastAsia" w:cs="Times New Roman"/>
                <w:color w:val="000000"/>
                <w:kern w:val="0"/>
                <w:sz w:val="21"/>
                <w:szCs w:val="21"/>
                <w:lang w:val="en-US" w:eastAsia="zh-CN"/>
              </w:rPr>
              <w:t>52637</w:t>
            </w:r>
          </w:p>
        </w:tc>
      </w:tr>
      <w:tr w14:paraId="41B2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608" w:type="dxa"/>
            <w:vMerge w:val="restart"/>
            <w:noWrap/>
            <w:vAlign w:val="center"/>
          </w:tcPr>
          <w:p w14:paraId="1D5816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eastAsia="zh-CN"/>
              </w:rPr>
            </w:pPr>
            <w:r>
              <w:rPr>
                <w:rFonts w:hint="default" w:ascii="Times New Roman" w:hAnsi="Times New Roman" w:eastAsia="仿宋_GB2312" w:cs="Times New Roman"/>
                <w:color w:val="000000"/>
                <w:kern w:val="0"/>
                <w:sz w:val="21"/>
                <w:szCs w:val="21"/>
              </w:rPr>
              <w:t>资金</w:t>
            </w:r>
            <w:r>
              <w:rPr>
                <w:rFonts w:hint="default" w:ascii="Times New Roman" w:hAnsi="Times New Roman" w:eastAsia="仿宋_GB2312" w:cs="Times New Roman"/>
                <w:color w:val="000000"/>
                <w:kern w:val="0"/>
                <w:sz w:val="21"/>
                <w:szCs w:val="21"/>
                <w:lang w:eastAsia="zh-CN"/>
              </w:rPr>
              <w:t>拨付情况</w:t>
            </w:r>
          </w:p>
        </w:tc>
        <w:tc>
          <w:tcPr>
            <w:tcW w:w="2598" w:type="dxa"/>
            <w:noWrap/>
            <w:vAlign w:val="center"/>
          </w:tcPr>
          <w:p w14:paraId="01F0E7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预算数</w:t>
            </w:r>
          </w:p>
        </w:tc>
        <w:tc>
          <w:tcPr>
            <w:tcW w:w="4448" w:type="dxa"/>
            <w:noWrap w:val="0"/>
            <w:vAlign w:val="center"/>
          </w:tcPr>
          <w:p w14:paraId="6BE358A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完成数</w:t>
            </w:r>
          </w:p>
        </w:tc>
        <w:tc>
          <w:tcPr>
            <w:tcW w:w="1329" w:type="dxa"/>
            <w:noWrap w:val="0"/>
            <w:vAlign w:val="center"/>
          </w:tcPr>
          <w:p w14:paraId="23F1447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执行率</w:t>
            </w:r>
          </w:p>
        </w:tc>
      </w:tr>
      <w:tr w14:paraId="75D2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608" w:type="dxa"/>
            <w:vMerge w:val="continue"/>
            <w:noWrap/>
            <w:vAlign w:val="center"/>
          </w:tcPr>
          <w:p w14:paraId="460FB1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default" w:ascii="Times New Roman" w:hAnsi="Times New Roman" w:eastAsia="仿宋_GB2312" w:cs="Times New Roman"/>
                <w:color w:val="000000"/>
                <w:kern w:val="0"/>
                <w:sz w:val="21"/>
                <w:szCs w:val="21"/>
              </w:rPr>
            </w:pPr>
          </w:p>
        </w:tc>
        <w:tc>
          <w:tcPr>
            <w:tcW w:w="2598" w:type="dxa"/>
            <w:noWrap/>
            <w:vAlign w:val="center"/>
          </w:tcPr>
          <w:p w14:paraId="23F2AF8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eastAsia" w:cs="Times New Roman"/>
                <w:color w:val="000000"/>
                <w:kern w:val="0"/>
                <w:sz w:val="21"/>
                <w:szCs w:val="21"/>
                <w:lang w:val="en-US" w:eastAsia="zh-CN"/>
              </w:rPr>
              <w:t>52637</w:t>
            </w:r>
          </w:p>
        </w:tc>
        <w:tc>
          <w:tcPr>
            <w:tcW w:w="4448" w:type="dxa"/>
            <w:noWrap w:val="0"/>
            <w:vAlign w:val="center"/>
          </w:tcPr>
          <w:p w14:paraId="2D0D06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color w:val="000000"/>
                <w:kern w:val="0"/>
                <w:sz w:val="21"/>
                <w:szCs w:val="21"/>
                <w:lang w:val="en-US" w:eastAsia="zh-CN"/>
              </w:rPr>
            </w:pPr>
            <w:r>
              <w:rPr>
                <w:rFonts w:hint="eastAsia" w:cs="Times New Roman"/>
                <w:color w:val="000000"/>
                <w:kern w:val="0"/>
                <w:sz w:val="21"/>
                <w:szCs w:val="21"/>
                <w:lang w:val="en-US" w:eastAsia="zh-CN"/>
              </w:rPr>
              <w:t>52637</w:t>
            </w:r>
          </w:p>
        </w:tc>
        <w:tc>
          <w:tcPr>
            <w:tcW w:w="1329" w:type="dxa"/>
            <w:noWrap w:val="0"/>
            <w:vAlign w:val="center"/>
          </w:tcPr>
          <w:p w14:paraId="0494BF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color w:val="000000"/>
                <w:kern w:val="0"/>
                <w:sz w:val="21"/>
                <w:szCs w:val="21"/>
                <w:lang w:val="en-US" w:eastAsia="zh-CN"/>
              </w:rPr>
            </w:pPr>
            <w:r>
              <w:rPr>
                <w:rFonts w:hint="eastAsia" w:cs="Times New Roman"/>
                <w:color w:val="000000"/>
                <w:kern w:val="0"/>
                <w:sz w:val="21"/>
                <w:szCs w:val="21"/>
                <w:lang w:val="en-US" w:eastAsia="zh-CN"/>
              </w:rPr>
              <w:t>100%</w:t>
            </w:r>
          </w:p>
        </w:tc>
      </w:tr>
      <w:tr w14:paraId="6B1FD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06" w:type="dxa"/>
            <w:gridSpan w:val="2"/>
            <w:noWrap/>
            <w:vAlign w:val="center"/>
          </w:tcPr>
          <w:p w14:paraId="4597205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专项资金年度总体绩效目标</w:t>
            </w:r>
          </w:p>
        </w:tc>
        <w:tc>
          <w:tcPr>
            <w:tcW w:w="4448" w:type="dxa"/>
            <w:noWrap w:val="0"/>
            <w:vAlign w:val="center"/>
          </w:tcPr>
          <w:p w14:paraId="51FD721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绩效目标完成情况</w:t>
            </w:r>
          </w:p>
        </w:tc>
        <w:tc>
          <w:tcPr>
            <w:tcW w:w="1329" w:type="dxa"/>
            <w:noWrap w:val="0"/>
            <w:vAlign w:val="center"/>
          </w:tcPr>
          <w:p w14:paraId="5AB294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偏差原因及改进措施</w:t>
            </w:r>
          </w:p>
        </w:tc>
      </w:tr>
      <w:tr w14:paraId="07AE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4206" w:type="dxa"/>
            <w:gridSpan w:val="2"/>
            <w:shd w:val="clear" w:color="auto" w:fill="auto"/>
            <w:noWrap/>
            <w:vAlign w:val="center"/>
          </w:tcPr>
          <w:p w14:paraId="627C692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rPr>
              <w:t>1</w:t>
            </w:r>
            <w:r>
              <w:rPr>
                <w:rFonts w:hint="default" w:ascii="Times New Roman" w:hAnsi="Times New Roman" w:eastAsia="仿宋_GB2312" w:cs="Times New Roman"/>
                <w:color w:val="auto"/>
                <w:kern w:val="0"/>
                <w:sz w:val="21"/>
                <w:szCs w:val="21"/>
                <w:lang w:val="en-US" w:eastAsia="zh-CN"/>
              </w:rPr>
              <w:t>.</w:t>
            </w:r>
            <w:r>
              <w:rPr>
                <w:rFonts w:hint="default" w:ascii="Times New Roman" w:hAnsi="Times New Roman" w:eastAsia="仿宋_GB2312" w:cs="Times New Roman"/>
                <w:color w:val="auto"/>
                <w:kern w:val="0"/>
                <w:sz w:val="21"/>
                <w:szCs w:val="21"/>
              </w:rPr>
              <w:t>202</w:t>
            </w:r>
            <w:r>
              <w:rPr>
                <w:rFonts w:hint="default" w:ascii="Times New Roman" w:hAnsi="Times New Roman" w:eastAsia="仿宋_GB2312" w:cs="Times New Roman"/>
                <w:color w:val="auto"/>
                <w:kern w:val="0"/>
                <w:sz w:val="21"/>
                <w:szCs w:val="21"/>
                <w:lang w:val="en-US" w:eastAsia="zh-CN"/>
              </w:rPr>
              <w:t>5</w:t>
            </w:r>
            <w:r>
              <w:rPr>
                <w:rFonts w:hint="default" w:ascii="Times New Roman" w:hAnsi="Times New Roman" w:eastAsia="仿宋_GB2312" w:cs="Times New Roman"/>
                <w:color w:val="auto"/>
                <w:kern w:val="0"/>
                <w:sz w:val="21"/>
                <w:szCs w:val="21"/>
              </w:rPr>
              <w:t>年全省</w:t>
            </w:r>
            <w:r>
              <w:rPr>
                <w:rFonts w:hint="default" w:ascii="Times New Roman" w:hAnsi="Times New Roman" w:eastAsia="仿宋_GB2312" w:cs="Times New Roman"/>
                <w:color w:val="auto"/>
                <w:kern w:val="0"/>
                <w:sz w:val="21"/>
                <w:szCs w:val="21"/>
                <w:lang w:val="en-US" w:eastAsia="zh-CN"/>
              </w:rPr>
              <w:t>接待游客总人数7.66亿人次，实现游客总花费达1.12万亿元，</w:t>
            </w:r>
            <w:r>
              <w:rPr>
                <w:rFonts w:hint="default" w:ascii="Times New Roman" w:hAnsi="Times New Roman" w:eastAsia="仿宋_GB2312" w:cs="Times New Roman"/>
                <w:color w:val="auto"/>
                <w:kern w:val="0"/>
                <w:sz w:val="21"/>
                <w:szCs w:val="21"/>
              </w:rPr>
              <w:t>旅游</w:t>
            </w:r>
            <w:r>
              <w:rPr>
                <w:rFonts w:hint="default" w:ascii="Times New Roman" w:hAnsi="Times New Roman" w:eastAsia="仿宋_GB2312" w:cs="Times New Roman"/>
                <w:color w:val="auto"/>
                <w:kern w:val="0"/>
                <w:sz w:val="21"/>
                <w:szCs w:val="21"/>
                <w:lang w:val="en-US" w:eastAsia="zh-CN"/>
              </w:rPr>
              <w:t>及相关产业</w:t>
            </w:r>
            <w:r>
              <w:rPr>
                <w:rFonts w:hint="default" w:ascii="Times New Roman" w:hAnsi="Times New Roman" w:eastAsia="仿宋_GB2312" w:cs="Times New Roman"/>
                <w:color w:val="auto"/>
                <w:kern w:val="0"/>
                <w:sz w:val="21"/>
                <w:szCs w:val="21"/>
              </w:rPr>
              <w:t>增加值占地区生产总值的</w:t>
            </w:r>
            <w:r>
              <w:rPr>
                <w:rFonts w:hint="default" w:ascii="Times New Roman" w:hAnsi="Times New Roman" w:eastAsia="仿宋_GB2312"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%左右</w:t>
            </w:r>
            <w:r>
              <w:rPr>
                <w:rFonts w:hint="default" w:ascii="Times New Roman" w:hAnsi="Times New Roman" w:eastAsia="仿宋_GB2312" w:cs="Times New Roman"/>
                <w:color w:val="auto"/>
                <w:kern w:val="0"/>
                <w:sz w:val="21"/>
                <w:szCs w:val="21"/>
                <w:lang w:eastAsia="zh-CN"/>
              </w:rPr>
              <w:t>。</w:t>
            </w:r>
          </w:p>
          <w:p w14:paraId="71971E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lang w:val="en-US" w:eastAsia="zh-CN"/>
              </w:rPr>
            </w:pPr>
            <w:r>
              <w:rPr>
                <w:rFonts w:hint="eastAsia" w:ascii="Times New Roman" w:hAnsi="Times New Roman" w:eastAsia="仿宋_GB2312"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加强全省文化生态保护区建设，推动省级非遗展示传播基地等项目，开展保护传承</w:t>
            </w:r>
            <w:r>
              <w:rPr>
                <w:rFonts w:hint="default" w:ascii="Times New Roman" w:hAnsi="Times New Roman" w:eastAsia="仿宋_GB2312" w:cs="Times New Roman"/>
                <w:color w:val="auto"/>
                <w:kern w:val="0"/>
                <w:sz w:val="21"/>
                <w:szCs w:val="21"/>
                <w:lang w:val="en-US" w:eastAsia="zh-CN"/>
              </w:rPr>
              <w:t>项目70个</w:t>
            </w:r>
            <w:r>
              <w:rPr>
                <w:rFonts w:hint="default" w:ascii="Times New Roman" w:hAnsi="Times New Roman" w:eastAsia="仿宋_GB2312" w:cs="Times New Roman"/>
                <w:color w:val="auto"/>
                <w:kern w:val="0"/>
                <w:sz w:val="21"/>
                <w:szCs w:val="21"/>
              </w:rPr>
              <w:t>以上，</w:t>
            </w:r>
            <w:r>
              <w:rPr>
                <w:rFonts w:hint="default" w:ascii="Times New Roman" w:hAnsi="Times New Roman" w:eastAsia="仿宋_GB2312" w:cs="Times New Roman"/>
                <w:color w:val="auto"/>
                <w:kern w:val="0"/>
                <w:sz w:val="21"/>
                <w:szCs w:val="21"/>
                <w:lang w:val="en-US" w:eastAsia="zh-CN"/>
              </w:rPr>
              <w:t>按1万元每人的标准</w:t>
            </w:r>
            <w:r>
              <w:rPr>
                <w:rFonts w:hint="default" w:ascii="Times New Roman" w:hAnsi="Times New Roman" w:eastAsia="仿宋_GB2312" w:cs="Times New Roman"/>
                <w:color w:val="auto"/>
                <w:kern w:val="0"/>
                <w:sz w:val="21"/>
                <w:szCs w:val="21"/>
              </w:rPr>
              <w:t>补助省级非遗传承人</w:t>
            </w:r>
            <w:r>
              <w:rPr>
                <w:rFonts w:hint="default" w:ascii="Times New Roman" w:hAnsi="Times New Roman" w:eastAsia="仿宋_GB2312" w:cs="Times New Roman"/>
                <w:color w:val="auto"/>
                <w:kern w:val="0"/>
                <w:sz w:val="21"/>
                <w:szCs w:val="21"/>
                <w:lang w:eastAsia="zh-CN"/>
              </w:rPr>
              <w:t>，</w:t>
            </w:r>
            <w:r>
              <w:rPr>
                <w:rFonts w:hint="default" w:ascii="Times New Roman" w:hAnsi="Times New Roman" w:eastAsia="仿宋_GB2312" w:cs="Times New Roman"/>
                <w:color w:val="auto"/>
                <w:kern w:val="0"/>
                <w:sz w:val="21"/>
                <w:szCs w:val="21"/>
                <w:lang w:val="en-US" w:eastAsia="zh-CN"/>
              </w:rPr>
              <w:t>挖掘文化遗产品质内涵。全年创作、编排、复排、演出专业口大戏22个；专业口小型戏曲、戏剧、音乐、舞蹈、曲艺等30个；重大美术（书法、摄影）主题展10个；群文口小型戏曲、戏剧、音乐、舞蹈、曲艺等40个，演艺惠民演出（戏曲进乡村）20场以上，有效改善文化环境，增强群众文化素养，以文启智，传播先进思想和观念，滋养传承和弘扬中华优秀传统文化的土壤和良好生态。</w:t>
            </w:r>
          </w:p>
          <w:p w14:paraId="22AB4F3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eastAsia="仿宋_GB2312" w:cs="Times New Roman"/>
                <w:color w:val="auto"/>
                <w:kern w:val="0"/>
                <w:sz w:val="21"/>
                <w:szCs w:val="21"/>
                <w:lang w:val="en-US" w:eastAsia="zh-CN"/>
              </w:rPr>
              <w:t>3.</w:t>
            </w:r>
            <w:r>
              <w:rPr>
                <w:rFonts w:hint="default" w:ascii="Times New Roman" w:hAnsi="Times New Roman" w:eastAsia="仿宋_GB2312" w:cs="Times New Roman"/>
                <w:color w:val="auto"/>
                <w:kern w:val="0"/>
                <w:sz w:val="21"/>
                <w:szCs w:val="21"/>
              </w:rPr>
              <w:t>完善旅游基础设施，全省开展文化场馆设施维修及设备购置项目</w:t>
            </w:r>
            <w:r>
              <w:rPr>
                <w:rFonts w:hint="default" w:ascii="Times New Roman" w:hAnsi="Times New Roman" w:eastAsia="仿宋_GB2312" w:cs="Times New Roman"/>
                <w:color w:val="auto"/>
                <w:kern w:val="0"/>
                <w:sz w:val="21"/>
                <w:szCs w:val="21"/>
                <w:lang w:val="en-US" w:eastAsia="zh-CN"/>
              </w:rPr>
              <w:t>20</w:t>
            </w:r>
            <w:r>
              <w:rPr>
                <w:rFonts w:hint="default" w:ascii="Times New Roman" w:hAnsi="Times New Roman" w:eastAsia="仿宋_GB2312" w:cs="Times New Roman"/>
                <w:color w:val="auto"/>
                <w:kern w:val="0"/>
                <w:sz w:val="21"/>
                <w:szCs w:val="21"/>
              </w:rPr>
              <w:t>个以上；加快旅游与新型城镇化、美丽乡村建设的紧密结合，以全省各个县</w:t>
            </w:r>
            <w:r>
              <w:rPr>
                <w:rFonts w:hint="default" w:ascii="Times New Roman" w:hAnsi="Times New Roman" w:eastAsia="仿宋_GB2312" w:cs="Times New Roman"/>
                <w:color w:val="auto"/>
                <w:kern w:val="0"/>
                <w:sz w:val="21"/>
                <w:szCs w:val="21"/>
                <w:lang w:val="en-US" w:eastAsia="zh-CN"/>
              </w:rPr>
              <w:t>市区</w:t>
            </w:r>
            <w:r>
              <w:rPr>
                <w:rFonts w:hint="default" w:ascii="Times New Roman" w:hAnsi="Times New Roman" w:eastAsia="仿宋_GB2312" w:cs="Times New Roman"/>
                <w:color w:val="auto"/>
                <w:kern w:val="0"/>
                <w:sz w:val="21"/>
                <w:szCs w:val="21"/>
              </w:rPr>
              <w:t>为主体实施乡村旅游项目，推进脱贫攻坚成果巩固，助力乡村振兴。</w:t>
            </w:r>
          </w:p>
          <w:p w14:paraId="37C87A7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eastAsia="仿宋_GB2312" w:cs="Times New Roman"/>
                <w:color w:val="auto"/>
                <w:kern w:val="0"/>
                <w:sz w:val="21"/>
                <w:szCs w:val="21"/>
              </w:rPr>
              <w:t>4</w:t>
            </w:r>
            <w:r>
              <w:rPr>
                <w:rFonts w:hint="default" w:ascii="Times New Roman" w:hAnsi="Times New Roman" w:eastAsia="仿宋_GB2312" w:cs="Times New Roman"/>
                <w:color w:val="auto"/>
                <w:kern w:val="0"/>
                <w:sz w:val="21"/>
                <w:szCs w:val="21"/>
                <w:lang w:val="en-US" w:eastAsia="zh-CN"/>
              </w:rPr>
              <w:t>.全年开展旅游文化演艺活动8个左右，</w:t>
            </w:r>
            <w:r>
              <w:rPr>
                <w:rFonts w:hint="default" w:ascii="Times New Roman" w:hAnsi="Times New Roman" w:eastAsia="仿宋_GB2312" w:cs="Times New Roman"/>
                <w:color w:val="auto"/>
                <w:kern w:val="0"/>
                <w:sz w:val="21"/>
                <w:szCs w:val="21"/>
              </w:rPr>
              <w:t>提升艺术创作水平，促进文化演艺和旅游景区深度融合</w:t>
            </w:r>
            <w:r>
              <w:rPr>
                <w:rFonts w:hint="default" w:ascii="Times New Roman" w:hAnsi="Times New Roman" w:eastAsia="仿宋_GB2312" w:cs="Times New Roman"/>
                <w:color w:val="auto"/>
                <w:kern w:val="0"/>
                <w:sz w:val="21"/>
                <w:szCs w:val="21"/>
                <w:lang w:val="en-US" w:eastAsia="zh-CN"/>
              </w:rPr>
              <w:t>；开展“旅游+”新业态项目12个左右</w:t>
            </w:r>
            <w:r>
              <w:rPr>
                <w:rFonts w:hint="eastAsia" w:cs="Times New Roman"/>
                <w:color w:val="auto"/>
                <w:kern w:val="0"/>
                <w:sz w:val="21"/>
                <w:szCs w:val="21"/>
                <w:lang w:val="en-US" w:eastAsia="zh-CN"/>
              </w:rPr>
              <w:t>。</w:t>
            </w:r>
            <w:r>
              <w:rPr>
                <w:rFonts w:hint="default" w:ascii="Times New Roman" w:hAnsi="Times New Roman" w:eastAsia="仿宋_GB2312" w:cs="Times New Roman"/>
                <w:color w:val="auto"/>
                <w:kern w:val="0"/>
                <w:sz w:val="21"/>
                <w:szCs w:val="21"/>
              </w:rPr>
              <w:t>有序发展红色旅游，保护、管理、运用好红色资源，实施红色文化旅游项目数</w:t>
            </w:r>
            <w:r>
              <w:rPr>
                <w:rFonts w:hint="default" w:ascii="Times New Roman" w:hAnsi="Times New Roman" w:eastAsia="仿宋_GB2312" w:cs="Times New Roman"/>
                <w:color w:val="auto"/>
                <w:kern w:val="0"/>
                <w:sz w:val="21"/>
                <w:szCs w:val="21"/>
                <w:lang w:val="en-US" w:eastAsia="zh-CN"/>
              </w:rPr>
              <w:t>4</w:t>
            </w:r>
            <w:r>
              <w:rPr>
                <w:rFonts w:hint="default" w:ascii="Times New Roman" w:hAnsi="Times New Roman" w:eastAsia="仿宋_GB2312" w:cs="Times New Roman"/>
                <w:color w:val="auto"/>
                <w:kern w:val="0"/>
                <w:sz w:val="21"/>
                <w:szCs w:val="21"/>
              </w:rPr>
              <w:t>个</w:t>
            </w:r>
            <w:r>
              <w:rPr>
                <w:rFonts w:hint="default" w:ascii="Times New Roman" w:hAnsi="Times New Roman" w:eastAsia="仿宋_GB2312" w:cs="Times New Roman"/>
                <w:color w:val="auto"/>
                <w:kern w:val="0"/>
                <w:sz w:val="21"/>
                <w:szCs w:val="21"/>
                <w:lang w:val="en-US" w:eastAsia="zh-CN"/>
              </w:rPr>
              <w:t>左右</w:t>
            </w:r>
            <w:r>
              <w:rPr>
                <w:rFonts w:hint="default" w:ascii="Times New Roman" w:hAnsi="Times New Roman" w:eastAsia="仿宋_GB2312" w:cs="Times New Roman"/>
                <w:color w:val="auto"/>
                <w:kern w:val="0"/>
                <w:sz w:val="21"/>
                <w:szCs w:val="21"/>
              </w:rPr>
              <w:t>。</w:t>
            </w:r>
          </w:p>
          <w:p w14:paraId="7729950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lang w:val="en-US" w:eastAsia="zh-CN"/>
              </w:rPr>
              <w:t>5.全年实施文物保护利用“六大工程”实施方案，安排文物保护利用、红色文旅文物类项目、文物主题艺术精品创作项目54项，深入发掘文物价值内涵和文化元素。</w:t>
            </w:r>
          </w:p>
          <w:p w14:paraId="229A1B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firstLine="420" w:firstLineChars="200"/>
              <w:jc w:val="left"/>
              <w:textAlignment w:val="auto"/>
              <w:rPr>
                <w:rFonts w:hint="default" w:ascii="Times New Roman" w:hAnsi="Times New Roman" w:eastAsia="仿宋_GB2312" w:cs="Times New Roman"/>
                <w:color w:val="auto"/>
                <w:kern w:val="0"/>
                <w:sz w:val="21"/>
                <w:szCs w:val="21"/>
                <w:lang w:val="en-US" w:eastAsia="zh-CN" w:bidi="ar-SA"/>
              </w:rPr>
            </w:pPr>
            <w:r>
              <w:rPr>
                <w:rFonts w:hint="default" w:ascii="Times New Roman" w:hAnsi="Times New Roman" w:eastAsia="仿宋_GB2312"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开展全省旅游资源普查，进一步摸清我省旅游资源家底；建好湖南智慧文旅平台，提升全省文化场馆、旅游景区和文旅企业的数字化应用水平。</w:t>
            </w:r>
          </w:p>
        </w:tc>
        <w:tc>
          <w:tcPr>
            <w:tcW w:w="4448" w:type="dxa"/>
            <w:noWrap w:val="0"/>
            <w:vAlign w:val="center"/>
          </w:tcPr>
          <w:p w14:paraId="195E4D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eastAsia" w:ascii="Times New Roman" w:hAnsi="Times New Roman" w:cs="Times New Roman"/>
                <w:color w:val="auto"/>
                <w:kern w:val="0"/>
                <w:sz w:val="21"/>
                <w:szCs w:val="21"/>
                <w:lang w:val="en-US" w:eastAsia="zh-CN"/>
              </w:rPr>
              <w:t>1.</w:t>
            </w:r>
            <w:r>
              <w:rPr>
                <w:rFonts w:hint="default" w:ascii="Times New Roman" w:hAnsi="Times New Roman" w:eastAsia="仿宋_GB2312" w:cs="Times New Roman"/>
                <w:color w:val="auto"/>
                <w:kern w:val="0"/>
                <w:sz w:val="21"/>
                <w:szCs w:val="21"/>
              </w:rPr>
              <w:t>文旅经济发展目标全面达成：全年全省接待游客总人数8.1</w:t>
            </w:r>
            <w:r>
              <w:rPr>
                <w:rFonts w:hint="default" w:cs="Times New Roman"/>
                <w:color w:val="auto"/>
                <w:kern w:val="0"/>
                <w:sz w:val="21"/>
                <w:szCs w:val="21"/>
                <w:lang w:val="en-US" w:eastAsia="zh-CN"/>
              </w:rPr>
              <w:t>9</w:t>
            </w:r>
            <w:r>
              <w:rPr>
                <w:rFonts w:hint="default" w:ascii="Times New Roman" w:hAnsi="Times New Roman" w:eastAsia="仿宋_GB2312" w:cs="Times New Roman"/>
                <w:color w:val="auto"/>
                <w:kern w:val="0"/>
                <w:sz w:val="21"/>
                <w:szCs w:val="21"/>
              </w:rPr>
              <w:t>亿人次，实现游客总花费1.</w:t>
            </w:r>
            <w:r>
              <w:rPr>
                <w:rFonts w:hint="default" w:cs="Times New Roman"/>
                <w:color w:val="auto"/>
                <w:kern w:val="0"/>
                <w:sz w:val="21"/>
                <w:szCs w:val="21"/>
                <w:lang w:val="en-US" w:eastAsia="zh-CN"/>
              </w:rPr>
              <w:t>16</w:t>
            </w:r>
            <w:r>
              <w:rPr>
                <w:rFonts w:hint="default" w:ascii="Times New Roman" w:hAnsi="Times New Roman" w:eastAsia="仿宋_GB2312" w:cs="Times New Roman"/>
                <w:color w:val="auto"/>
                <w:kern w:val="0"/>
                <w:sz w:val="21"/>
                <w:szCs w:val="21"/>
              </w:rPr>
              <w:t>万亿元，旅游及相关产业增加值占地区生产总值的比重达6%，超额完成年度预期目标，文旅经济支柱作用持续凸显。</w:t>
            </w:r>
          </w:p>
          <w:p w14:paraId="4D08C54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文化保护传承与文艺创作成果丰硕：全省文化生态保护区建设稳步推进，省级非遗展示传播基地项目有序实施，全年开展保护传承项目</w:t>
            </w:r>
            <w:r>
              <w:rPr>
                <w:rFonts w:hint="default" w:cs="Times New Roman"/>
                <w:color w:val="auto"/>
                <w:kern w:val="0"/>
                <w:sz w:val="21"/>
                <w:szCs w:val="21"/>
                <w:lang w:val="en-US" w:eastAsia="zh-CN"/>
              </w:rPr>
              <w:t>62</w:t>
            </w:r>
            <w:r>
              <w:rPr>
                <w:rFonts w:hint="default" w:ascii="Times New Roman" w:hAnsi="Times New Roman" w:eastAsia="仿宋_GB2312" w:cs="Times New Roman"/>
                <w:color w:val="auto"/>
                <w:kern w:val="0"/>
                <w:sz w:val="21"/>
                <w:szCs w:val="21"/>
              </w:rPr>
              <w:t>个，按标准完成省级非遗传承人补助发放，非遗保护传承体系持续完善；文艺创作与惠民演出任务超额完成，全年创排演出专业大戏2</w:t>
            </w:r>
            <w:r>
              <w:rPr>
                <w:rFonts w:hint="default"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个、专业口小型文艺作品</w:t>
            </w:r>
            <w:r>
              <w:rPr>
                <w:rFonts w:hint="default" w:cs="Times New Roman"/>
                <w:color w:val="auto"/>
                <w:kern w:val="0"/>
                <w:sz w:val="21"/>
                <w:szCs w:val="21"/>
                <w:lang w:val="en-US" w:eastAsia="zh-CN"/>
              </w:rPr>
              <w:t>28</w:t>
            </w:r>
            <w:r>
              <w:rPr>
                <w:rFonts w:hint="default" w:ascii="Times New Roman" w:hAnsi="Times New Roman" w:eastAsia="仿宋_GB2312" w:cs="Times New Roman"/>
                <w:color w:val="auto"/>
                <w:kern w:val="0"/>
                <w:sz w:val="21"/>
                <w:szCs w:val="21"/>
              </w:rPr>
              <w:t>个、重大美术主题展</w:t>
            </w:r>
            <w:r>
              <w:rPr>
                <w:rFonts w:hint="default" w:cs="Times New Roman"/>
                <w:color w:val="auto"/>
                <w:kern w:val="0"/>
                <w:sz w:val="21"/>
                <w:szCs w:val="21"/>
                <w:lang w:val="en-US" w:eastAsia="zh-CN"/>
              </w:rPr>
              <w:t>15</w:t>
            </w:r>
            <w:r>
              <w:rPr>
                <w:rFonts w:hint="default" w:ascii="Times New Roman" w:hAnsi="Times New Roman" w:eastAsia="仿宋_GB2312" w:cs="Times New Roman"/>
                <w:color w:val="auto"/>
                <w:kern w:val="0"/>
                <w:sz w:val="21"/>
                <w:szCs w:val="21"/>
              </w:rPr>
              <w:t>个、群文口小型文艺作品</w:t>
            </w:r>
            <w:r>
              <w:rPr>
                <w:rFonts w:hint="default" w:cs="Times New Roman"/>
                <w:color w:val="auto"/>
                <w:kern w:val="0"/>
                <w:sz w:val="21"/>
                <w:szCs w:val="21"/>
                <w:lang w:val="en-US" w:eastAsia="zh-CN"/>
              </w:rPr>
              <w:t>60</w:t>
            </w:r>
            <w:r>
              <w:rPr>
                <w:rFonts w:hint="default" w:ascii="Times New Roman" w:hAnsi="Times New Roman" w:eastAsia="仿宋_GB2312" w:cs="Times New Roman"/>
                <w:color w:val="auto"/>
                <w:kern w:val="0"/>
                <w:sz w:val="21"/>
                <w:szCs w:val="21"/>
              </w:rPr>
              <w:t>个，开展演艺惠民演出（戏曲进乡村）</w:t>
            </w:r>
            <w:r>
              <w:rPr>
                <w:rFonts w:hint="default" w:cs="Times New Roman"/>
                <w:color w:val="auto"/>
                <w:kern w:val="0"/>
                <w:sz w:val="21"/>
                <w:szCs w:val="21"/>
                <w:lang w:val="en-US" w:eastAsia="zh-CN"/>
              </w:rPr>
              <w:t>44</w:t>
            </w:r>
            <w:r>
              <w:rPr>
                <w:rFonts w:hint="default" w:ascii="Times New Roman" w:hAnsi="Times New Roman" w:eastAsia="仿宋_GB2312" w:cs="Times New Roman"/>
                <w:color w:val="auto"/>
                <w:kern w:val="0"/>
                <w:sz w:val="21"/>
                <w:szCs w:val="21"/>
              </w:rPr>
              <w:t>场，有效改善城乡文化环境，提升群众文化素养，以文启智、传承弘扬中华优秀传统文化的成效显著。</w:t>
            </w:r>
          </w:p>
          <w:p w14:paraId="15151F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eastAsia="仿宋_GB2312" w:cs="Times New Roman"/>
                <w:color w:val="auto"/>
                <w:kern w:val="0"/>
                <w:sz w:val="21"/>
                <w:szCs w:val="21"/>
              </w:rPr>
              <w:t>文旅基础设施与乡村旅游建设成效显著：全省共实施文化场馆设施维修及设备购置项目</w:t>
            </w:r>
            <w:r>
              <w:rPr>
                <w:rFonts w:hint="default" w:cs="Times New Roman"/>
                <w:color w:val="auto"/>
                <w:kern w:val="0"/>
                <w:sz w:val="21"/>
                <w:szCs w:val="21"/>
                <w:lang w:val="en-US" w:eastAsia="zh-CN"/>
              </w:rPr>
              <w:t>29</w:t>
            </w:r>
            <w:r>
              <w:rPr>
                <w:rFonts w:hint="default" w:ascii="Times New Roman" w:hAnsi="Times New Roman" w:eastAsia="仿宋_GB2312" w:cs="Times New Roman"/>
                <w:color w:val="auto"/>
                <w:kern w:val="0"/>
                <w:sz w:val="21"/>
                <w:szCs w:val="21"/>
              </w:rPr>
              <w:t>个，超额完成年度目标，公共文化场馆服务能力持续提升；乡村旅游项目有序推进，文旅发展与新型城镇化、美丽乡村建设深度融合，有效巩固脱贫攻坚成果，助力乡村振兴战略实施。</w:t>
            </w:r>
          </w:p>
          <w:p w14:paraId="2B912B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4.</w:t>
            </w:r>
            <w:r>
              <w:rPr>
                <w:rFonts w:hint="default" w:ascii="Times New Roman" w:hAnsi="Times New Roman" w:eastAsia="仿宋_GB2312" w:cs="Times New Roman"/>
                <w:color w:val="auto"/>
                <w:kern w:val="0"/>
                <w:sz w:val="21"/>
                <w:szCs w:val="21"/>
              </w:rPr>
              <w:t>文旅融合与新业态培育持续深化：全年开展旅游文化演艺活动</w:t>
            </w:r>
            <w:r>
              <w:rPr>
                <w:rFonts w:hint="default" w:cs="Times New Roman"/>
                <w:color w:val="auto"/>
                <w:kern w:val="0"/>
                <w:sz w:val="21"/>
                <w:szCs w:val="21"/>
                <w:lang w:val="en-US" w:eastAsia="zh-CN"/>
              </w:rPr>
              <w:t>8</w:t>
            </w:r>
            <w:r>
              <w:rPr>
                <w:rFonts w:hint="default" w:ascii="Times New Roman" w:hAnsi="Times New Roman" w:eastAsia="仿宋_GB2312" w:cs="Times New Roman"/>
                <w:color w:val="auto"/>
                <w:kern w:val="0"/>
                <w:sz w:val="21"/>
                <w:szCs w:val="21"/>
              </w:rPr>
              <w:t>个，文旅演艺与景区深度融合成效凸显；培育“旅游+”新业态项目1</w:t>
            </w:r>
            <w:r>
              <w:rPr>
                <w:rFonts w:hint="default"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个，有序推进</w:t>
            </w:r>
            <w:r>
              <w:rPr>
                <w:rFonts w:hint="default" w:cs="Times New Roman"/>
                <w:color w:val="auto"/>
                <w:kern w:val="0"/>
                <w:sz w:val="21"/>
                <w:szCs w:val="21"/>
                <w:lang w:val="en-US" w:eastAsia="zh-CN"/>
              </w:rPr>
              <w:t>22</w:t>
            </w:r>
            <w:r>
              <w:rPr>
                <w:rFonts w:hint="default" w:ascii="Times New Roman" w:hAnsi="Times New Roman" w:eastAsia="仿宋_GB2312" w:cs="Times New Roman"/>
                <w:color w:val="auto"/>
                <w:kern w:val="0"/>
                <w:sz w:val="21"/>
                <w:szCs w:val="21"/>
              </w:rPr>
              <w:t>个红色文化旅游项目建设，红色资源保护管理与活化利用水平持续提升。</w:t>
            </w:r>
          </w:p>
          <w:p w14:paraId="077A4A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5.</w:t>
            </w:r>
            <w:r>
              <w:rPr>
                <w:rFonts w:hint="default" w:ascii="Times New Roman" w:hAnsi="Times New Roman" w:eastAsia="仿宋_GB2312" w:cs="Times New Roman"/>
                <w:color w:val="auto"/>
                <w:kern w:val="0"/>
                <w:sz w:val="21"/>
                <w:szCs w:val="21"/>
              </w:rPr>
              <w:t>文物保护利用工程扎实推进：文物保护利用“六大工程”全面实施，全年安排文物保护利用、红色文旅文物类项目、文物主题艺术精品创作项目</w:t>
            </w:r>
            <w:r>
              <w:rPr>
                <w:rFonts w:hint="default"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个，深入挖掘了文物价值内涵与文化元素，推动文物资源活化利用。</w:t>
            </w:r>
          </w:p>
          <w:p w14:paraId="350E7C4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文旅数字化与基础工作有序落地：全省旅游资源普查工作全面完成，摸清了全省文旅资源家底；湖南智慧文旅平台建设有序推进，全省文化场馆、旅游景区及文旅企业数字化应用水平显著提升，为文旅高质量发展提供了有力支撑。</w:t>
            </w:r>
          </w:p>
          <w:p w14:paraId="73FF04A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64" w:lineRule="auto"/>
              <w:ind w:left="0" w:right="0"/>
              <w:jc w:val="left"/>
              <w:textAlignment w:val="auto"/>
              <w:rPr>
                <w:rFonts w:hint="default" w:ascii="Times New Roman" w:hAnsi="Times New Roman" w:eastAsia="仿宋_GB2312" w:cs="Times New Roman"/>
                <w:color w:val="auto"/>
                <w:kern w:val="0"/>
                <w:sz w:val="21"/>
                <w:szCs w:val="21"/>
              </w:rPr>
            </w:pPr>
          </w:p>
        </w:tc>
        <w:tc>
          <w:tcPr>
            <w:tcW w:w="1329" w:type="dxa"/>
            <w:noWrap w:val="0"/>
            <w:vAlign w:val="center"/>
          </w:tcPr>
          <w:p w14:paraId="709738A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无。</w:t>
            </w:r>
          </w:p>
        </w:tc>
      </w:tr>
    </w:tbl>
    <w:p w14:paraId="30F673BD">
      <w:pPr>
        <w:rPr>
          <w:rFonts w:hint="default" w:ascii="Times New Roman" w:hAnsi="Times New Roman" w:cs="Times New Roman"/>
          <w:color w:val="auto"/>
        </w:rPr>
      </w:pPr>
    </w:p>
    <w:p w14:paraId="1E728A61">
      <w:pPr>
        <w:rPr>
          <w:rFonts w:hint="default" w:ascii="Times New Roman" w:hAnsi="Times New Roman" w:eastAsia="方正小标宋_GBK" w:cs="Times New Roman"/>
          <w:color w:val="000000"/>
          <w:kern w:val="0"/>
          <w:sz w:val="36"/>
          <w:szCs w:val="36"/>
          <w:lang w:val="en-US" w:eastAsia="zh-CN"/>
        </w:rPr>
      </w:pPr>
      <w:r>
        <w:rPr>
          <w:rFonts w:hint="default" w:ascii="Times New Roman" w:hAnsi="Times New Roman" w:eastAsia="方正小标宋_GBK" w:cs="Times New Roman"/>
          <w:color w:val="000000"/>
          <w:kern w:val="0"/>
          <w:sz w:val="36"/>
          <w:szCs w:val="36"/>
          <w:lang w:val="en-US" w:eastAsia="zh-CN"/>
        </w:rPr>
        <w:br w:type="page"/>
      </w:r>
    </w:p>
    <w:p w14:paraId="0E56323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4" w:name="_Toc5609"/>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w:t>
      </w:r>
      <w:r>
        <w:rPr>
          <w:rFonts w:hint="default" w:ascii="Times New Roman" w:hAnsi="Times New Roman" w:eastAsia="方正小标宋_GBK" w:cs="Times New Roman"/>
          <w:color w:val="000000"/>
          <w:kern w:val="0"/>
          <w:sz w:val="36"/>
          <w:szCs w:val="36"/>
        </w:rPr>
        <w:t>专项资金绩效目标</w:t>
      </w:r>
      <w:r>
        <w:rPr>
          <w:rFonts w:hint="default" w:ascii="Times New Roman" w:hAnsi="Times New Roman" w:eastAsia="方正小标宋_GBK" w:cs="Times New Roman"/>
          <w:color w:val="000000"/>
          <w:kern w:val="0"/>
          <w:sz w:val="36"/>
          <w:szCs w:val="36"/>
          <w:lang w:val="en-US" w:eastAsia="zh-CN"/>
        </w:rPr>
        <w:t>完成情况</w:t>
      </w:r>
      <w:r>
        <w:rPr>
          <w:rFonts w:hint="default" w:ascii="Times New Roman" w:hAnsi="Times New Roman" w:eastAsia="方正小标宋_GBK" w:cs="Times New Roman"/>
          <w:color w:val="000000"/>
          <w:kern w:val="0"/>
          <w:sz w:val="36"/>
          <w:szCs w:val="36"/>
        </w:rPr>
        <w:t>表</w:t>
      </w:r>
      <w:bookmarkEnd w:id="184"/>
    </w:p>
    <w:p w14:paraId="61C0421D">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4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075"/>
        <w:gridCol w:w="1058"/>
        <w:gridCol w:w="1817"/>
        <w:gridCol w:w="1723"/>
        <w:gridCol w:w="1666"/>
        <w:gridCol w:w="1193"/>
      </w:tblGrid>
      <w:tr w14:paraId="001D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noWrap w:val="0"/>
            <w:vAlign w:val="center"/>
          </w:tcPr>
          <w:p w14:paraId="1B8335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096" w:type="pct"/>
            <w:gridSpan w:val="2"/>
            <w:noWrap w:val="0"/>
            <w:vAlign w:val="center"/>
          </w:tcPr>
          <w:p w14:paraId="160A3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 w:val="21"/>
                <w:szCs w:val="21"/>
                <w:highlight w:val="none"/>
                <w:lang w:eastAsia="zh-CN"/>
              </w:rPr>
              <w:t>省委省政府</w:t>
            </w:r>
            <w:r>
              <w:rPr>
                <w:rFonts w:hint="default" w:ascii="Times New Roman" w:hAnsi="Times New Roman" w:eastAsia="仿宋_GB2312" w:cs="Times New Roman"/>
                <w:color w:val="auto"/>
                <w:kern w:val="0"/>
                <w:sz w:val="21"/>
                <w:szCs w:val="21"/>
                <w:highlight w:val="none"/>
              </w:rPr>
              <w:t>部署项目</w:t>
            </w:r>
          </w:p>
        </w:tc>
        <w:tc>
          <w:tcPr>
            <w:tcW w:w="933" w:type="pct"/>
            <w:noWrap w:val="0"/>
            <w:vAlign w:val="center"/>
          </w:tcPr>
          <w:p w14:paraId="603FA9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355" w:type="pct"/>
            <w:gridSpan w:val="3"/>
            <w:noWrap w:val="0"/>
            <w:vAlign w:val="center"/>
          </w:tcPr>
          <w:p w14:paraId="2CC78A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1D90C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noWrap w:val="0"/>
            <w:vAlign w:val="center"/>
          </w:tcPr>
          <w:p w14:paraId="14C060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主管部门</w:t>
            </w:r>
          </w:p>
        </w:tc>
        <w:tc>
          <w:tcPr>
            <w:tcW w:w="4385" w:type="pct"/>
            <w:gridSpan w:val="6"/>
            <w:noWrap w:val="0"/>
            <w:vAlign w:val="center"/>
          </w:tcPr>
          <w:p w14:paraId="24FCE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56ED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vMerge w:val="restart"/>
            <w:noWrap w:val="0"/>
            <w:vAlign w:val="center"/>
          </w:tcPr>
          <w:p w14:paraId="218D9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资金拨付情况</w:t>
            </w:r>
          </w:p>
        </w:tc>
        <w:tc>
          <w:tcPr>
            <w:tcW w:w="1096" w:type="pct"/>
            <w:gridSpan w:val="2"/>
            <w:noWrap w:val="0"/>
            <w:vAlign w:val="center"/>
          </w:tcPr>
          <w:p w14:paraId="30E93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 w:val="21"/>
                <w:szCs w:val="21"/>
                <w:highlight w:val="none"/>
                <w:lang w:val="en-US" w:eastAsia="zh-CN"/>
              </w:rPr>
              <w:t>预算数</w:t>
            </w:r>
          </w:p>
        </w:tc>
        <w:tc>
          <w:tcPr>
            <w:tcW w:w="933" w:type="pct"/>
            <w:noWrap w:val="0"/>
            <w:vAlign w:val="center"/>
          </w:tcPr>
          <w:p w14:paraId="3F539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完成数</w:t>
            </w:r>
          </w:p>
        </w:tc>
        <w:tc>
          <w:tcPr>
            <w:tcW w:w="2355" w:type="pct"/>
            <w:gridSpan w:val="3"/>
            <w:noWrap w:val="0"/>
            <w:vAlign w:val="center"/>
          </w:tcPr>
          <w:p w14:paraId="0D2A8F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执行率</w:t>
            </w:r>
          </w:p>
        </w:tc>
      </w:tr>
      <w:tr w14:paraId="5833F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vMerge w:val="continue"/>
            <w:noWrap w:val="0"/>
            <w:vAlign w:val="center"/>
          </w:tcPr>
          <w:p w14:paraId="2E3B5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096" w:type="pct"/>
            <w:gridSpan w:val="2"/>
            <w:noWrap w:val="0"/>
            <w:vAlign w:val="center"/>
          </w:tcPr>
          <w:p w14:paraId="11677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ascii="Times New Roman" w:hAnsi="Times New Roman" w:eastAsia="仿宋_GB2312" w:cs="Times New Roman"/>
                <w:color w:val="auto"/>
                <w:kern w:val="0"/>
                <w:sz w:val="21"/>
                <w:szCs w:val="21"/>
                <w:highlight w:val="none"/>
                <w:lang w:val="en-US" w:eastAsia="zh-CN"/>
              </w:rPr>
              <w:t>27490</w:t>
            </w:r>
          </w:p>
        </w:tc>
        <w:tc>
          <w:tcPr>
            <w:tcW w:w="933" w:type="pct"/>
            <w:noWrap w:val="0"/>
            <w:vAlign w:val="center"/>
          </w:tcPr>
          <w:p w14:paraId="2F204B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kern w:val="0"/>
                <w:sz w:val="21"/>
                <w:szCs w:val="21"/>
                <w:highlight w:val="none"/>
                <w:lang w:val="en-US" w:eastAsia="zh-CN"/>
              </w:rPr>
              <w:t>27490</w:t>
            </w:r>
          </w:p>
        </w:tc>
        <w:tc>
          <w:tcPr>
            <w:tcW w:w="2355" w:type="pct"/>
            <w:gridSpan w:val="3"/>
            <w:noWrap w:val="0"/>
            <w:vAlign w:val="center"/>
          </w:tcPr>
          <w:p w14:paraId="21D4A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w:t>
            </w:r>
          </w:p>
        </w:tc>
      </w:tr>
      <w:tr w14:paraId="69E1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4" w:type="pct"/>
            <w:noWrap w:val="0"/>
            <w:vAlign w:val="center"/>
          </w:tcPr>
          <w:p w14:paraId="26D9E0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85" w:type="pct"/>
            <w:gridSpan w:val="6"/>
            <w:shd w:val="clear" w:color="auto" w:fill="auto"/>
            <w:noWrap w:val="0"/>
            <w:vAlign w:val="center"/>
          </w:tcPr>
          <w:p w14:paraId="502424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设立县域特色优势产业发展引导基金，组织实施新一轮特色县域经济强县工程，支持引导各县域集中资源重点发展1—2个特色主导产业，加大工业、农业、文旅等省级特色产业小镇建设支持力度，打造特色产业集聚、城乡融合发展的重要平台</w:t>
            </w:r>
            <w:r>
              <w:rPr>
                <w:rFonts w:hint="eastAsia" w:ascii="Times New Roman" w:hAnsi="Times New Roman" w:eastAsia="仿宋_GB2312" w:cs="Times New Roman"/>
                <w:i w:val="0"/>
                <w:iCs w:val="0"/>
                <w:color w:val="auto"/>
                <w:kern w:val="0"/>
                <w:sz w:val="21"/>
                <w:szCs w:val="21"/>
                <w:highlight w:val="none"/>
                <w:u w:val="none"/>
                <w:lang w:val="en-US" w:eastAsia="zh-CN" w:bidi="ar"/>
              </w:rPr>
              <w:t>，对4个县（市）进行奖补；</w:t>
            </w:r>
            <w:r>
              <w:rPr>
                <w:rFonts w:hint="default" w:ascii="Times New Roman" w:hAnsi="Times New Roman" w:eastAsia="仿宋_GB2312" w:cs="Times New Roman"/>
                <w:i w:val="0"/>
                <w:iCs w:val="0"/>
                <w:color w:val="auto"/>
                <w:kern w:val="0"/>
                <w:sz w:val="21"/>
                <w:szCs w:val="21"/>
                <w:highlight w:val="none"/>
                <w:u w:val="none"/>
                <w:lang w:val="en-US" w:eastAsia="zh-CN" w:bidi="ar"/>
              </w:rPr>
              <w:t>开展“引客入湘”奖补；举办2次全省旅发大会，其中旅发大会相关配套经费主要用于相关项目、论坛、博览会等项目支出。依据《意见》湘发</w:t>
            </w:r>
            <w:r>
              <w:rPr>
                <w:rFonts w:hint="default" w:cs="Times New Roman"/>
                <w:i w:val="0"/>
                <w:iCs w:val="0"/>
                <w:color w:val="auto"/>
                <w:kern w:val="0"/>
                <w:sz w:val="21"/>
                <w:szCs w:val="21"/>
                <w:highlight w:val="none"/>
                <w:u w:val="none"/>
                <w:lang w:val="en-US" w:eastAsia="zh-CN" w:bidi="ar"/>
              </w:rPr>
              <w:t>〔2022〕</w:t>
            </w:r>
            <w:r>
              <w:rPr>
                <w:rFonts w:hint="default" w:ascii="Times New Roman" w:hAnsi="Times New Roman" w:eastAsia="仿宋_GB2312" w:cs="Times New Roman"/>
                <w:i w:val="0"/>
                <w:iCs w:val="0"/>
                <w:color w:val="auto"/>
                <w:kern w:val="0"/>
                <w:sz w:val="21"/>
                <w:szCs w:val="21"/>
                <w:highlight w:val="none"/>
                <w:u w:val="none"/>
                <w:lang w:val="en-US" w:eastAsia="zh-CN" w:bidi="ar"/>
              </w:rPr>
              <w:t>16号文件：省直年度与文旅相关的专项资金的10%用于支持湖南旅游发展大会承办市州（不含因素法分配资金）；</w:t>
            </w:r>
            <w:r>
              <w:rPr>
                <w:rFonts w:hint="default" w:cs="Times New Roman"/>
                <w:i w:val="0"/>
                <w:iCs w:val="0"/>
                <w:color w:val="auto"/>
                <w:kern w:val="0"/>
                <w:sz w:val="21"/>
                <w:szCs w:val="21"/>
                <w:highlight w:val="none"/>
                <w:u w:val="none"/>
                <w:lang w:val="en-US" w:eastAsia="zh-CN" w:bidi="ar"/>
              </w:rPr>
              <w:t>支持</w:t>
            </w:r>
            <w:r>
              <w:rPr>
                <w:rFonts w:hint="default" w:ascii="Times New Roman" w:hAnsi="Times New Roman" w:eastAsia="仿宋_GB2312" w:cs="Times New Roman"/>
                <w:i w:val="0"/>
                <w:iCs w:val="0"/>
                <w:color w:val="auto"/>
                <w:kern w:val="0"/>
                <w:sz w:val="21"/>
                <w:szCs w:val="21"/>
                <w:highlight w:val="none"/>
                <w:u w:val="none"/>
                <w:lang w:val="en-US" w:eastAsia="zh-CN" w:bidi="ar"/>
              </w:rPr>
              <w:t>艺术职业学院化债。</w:t>
            </w:r>
          </w:p>
        </w:tc>
      </w:tr>
      <w:tr w14:paraId="277D1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14" w:type="pct"/>
            <w:noWrap w:val="0"/>
            <w:vAlign w:val="center"/>
          </w:tcPr>
          <w:p w14:paraId="1FC25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r>
              <w:rPr>
                <w:rFonts w:hint="default" w:ascii="Times New Roman" w:hAnsi="Times New Roman" w:cs="Times New Roman"/>
                <w:i w:val="0"/>
                <w:iCs w:val="0"/>
                <w:color w:val="auto"/>
                <w:kern w:val="0"/>
                <w:sz w:val="21"/>
                <w:szCs w:val="21"/>
                <w:highlight w:val="none"/>
                <w:u w:val="none"/>
                <w:lang w:val="en-US" w:eastAsia="zh-CN" w:bidi="ar"/>
              </w:rPr>
              <w:t>完成情况</w:t>
            </w:r>
          </w:p>
        </w:tc>
        <w:tc>
          <w:tcPr>
            <w:tcW w:w="4385" w:type="pct"/>
            <w:gridSpan w:val="6"/>
            <w:noWrap w:val="0"/>
            <w:vAlign w:val="center"/>
          </w:tcPr>
          <w:p w14:paraId="3175DB7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县域特色优势产业发展引导基金设立工作有序推进，特色县域经济强县工程全面实施，指导各重点县（市）集中资源培育特色主导产业，工业、农业、文旅类省级特色产业小镇建设支持力度持续加大，对4个县（市）完成奖补资金拨付，有效推动了特色产业集聚和城乡融合发展。“引客入湘”奖补政策顺利落地，有效激发了各地引客入湘积极性，全省文旅市场活力进一步释放。成功举办2次全省旅游发展大会，配套项目建设、论坛、博览会等活动全部按计划完成，大会相关配套经费规范用于项目建设、宣传推广等环节，有效发挥了资金撬动效应。严格落实湘发〔2022〕16号文件要求，将省直年度文旅相关专项资金的</w:t>
            </w:r>
            <w:r>
              <w:rPr>
                <w:rFonts w:hint="default" w:cs="Times New Roman"/>
                <w:i w:val="0"/>
                <w:iCs w:val="0"/>
                <w:color w:val="auto"/>
                <w:kern w:val="0"/>
                <w:sz w:val="21"/>
                <w:szCs w:val="21"/>
                <w:highlight w:val="none"/>
                <w:u w:val="none"/>
                <w:lang w:val="en-US" w:eastAsia="zh-CN" w:bidi="ar"/>
              </w:rPr>
              <w:t>41</w:t>
            </w:r>
            <w:r>
              <w:rPr>
                <w:rFonts w:hint="default" w:ascii="Times New Roman" w:hAnsi="Times New Roman" w:eastAsia="仿宋_GB2312" w:cs="Times New Roman"/>
                <w:i w:val="0"/>
                <w:iCs w:val="0"/>
                <w:color w:val="auto"/>
                <w:kern w:val="0"/>
                <w:sz w:val="21"/>
                <w:szCs w:val="21"/>
                <w:highlight w:val="none"/>
                <w:u w:val="none"/>
                <w:lang w:val="en-US" w:eastAsia="zh-CN" w:bidi="ar"/>
              </w:rPr>
              <w:t>%按规定用于支持旅发大会承办市州建设。同时，艺术职业学院化债资金足额拨付到位，有效化解了院校债务风险，保障了院校平稳运行。总体来看，年度各项绩效目标任务均已按期完成，资金使用规范高效，预期成效全面达成。</w:t>
            </w:r>
          </w:p>
        </w:tc>
      </w:tr>
      <w:tr w14:paraId="4763E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restart"/>
            <w:noWrap w:val="0"/>
            <w:vAlign w:val="center"/>
          </w:tcPr>
          <w:p w14:paraId="669DD9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552" w:type="pct"/>
            <w:noWrap w:val="0"/>
            <w:vAlign w:val="center"/>
          </w:tcPr>
          <w:p w14:paraId="1E44D6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543" w:type="pct"/>
            <w:noWrap w:val="0"/>
            <w:vAlign w:val="center"/>
          </w:tcPr>
          <w:p w14:paraId="5180C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933" w:type="pct"/>
            <w:noWrap w:val="0"/>
            <w:vAlign w:val="center"/>
          </w:tcPr>
          <w:p w14:paraId="5DF670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86" w:type="pct"/>
            <w:noWrap w:val="0"/>
            <w:vAlign w:val="center"/>
          </w:tcPr>
          <w:p w14:paraId="44275F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856" w:type="pct"/>
            <w:noWrap w:val="0"/>
            <w:vAlign w:val="center"/>
          </w:tcPr>
          <w:p w14:paraId="434F73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13" w:type="pct"/>
            <w:noWrap w:val="0"/>
            <w:vAlign w:val="center"/>
          </w:tcPr>
          <w:p w14:paraId="2D8A5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539AF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14" w:type="pct"/>
            <w:vMerge w:val="continue"/>
            <w:noWrap w:val="0"/>
            <w:vAlign w:val="center"/>
          </w:tcPr>
          <w:p w14:paraId="2EBCDD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0"/>
            <w:vAlign w:val="center"/>
          </w:tcPr>
          <w:p w14:paraId="3CBB1A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543" w:type="pct"/>
            <w:vMerge w:val="restart"/>
            <w:noWrap w:val="0"/>
            <w:vAlign w:val="center"/>
          </w:tcPr>
          <w:p w14:paraId="040C6C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w:t>
            </w:r>
          </w:p>
          <w:p w14:paraId="05540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0F17A0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全省旅游发展大会相关配套经费</w:t>
            </w:r>
          </w:p>
        </w:tc>
        <w:tc>
          <w:tcPr>
            <w:tcW w:w="886" w:type="pct"/>
            <w:shd w:val="clear" w:color="auto" w:fill="auto"/>
            <w:noWrap/>
            <w:vAlign w:val="center"/>
          </w:tcPr>
          <w:p w14:paraId="4862F4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2.17</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856" w:type="pct"/>
            <w:noWrap/>
            <w:vAlign w:val="center"/>
          </w:tcPr>
          <w:p w14:paraId="4C07EB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2.17</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613" w:type="pct"/>
            <w:shd w:val="clear" w:color="auto" w:fill="auto"/>
            <w:noWrap/>
            <w:vAlign w:val="center"/>
          </w:tcPr>
          <w:p w14:paraId="2C4918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AF0B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5AF6E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15E030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6C35A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5982A7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支持艺术职业学院项目</w:t>
            </w:r>
          </w:p>
        </w:tc>
        <w:tc>
          <w:tcPr>
            <w:tcW w:w="886" w:type="pct"/>
            <w:shd w:val="clear" w:color="auto" w:fill="auto"/>
            <w:noWrap/>
            <w:vAlign w:val="center"/>
          </w:tcPr>
          <w:p w14:paraId="43BF9F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≤1500</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856" w:type="pct"/>
            <w:noWrap/>
            <w:vAlign w:val="center"/>
          </w:tcPr>
          <w:p w14:paraId="5DBE8A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1500</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613" w:type="pct"/>
            <w:shd w:val="clear" w:color="auto" w:fill="auto"/>
            <w:noWrap/>
            <w:vAlign w:val="center"/>
          </w:tcPr>
          <w:p w14:paraId="324CF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095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5FA64F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3AFAD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6127F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29CFC7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文旅县域经济考核奖励标准</w:t>
            </w:r>
          </w:p>
        </w:tc>
        <w:tc>
          <w:tcPr>
            <w:tcW w:w="886" w:type="pct"/>
            <w:shd w:val="clear" w:color="auto" w:fill="auto"/>
            <w:noWrap w:val="0"/>
            <w:vAlign w:val="center"/>
          </w:tcPr>
          <w:p w14:paraId="60A883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450</w:t>
            </w:r>
            <w:r>
              <w:rPr>
                <w:rFonts w:hint="eastAsia" w:ascii="Times New Roman" w:hAnsi="Times New Roman" w:cs="Times New Roman"/>
                <w:i w:val="0"/>
                <w:iCs w:val="0"/>
                <w:strike w:val="0"/>
                <w:color w:val="auto"/>
                <w:kern w:val="0"/>
                <w:sz w:val="21"/>
                <w:szCs w:val="21"/>
                <w:highlight w:val="none"/>
                <w:u w:val="none"/>
                <w:lang w:val="en-US" w:eastAsia="zh-CN" w:bidi="ar"/>
              </w:rPr>
              <w:t>万元</w:t>
            </w:r>
            <w:r>
              <w:rPr>
                <w:rFonts w:hint="eastAsia" w:cs="Times New Roman"/>
                <w:i w:val="0"/>
                <w:iCs w:val="0"/>
                <w:strike w:val="0"/>
                <w:color w:val="auto"/>
                <w:kern w:val="0"/>
                <w:sz w:val="21"/>
                <w:szCs w:val="21"/>
                <w:highlight w:val="none"/>
                <w:u w:val="none"/>
                <w:lang w:val="en-US" w:eastAsia="zh-CN" w:bidi="ar"/>
              </w:rPr>
              <w:t>/个</w:t>
            </w:r>
          </w:p>
        </w:tc>
        <w:tc>
          <w:tcPr>
            <w:tcW w:w="856" w:type="pct"/>
            <w:noWrap w:val="0"/>
            <w:vAlign w:val="center"/>
          </w:tcPr>
          <w:p w14:paraId="495F44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450</w:t>
            </w:r>
            <w:r>
              <w:rPr>
                <w:rFonts w:hint="eastAsia" w:ascii="Times New Roman" w:hAnsi="Times New Roman" w:cs="Times New Roman"/>
                <w:i w:val="0"/>
                <w:iCs w:val="0"/>
                <w:strike w:val="0"/>
                <w:color w:val="auto"/>
                <w:kern w:val="0"/>
                <w:sz w:val="21"/>
                <w:szCs w:val="21"/>
                <w:highlight w:val="none"/>
                <w:u w:val="none"/>
                <w:lang w:val="en-US" w:eastAsia="zh-CN" w:bidi="ar"/>
              </w:rPr>
              <w:t>万元</w:t>
            </w:r>
            <w:r>
              <w:rPr>
                <w:rFonts w:hint="eastAsia" w:cs="Times New Roman"/>
                <w:i w:val="0"/>
                <w:iCs w:val="0"/>
                <w:strike w:val="0"/>
                <w:color w:val="auto"/>
                <w:kern w:val="0"/>
                <w:sz w:val="21"/>
                <w:szCs w:val="21"/>
                <w:highlight w:val="none"/>
                <w:u w:val="none"/>
                <w:lang w:val="en-US" w:eastAsia="zh-CN" w:bidi="ar"/>
              </w:rPr>
              <w:t>/个</w:t>
            </w:r>
          </w:p>
        </w:tc>
        <w:tc>
          <w:tcPr>
            <w:tcW w:w="613" w:type="pct"/>
            <w:shd w:val="clear" w:color="auto" w:fill="auto"/>
            <w:noWrap w:val="0"/>
            <w:vAlign w:val="center"/>
          </w:tcPr>
          <w:p w14:paraId="5E437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08C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14" w:type="pct"/>
            <w:vMerge w:val="continue"/>
            <w:noWrap w:val="0"/>
            <w:vAlign w:val="center"/>
          </w:tcPr>
          <w:p w14:paraId="059D2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51DCC9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6C45F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507FD2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高品质旅游住宿业奖补</w:t>
            </w:r>
          </w:p>
        </w:tc>
        <w:tc>
          <w:tcPr>
            <w:tcW w:w="886" w:type="pct"/>
            <w:shd w:val="clear" w:color="auto" w:fill="auto"/>
            <w:noWrap w:val="0"/>
            <w:vAlign w:val="center"/>
          </w:tcPr>
          <w:p w14:paraId="36FDAD1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200万元=</w:t>
            </w:r>
            <w:r>
              <w:rPr>
                <w:rFonts w:hint="default" w:ascii="Times New Roman" w:hAnsi="Times New Roman" w:eastAsia="仿宋_GB2312" w:cs="Times New Roman"/>
                <w:i w:val="0"/>
                <w:iCs w:val="0"/>
                <w:color w:val="auto"/>
                <w:kern w:val="0"/>
                <w:sz w:val="21"/>
                <w:szCs w:val="21"/>
                <w:highlight w:val="none"/>
                <w:u w:val="none"/>
                <w:lang w:val="en-US" w:eastAsia="zh-CN" w:bidi="ar"/>
              </w:rPr>
              <w:t>4家；</w:t>
            </w:r>
          </w:p>
          <w:p w14:paraId="13CA3E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60万元</w:t>
            </w:r>
            <w:r>
              <w:rPr>
                <w:rFonts w:hint="eastAsia"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2家；</w:t>
            </w:r>
          </w:p>
          <w:p w14:paraId="6D0D6D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20万元</w:t>
            </w:r>
            <w:r>
              <w:rPr>
                <w:rFonts w:hint="eastAsia"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1家</w:t>
            </w:r>
            <w:r>
              <w:rPr>
                <w:rFonts w:hint="eastAsia" w:ascii="Times New Roman" w:hAnsi="Times New Roman" w:eastAsia="仿宋_GB2312" w:cs="Times New Roman"/>
                <w:i w:val="0"/>
                <w:iCs w:val="0"/>
                <w:color w:val="auto"/>
                <w:kern w:val="0"/>
                <w:sz w:val="21"/>
                <w:szCs w:val="21"/>
                <w:highlight w:val="none"/>
                <w:u w:val="none"/>
                <w:lang w:val="en-US" w:eastAsia="zh-CN" w:bidi="ar"/>
              </w:rPr>
              <w:t>；2-3万元</w:t>
            </w:r>
            <w:r>
              <w:rPr>
                <w:rFonts w:hint="eastAsia"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4家</w:t>
            </w:r>
          </w:p>
        </w:tc>
        <w:tc>
          <w:tcPr>
            <w:tcW w:w="856" w:type="pct"/>
            <w:shd w:val="clear" w:color="auto" w:fill="auto"/>
            <w:noWrap w:val="0"/>
            <w:vAlign w:val="center"/>
          </w:tcPr>
          <w:p w14:paraId="04522A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200万元=</w:t>
            </w:r>
            <w:r>
              <w:rPr>
                <w:rFonts w:hint="default" w:ascii="Times New Roman" w:hAnsi="Times New Roman" w:eastAsia="仿宋_GB2312" w:cs="Times New Roman"/>
                <w:i w:val="0"/>
                <w:iCs w:val="0"/>
                <w:color w:val="auto"/>
                <w:kern w:val="0"/>
                <w:sz w:val="21"/>
                <w:szCs w:val="21"/>
                <w:highlight w:val="none"/>
                <w:u w:val="none"/>
                <w:lang w:val="en-US" w:eastAsia="zh-CN" w:bidi="ar"/>
              </w:rPr>
              <w:t>4家；</w:t>
            </w:r>
          </w:p>
          <w:p w14:paraId="0D618C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60万元</w:t>
            </w:r>
            <w:r>
              <w:rPr>
                <w:rFonts w:hint="eastAsia"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2家；</w:t>
            </w:r>
          </w:p>
          <w:p w14:paraId="01FCAC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20万元</w:t>
            </w:r>
            <w:r>
              <w:rPr>
                <w:rFonts w:hint="eastAsia"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1家</w:t>
            </w:r>
            <w:r>
              <w:rPr>
                <w:rFonts w:hint="eastAsia" w:ascii="Times New Roman" w:hAnsi="Times New Roman" w:eastAsia="仿宋_GB2312" w:cs="Times New Roman"/>
                <w:i w:val="0"/>
                <w:iCs w:val="0"/>
                <w:color w:val="auto"/>
                <w:kern w:val="0"/>
                <w:sz w:val="21"/>
                <w:szCs w:val="21"/>
                <w:highlight w:val="none"/>
                <w:u w:val="none"/>
                <w:lang w:val="en-US" w:eastAsia="zh-CN" w:bidi="ar"/>
              </w:rPr>
              <w:t>；2-3万元，4家</w:t>
            </w:r>
          </w:p>
        </w:tc>
        <w:tc>
          <w:tcPr>
            <w:tcW w:w="613" w:type="pct"/>
            <w:shd w:val="clear" w:color="auto" w:fill="auto"/>
            <w:noWrap w:val="0"/>
            <w:vAlign w:val="center"/>
          </w:tcPr>
          <w:p w14:paraId="60F9A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197E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14" w:type="pct"/>
            <w:vMerge w:val="continue"/>
            <w:noWrap w:val="0"/>
            <w:vAlign w:val="center"/>
          </w:tcPr>
          <w:p w14:paraId="620283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365001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4AA312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32BD62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“引客入湘”奖补</w:t>
            </w:r>
          </w:p>
        </w:tc>
        <w:tc>
          <w:tcPr>
            <w:tcW w:w="886" w:type="pct"/>
            <w:shd w:val="clear" w:color="auto" w:fill="auto"/>
            <w:noWrap w:val="0"/>
            <w:vAlign w:val="center"/>
          </w:tcPr>
          <w:p w14:paraId="1E18E1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1241</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856" w:type="pct"/>
            <w:noWrap w:val="0"/>
            <w:vAlign w:val="center"/>
          </w:tcPr>
          <w:p w14:paraId="50AE08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1241</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613" w:type="pct"/>
            <w:shd w:val="clear" w:color="auto" w:fill="auto"/>
            <w:noWrap w:val="0"/>
            <w:vAlign w:val="center"/>
          </w:tcPr>
          <w:p w14:paraId="66FC43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02A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614" w:type="pct"/>
            <w:vMerge w:val="continue"/>
            <w:noWrap w:val="0"/>
            <w:vAlign w:val="center"/>
          </w:tcPr>
          <w:p w14:paraId="4D4319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4C1CB2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noWrap w:val="0"/>
            <w:vAlign w:val="center"/>
          </w:tcPr>
          <w:p w14:paraId="1961E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w:t>
            </w:r>
          </w:p>
          <w:p w14:paraId="6F320B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4E511E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886" w:type="pct"/>
            <w:shd w:val="clear" w:color="auto" w:fill="auto"/>
            <w:noWrap w:val="0"/>
            <w:vAlign w:val="center"/>
          </w:tcPr>
          <w:p w14:paraId="3A6A50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856" w:type="pct"/>
            <w:shd w:val="clear" w:color="auto" w:fill="auto"/>
            <w:noWrap w:val="0"/>
            <w:vAlign w:val="center"/>
          </w:tcPr>
          <w:p w14:paraId="771B862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613" w:type="pct"/>
            <w:shd w:val="clear" w:color="auto" w:fill="auto"/>
            <w:noWrap w:val="0"/>
            <w:vAlign w:val="center"/>
          </w:tcPr>
          <w:p w14:paraId="30F5ED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CDA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14" w:type="pct"/>
            <w:vMerge w:val="continue"/>
            <w:noWrap w:val="0"/>
            <w:vAlign w:val="center"/>
          </w:tcPr>
          <w:p w14:paraId="70F87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5FE89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noWrap w:val="0"/>
            <w:vAlign w:val="center"/>
          </w:tcPr>
          <w:p w14:paraId="31304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933" w:type="pct"/>
            <w:shd w:val="clear" w:color="auto" w:fill="auto"/>
            <w:noWrap w:val="0"/>
            <w:vAlign w:val="center"/>
          </w:tcPr>
          <w:p w14:paraId="546957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因违规操作引发的生态环境重大破坏</w:t>
            </w:r>
          </w:p>
        </w:tc>
        <w:tc>
          <w:tcPr>
            <w:tcW w:w="886" w:type="pct"/>
            <w:shd w:val="clear" w:color="auto" w:fill="auto"/>
            <w:noWrap w:val="0"/>
            <w:vAlign w:val="center"/>
          </w:tcPr>
          <w:p w14:paraId="251344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856" w:type="pct"/>
            <w:shd w:val="clear" w:color="auto" w:fill="auto"/>
            <w:noWrap w:val="0"/>
            <w:vAlign w:val="center"/>
          </w:tcPr>
          <w:p w14:paraId="03A7A1F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613" w:type="pct"/>
            <w:shd w:val="clear" w:color="auto" w:fill="auto"/>
            <w:noWrap w:val="0"/>
            <w:vAlign w:val="center"/>
          </w:tcPr>
          <w:p w14:paraId="276090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6A0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14" w:type="pct"/>
            <w:vMerge w:val="continue"/>
            <w:noWrap w:val="0"/>
            <w:vAlign w:val="center"/>
          </w:tcPr>
          <w:p w14:paraId="7CDFD5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0"/>
            <w:vAlign w:val="center"/>
          </w:tcPr>
          <w:p w14:paraId="3A13AF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543" w:type="pct"/>
            <w:vMerge w:val="restart"/>
            <w:noWrap w:val="0"/>
            <w:vAlign w:val="center"/>
          </w:tcPr>
          <w:p w14:paraId="0CF8F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933" w:type="pct"/>
            <w:shd w:val="clear" w:color="auto" w:fill="auto"/>
            <w:noWrap w:val="0"/>
            <w:vAlign w:val="center"/>
          </w:tcPr>
          <w:p w14:paraId="1C4070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举办</w:t>
            </w:r>
            <w:r>
              <w:rPr>
                <w:rFonts w:hint="eastAsia" w:cs="Times New Roman"/>
                <w:i w:val="0"/>
                <w:iCs w:val="0"/>
                <w:color w:val="auto"/>
                <w:kern w:val="0"/>
                <w:sz w:val="21"/>
                <w:szCs w:val="21"/>
                <w:highlight w:val="none"/>
                <w:u w:val="none"/>
                <w:lang w:val="en-US" w:eastAsia="zh-CN" w:bidi="ar"/>
              </w:rPr>
              <w:t>全省</w:t>
            </w:r>
            <w:r>
              <w:rPr>
                <w:rFonts w:hint="default" w:ascii="Times New Roman" w:hAnsi="Times New Roman" w:eastAsia="仿宋_GB2312" w:cs="Times New Roman"/>
                <w:i w:val="0"/>
                <w:iCs w:val="0"/>
                <w:color w:val="auto"/>
                <w:kern w:val="0"/>
                <w:sz w:val="21"/>
                <w:szCs w:val="21"/>
                <w:highlight w:val="none"/>
                <w:u w:val="none"/>
                <w:lang w:val="en-US" w:eastAsia="zh-CN" w:bidi="ar"/>
              </w:rPr>
              <w:t>旅游发展大会</w:t>
            </w:r>
          </w:p>
        </w:tc>
        <w:tc>
          <w:tcPr>
            <w:tcW w:w="886" w:type="pct"/>
            <w:shd w:val="clear" w:color="auto" w:fill="auto"/>
            <w:noWrap/>
            <w:vAlign w:val="center"/>
          </w:tcPr>
          <w:p w14:paraId="5478F9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eastAsia" w:ascii="Times New Roman" w:hAnsi="Times New Roman" w:cs="Times New Roman"/>
                <w:i w:val="0"/>
                <w:iCs w:val="0"/>
                <w:color w:val="auto"/>
                <w:kern w:val="0"/>
                <w:sz w:val="21"/>
                <w:szCs w:val="21"/>
                <w:highlight w:val="none"/>
                <w:u w:val="none"/>
                <w:lang w:val="en-US" w:eastAsia="zh-CN" w:bidi="ar"/>
              </w:rPr>
              <w:t>次（一年）</w:t>
            </w:r>
          </w:p>
        </w:tc>
        <w:tc>
          <w:tcPr>
            <w:tcW w:w="856" w:type="pct"/>
            <w:shd w:val="clear" w:color="auto" w:fill="auto"/>
            <w:noWrap/>
            <w:vAlign w:val="center"/>
          </w:tcPr>
          <w:p w14:paraId="0CCCAB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eastAsia" w:ascii="Times New Roman" w:hAnsi="Times New Roman" w:cs="Times New Roman"/>
                <w:i w:val="0"/>
                <w:iCs w:val="0"/>
                <w:color w:val="auto"/>
                <w:kern w:val="0"/>
                <w:sz w:val="21"/>
                <w:szCs w:val="21"/>
                <w:highlight w:val="none"/>
                <w:u w:val="none"/>
                <w:lang w:val="en-US" w:eastAsia="zh-CN" w:bidi="ar"/>
              </w:rPr>
              <w:t>次（一年）</w:t>
            </w:r>
          </w:p>
        </w:tc>
        <w:tc>
          <w:tcPr>
            <w:tcW w:w="613" w:type="pct"/>
            <w:shd w:val="clear" w:color="auto" w:fill="auto"/>
            <w:noWrap/>
            <w:vAlign w:val="center"/>
          </w:tcPr>
          <w:p w14:paraId="48E9A3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008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18ACA4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5433F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18F6E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7C0119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CN"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文旅县域经济考核奖励县市数量</w:t>
            </w:r>
          </w:p>
        </w:tc>
        <w:tc>
          <w:tcPr>
            <w:tcW w:w="886" w:type="pct"/>
            <w:shd w:val="clear" w:color="auto" w:fill="auto"/>
            <w:noWrap w:val="0"/>
            <w:vAlign w:val="center"/>
          </w:tcPr>
          <w:p w14:paraId="0E8B8FD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CN"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4</w:t>
            </w:r>
            <w:r>
              <w:rPr>
                <w:rFonts w:hint="eastAsia" w:ascii="Times New Roman" w:hAnsi="Times New Roman" w:cs="Times New Roman"/>
                <w:i w:val="0"/>
                <w:iCs w:val="0"/>
                <w:strike w:val="0"/>
                <w:color w:val="auto"/>
                <w:kern w:val="0"/>
                <w:sz w:val="21"/>
                <w:szCs w:val="21"/>
                <w:highlight w:val="none"/>
                <w:u w:val="none"/>
                <w:lang w:val="en-US" w:eastAsia="zh-CN" w:bidi="ar"/>
              </w:rPr>
              <w:t>个</w:t>
            </w:r>
          </w:p>
        </w:tc>
        <w:tc>
          <w:tcPr>
            <w:tcW w:w="856" w:type="pct"/>
            <w:shd w:val="clear" w:color="auto" w:fill="auto"/>
            <w:noWrap w:val="0"/>
            <w:vAlign w:val="center"/>
          </w:tcPr>
          <w:p w14:paraId="2BA152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 w:bidi="ar"/>
              </w:rPr>
            </w:pPr>
            <w:r>
              <w:rPr>
                <w:rFonts w:hint="eastAsia" w:ascii="Times New Roman" w:hAnsi="Times New Roman" w:eastAsia="仿宋_GB2312" w:cs="Times New Roman"/>
                <w:i w:val="0"/>
                <w:iCs w:val="0"/>
                <w:strike w:val="0"/>
                <w:color w:val="auto"/>
                <w:kern w:val="0"/>
                <w:sz w:val="21"/>
                <w:szCs w:val="21"/>
                <w:highlight w:val="none"/>
                <w:u w:val="none"/>
                <w:lang w:val="en-US" w:eastAsia="zh-CN" w:bidi="ar"/>
              </w:rPr>
              <w:t>4</w:t>
            </w:r>
            <w:r>
              <w:rPr>
                <w:rFonts w:hint="eastAsia" w:ascii="Times New Roman" w:hAnsi="Times New Roman" w:cs="Times New Roman"/>
                <w:i w:val="0"/>
                <w:iCs w:val="0"/>
                <w:strike w:val="0"/>
                <w:color w:val="auto"/>
                <w:kern w:val="0"/>
                <w:sz w:val="21"/>
                <w:szCs w:val="21"/>
                <w:highlight w:val="none"/>
                <w:u w:val="none"/>
                <w:lang w:val="en-US" w:eastAsia="zh-CN" w:bidi="ar"/>
              </w:rPr>
              <w:t>个</w:t>
            </w:r>
          </w:p>
        </w:tc>
        <w:tc>
          <w:tcPr>
            <w:tcW w:w="613" w:type="pct"/>
            <w:shd w:val="clear" w:color="auto" w:fill="auto"/>
            <w:noWrap w:val="0"/>
            <w:vAlign w:val="center"/>
          </w:tcPr>
          <w:p w14:paraId="2DA00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B59C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14" w:type="pct"/>
            <w:vMerge w:val="continue"/>
            <w:noWrap w:val="0"/>
            <w:vAlign w:val="center"/>
          </w:tcPr>
          <w:p w14:paraId="5A21A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28C77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28AC5C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703557F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高品质旅游住宿业奖补</w:t>
            </w:r>
          </w:p>
        </w:tc>
        <w:tc>
          <w:tcPr>
            <w:tcW w:w="886" w:type="pct"/>
            <w:shd w:val="clear" w:color="auto" w:fill="auto"/>
            <w:noWrap/>
            <w:vAlign w:val="center"/>
          </w:tcPr>
          <w:p w14:paraId="740E78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家</w:t>
            </w:r>
          </w:p>
        </w:tc>
        <w:tc>
          <w:tcPr>
            <w:tcW w:w="856" w:type="pct"/>
            <w:shd w:val="clear" w:color="auto" w:fill="auto"/>
            <w:noWrap/>
            <w:vAlign w:val="center"/>
          </w:tcPr>
          <w:p w14:paraId="5F0C68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11</w:t>
            </w:r>
            <w:r>
              <w:rPr>
                <w:rFonts w:hint="eastAsia" w:ascii="Times New Roman" w:hAnsi="Times New Roman" w:cs="Times New Roman"/>
                <w:i w:val="0"/>
                <w:iCs w:val="0"/>
                <w:color w:val="auto"/>
                <w:kern w:val="0"/>
                <w:sz w:val="21"/>
                <w:szCs w:val="21"/>
                <w:highlight w:val="none"/>
                <w:u w:val="none"/>
                <w:lang w:val="en-US" w:eastAsia="zh-CN" w:bidi="ar"/>
              </w:rPr>
              <w:t>家</w:t>
            </w:r>
          </w:p>
        </w:tc>
        <w:tc>
          <w:tcPr>
            <w:tcW w:w="613" w:type="pct"/>
            <w:shd w:val="clear" w:color="auto" w:fill="auto"/>
            <w:noWrap/>
            <w:vAlign w:val="center"/>
          </w:tcPr>
          <w:p w14:paraId="367CF8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3174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14" w:type="pct"/>
            <w:vMerge w:val="continue"/>
            <w:noWrap w:val="0"/>
            <w:vAlign w:val="center"/>
          </w:tcPr>
          <w:p w14:paraId="623BA6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067D7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38E07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1C95A3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全省旅发大会重点活动</w:t>
            </w:r>
          </w:p>
        </w:tc>
        <w:tc>
          <w:tcPr>
            <w:tcW w:w="886" w:type="pct"/>
            <w:shd w:val="clear" w:color="auto" w:fill="auto"/>
            <w:noWrap/>
            <w:vAlign w:val="center"/>
          </w:tcPr>
          <w:p w14:paraId="51A1468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856" w:type="pct"/>
            <w:shd w:val="clear" w:color="auto" w:fill="auto"/>
            <w:noWrap/>
            <w:vAlign w:val="center"/>
          </w:tcPr>
          <w:p w14:paraId="116724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613" w:type="pct"/>
            <w:noWrap/>
            <w:vAlign w:val="center"/>
          </w:tcPr>
          <w:p w14:paraId="6E22A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B36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31D0B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4030F1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1E7E6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3C809E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全省旅发大会配套活动</w:t>
            </w:r>
          </w:p>
        </w:tc>
        <w:tc>
          <w:tcPr>
            <w:tcW w:w="886" w:type="pct"/>
            <w:shd w:val="clear" w:color="auto" w:fill="auto"/>
            <w:noWrap/>
            <w:vAlign w:val="center"/>
          </w:tcPr>
          <w:p w14:paraId="6584B0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SA"/>
              </w:rPr>
              <w:t>4</w:t>
            </w:r>
            <w:r>
              <w:rPr>
                <w:rFonts w:hint="eastAsia" w:ascii="Times New Roman" w:hAnsi="Times New Roman" w:cs="Times New Roman"/>
                <w:i w:val="0"/>
                <w:iCs w:val="0"/>
                <w:color w:val="auto"/>
                <w:kern w:val="0"/>
                <w:sz w:val="21"/>
                <w:szCs w:val="21"/>
                <w:highlight w:val="none"/>
                <w:u w:val="none"/>
                <w:lang w:val="en-US" w:eastAsia="zh-CN" w:bidi="ar-SA"/>
              </w:rPr>
              <w:t>个</w:t>
            </w:r>
          </w:p>
        </w:tc>
        <w:tc>
          <w:tcPr>
            <w:tcW w:w="856" w:type="pct"/>
            <w:shd w:val="clear" w:color="auto" w:fill="auto"/>
            <w:noWrap/>
            <w:vAlign w:val="center"/>
          </w:tcPr>
          <w:p w14:paraId="463351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SA"/>
              </w:rPr>
            </w:pPr>
            <w:r>
              <w:rPr>
                <w:rFonts w:hint="default" w:ascii="Times New Roman" w:hAnsi="Times New Roman" w:eastAsia="仿宋_GB2312" w:cs="Times New Roman"/>
                <w:i w:val="0"/>
                <w:iCs w:val="0"/>
                <w:color w:val="auto"/>
                <w:kern w:val="0"/>
                <w:sz w:val="21"/>
                <w:szCs w:val="21"/>
                <w:highlight w:val="none"/>
                <w:u w:val="none"/>
                <w:lang w:val="en-US" w:eastAsia="zh-CN" w:bidi="ar-SA"/>
              </w:rPr>
              <w:t>4</w:t>
            </w:r>
            <w:r>
              <w:rPr>
                <w:rFonts w:hint="eastAsia" w:ascii="Times New Roman" w:hAnsi="Times New Roman" w:cs="Times New Roman"/>
                <w:i w:val="0"/>
                <w:iCs w:val="0"/>
                <w:color w:val="auto"/>
                <w:kern w:val="0"/>
                <w:sz w:val="21"/>
                <w:szCs w:val="21"/>
                <w:highlight w:val="none"/>
                <w:u w:val="none"/>
                <w:lang w:val="en-US" w:eastAsia="zh-CN" w:bidi="ar-SA"/>
              </w:rPr>
              <w:t>个</w:t>
            </w:r>
          </w:p>
        </w:tc>
        <w:tc>
          <w:tcPr>
            <w:tcW w:w="613" w:type="pct"/>
            <w:noWrap/>
            <w:vAlign w:val="center"/>
          </w:tcPr>
          <w:p w14:paraId="6CDA51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3CBC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14" w:type="pct"/>
            <w:vMerge w:val="continue"/>
            <w:noWrap w:val="0"/>
            <w:vAlign w:val="center"/>
          </w:tcPr>
          <w:p w14:paraId="01F42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C0A50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restart"/>
            <w:noWrap w:val="0"/>
            <w:vAlign w:val="center"/>
          </w:tcPr>
          <w:p w14:paraId="2BE5D1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933" w:type="pct"/>
            <w:shd w:val="clear" w:color="auto" w:fill="auto"/>
            <w:noWrap w:val="0"/>
            <w:vAlign w:val="center"/>
          </w:tcPr>
          <w:p w14:paraId="301E28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真抓实干达标率</w:t>
            </w:r>
          </w:p>
        </w:tc>
        <w:tc>
          <w:tcPr>
            <w:tcW w:w="886" w:type="pct"/>
            <w:shd w:val="clear" w:color="auto" w:fill="auto"/>
            <w:noWrap/>
            <w:vAlign w:val="center"/>
          </w:tcPr>
          <w:p w14:paraId="682320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4B8C99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FF0000"/>
                <w:kern w:val="0"/>
                <w:sz w:val="21"/>
                <w:szCs w:val="21"/>
                <w:highlight w:val="none"/>
                <w:u w:val="none"/>
                <w:lang w:val="en-US" w:eastAsia="zh-CN" w:bidi="ar"/>
              </w:rPr>
            </w:pPr>
            <w:r>
              <w:rPr>
                <w:rFonts w:hint="eastAsia" w:cs="Times New Roman"/>
                <w:i w:val="0"/>
                <w:iCs w:val="0"/>
                <w:color w:val="FF0000"/>
                <w:kern w:val="0"/>
                <w:sz w:val="21"/>
                <w:szCs w:val="21"/>
                <w:highlight w:val="none"/>
                <w:u w:val="none"/>
                <w:lang w:val="en-US" w:eastAsia="zh-CN" w:bidi="ar"/>
              </w:rPr>
              <w:t>未考核</w:t>
            </w:r>
          </w:p>
        </w:tc>
        <w:tc>
          <w:tcPr>
            <w:tcW w:w="613" w:type="pct"/>
            <w:noWrap/>
            <w:vAlign w:val="center"/>
          </w:tcPr>
          <w:p w14:paraId="7D0647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仿宋_GB2312" w:cs="Times New Roman"/>
                <w:i w:val="0"/>
                <w:iCs w:val="0"/>
                <w:color w:val="FF0000"/>
                <w:kern w:val="0"/>
                <w:sz w:val="21"/>
                <w:szCs w:val="21"/>
                <w:highlight w:val="none"/>
                <w:u w:val="none"/>
                <w:lang w:val="en-US" w:eastAsia="zh-CN" w:bidi="ar"/>
                <w:woUserID w:val="2"/>
              </w:rPr>
            </w:pPr>
            <w:r>
              <w:rPr>
                <w:rFonts w:hint="eastAsia" w:cs="Times New Roman"/>
                <w:i w:val="0"/>
                <w:iCs w:val="0"/>
                <w:color w:val="FF0000"/>
                <w:kern w:val="0"/>
                <w:sz w:val="21"/>
                <w:szCs w:val="21"/>
                <w:highlight w:val="none"/>
                <w:u w:val="none"/>
                <w:lang w:val="en-US" w:eastAsia="zh-CN" w:bidi="ar"/>
                <w:woUserID w:val="2"/>
              </w:rPr>
              <w:t>不适用</w:t>
            </w:r>
          </w:p>
        </w:tc>
      </w:tr>
      <w:tr w14:paraId="6D60A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14" w:type="pct"/>
            <w:vMerge w:val="continue"/>
            <w:noWrap w:val="0"/>
            <w:vAlign w:val="center"/>
          </w:tcPr>
          <w:p w14:paraId="281061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22CD0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7730A1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29CBB2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奖补资金申报（拨付）程序规范性</w:t>
            </w:r>
          </w:p>
        </w:tc>
        <w:tc>
          <w:tcPr>
            <w:tcW w:w="886" w:type="pct"/>
            <w:shd w:val="clear" w:color="auto" w:fill="auto"/>
            <w:noWrap/>
            <w:vAlign w:val="center"/>
          </w:tcPr>
          <w:p w14:paraId="037D05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highlight w:val="none"/>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6F7809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13" w:type="pct"/>
            <w:noWrap/>
            <w:vAlign w:val="center"/>
          </w:tcPr>
          <w:p w14:paraId="470A6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42A5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14" w:type="pct"/>
            <w:vMerge w:val="continue"/>
            <w:noWrap w:val="0"/>
            <w:vAlign w:val="center"/>
          </w:tcPr>
          <w:p w14:paraId="71B315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6D65A6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1230D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3E9B36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方案完备性</w:t>
            </w:r>
          </w:p>
        </w:tc>
        <w:tc>
          <w:tcPr>
            <w:tcW w:w="886" w:type="pct"/>
            <w:shd w:val="clear" w:color="auto" w:fill="auto"/>
            <w:noWrap/>
            <w:vAlign w:val="center"/>
          </w:tcPr>
          <w:p w14:paraId="18BC19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highlight w:val="none"/>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23E5C7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13" w:type="pct"/>
            <w:noWrap/>
            <w:vAlign w:val="center"/>
          </w:tcPr>
          <w:p w14:paraId="1CD8C9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BC54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44E320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79287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02534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5DDF1F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年度旅游有效投诉受理率和办结率</w:t>
            </w:r>
          </w:p>
        </w:tc>
        <w:tc>
          <w:tcPr>
            <w:tcW w:w="886" w:type="pct"/>
            <w:shd w:val="clear" w:color="auto" w:fill="auto"/>
            <w:noWrap/>
            <w:vAlign w:val="center"/>
          </w:tcPr>
          <w:p w14:paraId="7ECB534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cs="Times New Roman"/>
                <w:i w:val="0"/>
                <w:iCs w:val="0"/>
                <w:color w:val="auto"/>
                <w:kern w:val="0"/>
                <w:sz w:val="21"/>
                <w:szCs w:val="21"/>
                <w:highlight w:val="none"/>
                <w:u w:val="none"/>
                <w:lang w:val="en-US" w:eastAsia="zh-CN" w:bidi="ar"/>
              </w:rPr>
              <w:t>%</w:t>
            </w:r>
          </w:p>
        </w:tc>
        <w:tc>
          <w:tcPr>
            <w:tcW w:w="856" w:type="pct"/>
            <w:noWrap/>
            <w:vAlign w:val="center"/>
          </w:tcPr>
          <w:p w14:paraId="0238F4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13" w:type="pct"/>
            <w:shd w:val="clear" w:color="auto" w:fill="auto"/>
            <w:noWrap/>
            <w:vAlign w:val="center"/>
          </w:tcPr>
          <w:p w14:paraId="5CBD02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73FC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3E35B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7A3ABE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7DD8BE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933" w:type="pct"/>
            <w:shd w:val="clear" w:color="auto" w:fill="auto"/>
            <w:noWrap w:val="0"/>
            <w:vAlign w:val="center"/>
          </w:tcPr>
          <w:p w14:paraId="5D7022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886" w:type="pct"/>
            <w:shd w:val="clear" w:color="auto" w:fill="auto"/>
            <w:noWrap w:val="0"/>
            <w:vAlign w:val="center"/>
          </w:tcPr>
          <w:p w14:paraId="47DC12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56" w:type="pct"/>
            <w:noWrap w:val="0"/>
            <w:vAlign w:val="center"/>
          </w:tcPr>
          <w:p w14:paraId="751306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w:t>
            </w:r>
            <w:r>
              <w:rPr>
                <w:rFonts w:hint="eastAsia" w:cs="Times New Roman"/>
                <w:i w:val="0"/>
                <w:iCs w:val="0"/>
                <w:color w:val="auto"/>
                <w:kern w:val="0"/>
                <w:sz w:val="21"/>
                <w:szCs w:val="21"/>
                <w:highlight w:val="none"/>
                <w:u w:val="none"/>
                <w:lang w:val="en-US" w:eastAsia="zh-CN" w:bidi="ar"/>
              </w:rPr>
              <w:t>8月29日前全部拨付</w:t>
            </w:r>
          </w:p>
        </w:tc>
        <w:tc>
          <w:tcPr>
            <w:tcW w:w="613" w:type="pct"/>
            <w:shd w:val="clear" w:color="auto" w:fill="auto"/>
            <w:noWrap w:val="0"/>
            <w:vAlign w:val="center"/>
          </w:tcPr>
          <w:p w14:paraId="503472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77BE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70058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3C45F8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654DE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026BFF4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项目评审及时率</w:t>
            </w:r>
          </w:p>
        </w:tc>
        <w:tc>
          <w:tcPr>
            <w:tcW w:w="886" w:type="pct"/>
            <w:shd w:val="clear" w:color="auto" w:fill="auto"/>
            <w:noWrap w:val="0"/>
            <w:vAlign w:val="center"/>
          </w:tcPr>
          <w:p w14:paraId="567E0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856" w:type="pct"/>
            <w:shd w:val="clear" w:color="auto" w:fill="auto"/>
            <w:noWrap w:val="0"/>
            <w:vAlign w:val="center"/>
          </w:tcPr>
          <w:p w14:paraId="7656FB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613" w:type="pct"/>
            <w:noWrap w:val="0"/>
            <w:vAlign w:val="center"/>
          </w:tcPr>
          <w:p w14:paraId="213792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6B31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4C5D4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73BF1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6BE49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57F908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项目完成及时率</w:t>
            </w:r>
          </w:p>
        </w:tc>
        <w:tc>
          <w:tcPr>
            <w:tcW w:w="886" w:type="pct"/>
            <w:shd w:val="clear" w:color="auto" w:fill="auto"/>
            <w:noWrap w:val="0"/>
            <w:vAlign w:val="center"/>
          </w:tcPr>
          <w:p w14:paraId="3A40FA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856" w:type="pct"/>
            <w:shd w:val="clear" w:color="auto" w:fill="auto"/>
            <w:noWrap w:val="0"/>
            <w:vAlign w:val="center"/>
          </w:tcPr>
          <w:p w14:paraId="3DE43C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613" w:type="pct"/>
            <w:noWrap w:val="0"/>
            <w:vAlign w:val="center"/>
          </w:tcPr>
          <w:p w14:paraId="68C80E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48D27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471A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ign w:val="center"/>
          </w:tcPr>
          <w:p w14:paraId="00490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543" w:type="pct"/>
            <w:vMerge w:val="restart"/>
            <w:noWrap w:val="0"/>
            <w:vAlign w:val="center"/>
          </w:tcPr>
          <w:p w14:paraId="783E9B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w:t>
            </w:r>
          </w:p>
          <w:p w14:paraId="0EABBD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590C68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游客总花费增长率</w:t>
            </w:r>
          </w:p>
        </w:tc>
        <w:tc>
          <w:tcPr>
            <w:tcW w:w="886" w:type="pct"/>
            <w:shd w:val="clear" w:color="auto" w:fill="auto"/>
            <w:noWrap/>
            <w:vAlign w:val="center"/>
          </w:tcPr>
          <w:p w14:paraId="594C32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1585CF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613" w:type="pct"/>
            <w:noWrap/>
            <w:vAlign w:val="center"/>
          </w:tcPr>
          <w:p w14:paraId="065081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7DCFF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15FBA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032B2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5E1155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4C0DDA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规上文化和相关产业企业营收</w:t>
            </w:r>
          </w:p>
        </w:tc>
        <w:tc>
          <w:tcPr>
            <w:tcW w:w="886" w:type="pct"/>
            <w:shd w:val="clear" w:color="auto" w:fill="auto"/>
            <w:noWrap/>
            <w:vAlign w:val="center"/>
          </w:tcPr>
          <w:p w14:paraId="432C5C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eastAsia" w:ascii="Times New Roman" w:hAnsi="Times New Roman" w:eastAsia="仿宋_GB2312" w:cs="Times New Roman"/>
                <w:i w:val="0"/>
                <w:iCs w:val="0"/>
                <w:color w:val="auto"/>
                <w:kern w:val="0"/>
                <w:sz w:val="21"/>
                <w:szCs w:val="21"/>
                <w:highlight w:val="none"/>
                <w:u w:val="none"/>
                <w:lang w:val="en-US" w:eastAsia="zh-CN" w:bidi="ar"/>
              </w:rPr>
              <w:t>亿元</w:t>
            </w:r>
          </w:p>
        </w:tc>
        <w:tc>
          <w:tcPr>
            <w:tcW w:w="856" w:type="pct"/>
            <w:noWrap/>
            <w:vAlign w:val="center"/>
          </w:tcPr>
          <w:p w14:paraId="5B9B61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613" w:type="pct"/>
            <w:noWrap/>
            <w:vAlign w:val="center"/>
          </w:tcPr>
          <w:p w14:paraId="4B166D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7445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70BF29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375BB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541F1C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62AD5B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促进接待游客人数增长率</w:t>
            </w:r>
          </w:p>
        </w:tc>
        <w:tc>
          <w:tcPr>
            <w:tcW w:w="886" w:type="pct"/>
            <w:shd w:val="clear" w:color="auto" w:fill="auto"/>
            <w:noWrap/>
            <w:vAlign w:val="center"/>
          </w:tcPr>
          <w:p w14:paraId="7102CD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44DFAA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13" w:type="pct"/>
            <w:noWrap/>
            <w:vAlign w:val="center"/>
          </w:tcPr>
          <w:p w14:paraId="2B5BE7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40C3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05CBA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12F01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11B74E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社会效益指标</w:t>
            </w:r>
          </w:p>
        </w:tc>
        <w:tc>
          <w:tcPr>
            <w:tcW w:w="933" w:type="pct"/>
            <w:shd w:val="clear" w:color="auto" w:fill="auto"/>
            <w:noWrap w:val="0"/>
            <w:vAlign w:val="center"/>
          </w:tcPr>
          <w:p w14:paraId="1B155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推动旅游与其他产业的融合</w:t>
            </w:r>
          </w:p>
        </w:tc>
        <w:tc>
          <w:tcPr>
            <w:tcW w:w="886" w:type="pct"/>
            <w:shd w:val="clear" w:color="auto" w:fill="auto"/>
            <w:noWrap w:val="0"/>
            <w:vAlign w:val="center"/>
          </w:tcPr>
          <w:p w14:paraId="2E71584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1666" w:type="dxa"/>
            <w:shd w:val="clear" w:color="auto" w:fill="auto"/>
            <w:noWrap w:val="0"/>
            <w:vAlign w:val="center"/>
          </w:tcPr>
          <w:p w14:paraId="586DDD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613" w:type="pct"/>
            <w:noWrap w:val="0"/>
            <w:vAlign w:val="center"/>
          </w:tcPr>
          <w:p w14:paraId="02E0A6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41B4B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14" w:type="pct"/>
            <w:vMerge w:val="continue"/>
            <w:noWrap w:val="0"/>
            <w:vAlign w:val="center"/>
          </w:tcPr>
          <w:p w14:paraId="195481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25F26C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20909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347CBB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提升本地的知名度，提高本地居民对本地文化、旅游的热情度</w:t>
            </w:r>
          </w:p>
        </w:tc>
        <w:tc>
          <w:tcPr>
            <w:tcW w:w="886" w:type="pct"/>
            <w:shd w:val="clear" w:color="auto" w:fill="auto"/>
            <w:noWrap w:val="0"/>
            <w:vAlign w:val="center"/>
          </w:tcPr>
          <w:p w14:paraId="38B079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较上一年度有所高</w:t>
            </w:r>
          </w:p>
        </w:tc>
        <w:tc>
          <w:tcPr>
            <w:tcW w:w="1666" w:type="dxa"/>
            <w:shd w:val="clear" w:color="auto" w:fill="auto"/>
            <w:noWrap w:val="0"/>
            <w:vAlign w:val="center"/>
          </w:tcPr>
          <w:p w14:paraId="640FAC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较上一年度有所高</w:t>
            </w:r>
          </w:p>
        </w:tc>
        <w:tc>
          <w:tcPr>
            <w:tcW w:w="613" w:type="pct"/>
            <w:noWrap w:val="0"/>
            <w:vAlign w:val="center"/>
          </w:tcPr>
          <w:p w14:paraId="0EAA72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01057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659B6D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43087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3A3C9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3F725F3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促进就业人数增</w:t>
            </w:r>
          </w:p>
          <w:p w14:paraId="76EC1F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长率</w:t>
            </w:r>
          </w:p>
        </w:tc>
        <w:tc>
          <w:tcPr>
            <w:tcW w:w="886" w:type="pct"/>
            <w:shd w:val="clear" w:color="auto" w:fill="auto"/>
            <w:noWrap/>
            <w:vAlign w:val="center"/>
          </w:tcPr>
          <w:p w14:paraId="2E7FC8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7B6125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8.3%</w:t>
            </w:r>
          </w:p>
        </w:tc>
        <w:tc>
          <w:tcPr>
            <w:tcW w:w="613" w:type="pct"/>
            <w:noWrap/>
            <w:vAlign w:val="center"/>
          </w:tcPr>
          <w:p w14:paraId="2A2157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152E3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CC49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64B71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noWrap w:val="0"/>
            <w:vAlign w:val="center"/>
          </w:tcPr>
          <w:p w14:paraId="24853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933" w:type="pct"/>
            <w:shd w:val="clear" w:color="auto" w:fill="auto"/>
            <w:noWrap w:val="0"/>
            <w:vAlign w:val="center"/>
          </w:tcPr>
          <w:p w14:paraId="1CC2AC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886" w:type="pct"/>
            <w:shd w:val="clear" w:color="auto" w:fill="auto"/>
            <w:noWrap/>
            <w:vAlign w:val="center"/>
          </w:tcPr>
          <w:p w14:paraId="724679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1666" w:type="dxa"/>
            <w:shd w:val="clear" w:color="auto" w:fill="auto"/>
            <w:noWrap/>
            <w:vAlign w:val="center"/>
          </w:tcPr>
          <w:p w14:paraId="31F015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13" w:type="pct"/>
            <w:noWrap/>
            <w:vAlign w:val="center"/>
          </w:tcPr>
          <w:p w14:paraId="2C5EBD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05029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67382C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69CAF5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6ECB90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933" w:type="pct"/>
            <w:shd w:val="clear" w:color="auto" w:fill="auto"/>
            <w:noWrap w:val="0"/>
            <w:vAlign w:val="center"/>
          </w:tcPr>
          <w:p w14:paraId="67D63F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公共文化服务体系</w:t>
            </w:r>
          </w:p>
        </w:tc>
        <w:tc>
          <w:tcPr>
            <w:tcW w:w="886" w:type="pct"/>
            <w:shd w:val="clear" w:color="auto" w:fill="auto"/>
            <w:noWrap/>
            <w:vAlign w:val="center"/>
          </w:tcPr>
          <w:p w14:paraId="17A083E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1666" w:type="dxa"/>
            <w:shd w:val="clear" w:color="auto" w:fill="auto"/>
            <w:noWrap/>
            <w:vAlign w:val="center"/>
          </w:tcPr>
          <w:p w14:paraId="242B31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613" w:type="pct"/>
            <w:noWrap/>
            <w:vAlign w:val="center"/>
          </w:tcPr>
          <w:p w14:paraId="0D6755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4408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0D9EF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463D7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7737A3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66B6F2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旅游住宿业竞争力和吸引力</w:t>
            </w:r>
          </w:p>
        </w:tc>
        <w:tc>
          <w:tcPr>
            <w:tcW w:w="886" w:type="pct"/>
            <w:shd w:val="clear" w:color="auto" w:fill="auto"/>
            <w:noWrap/>
            <w:vAlign w:val="center"/>
          </w:tcPr>
          <w:p w14:paraId="0202ED5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1666" w:type="dxa"/>
            <w:shd w:val="clear" w:color="auto" w:fill="auto"/>
            <w:noWrap/>
            <w:vAlign w:val="center"/>
          </w:tcPr>
          <w:p w14:paraId="37A43D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613" w:type="pct"/>
            <w:noWrap/>
            <w:vAlign w:val="center"/>
          </w:tcPr>
          <w:p w14:paraId="51F531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0F73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vMerge w:val="continue"/>
            <w:noWrap w:val="0"/>
            <w:vAlign w:val="center"/>
          </w:tcPr>
          <w:p w14:paraId="1303B4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ign w:val="center"/>
          </w:tcPr>
          <w:p w14:paraId="1CA76F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w:t>
            </w:r>
          </w:p>
          <w:p w14:paraId="0DC1C9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543" w:type="pct"/>
            <w:vMerge w:val="restart"/>
            <w:noWrap w:val="0"/>
            <w:vAlign w:val="center"/>
          </w:tcPr>
          <w:p w14:paraId="0D08CE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933" w:type="pct"/>
            <w:shd w:val="clear" w:color="auto" w:fill="auto"/>
            <w:noWrap w:val="0"/>
            <w:vAlign w:val="center"/>
          </w:tcPr>
          <w:p w14:paraId="295E27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86" w:type="pct"/>
            <w:shd w:val="clear" w:color="auto" w:fill="auto"/>
            <w:noWrap w:val="0"/>
            <w:vAlign w:val="center"/>
          </w:tcPr>
          <w:p w14:paraId="7224A9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1666" w:type="dxa"/>
            <w:noWrap w:val="0"/>
            <w:vAlign w:val="center"/>
          </w:tcPr>
          <w:p w14:paraId="1731C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woUserID w:val="2"/>
              </w:rPr>
              <w:t>90.34%</w:t>
            </w:r>
          </w:p>
        </w:tc>
        <w:tc>
          <w:tcPr>
            <w:tcW w:w="613" w:type="pct"/>
            <w:noWrap w:val="0"/>
            <w:vAlign w:val="center"/>
          </w:tcPr>
          <w:p w14:paraId="40370E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68F97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vMerge w:val="continue"/>
            <w:noWrap w:val="0"/>
            <w:vAlign w:val="center"/>
          </w:tcPr>
          <w:p w14:paraId="12B443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5EEFB9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0236C3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5B3FF9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奖补对象满意度</w:t>
            </w:r>
          </w:p>
        </w:tc>
        <w:tc>
          <w:tcPr>
            <w:tcW w:w="886" w:type="pct"/>
            <w:shd w:val="clear" w:color="auto" w:fill="auto"/>
            <w:noWrap w:val="0"/>
            <w:vAlign w:val="center"/>
          </w:tcPr>
          <w:p w14:paraId="58F9F4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1666" w:type="dxa"/>
            <w:noWrap w:val="0"/>
            <w:vAlign w:val="center"/>
          </w:tcPr>
          <w:p w14:paraId="7FF74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woUserID w:val="2"/>
              </w:rPr>
              <w:t>95.6%</w:t>
            </w:r>
          </w:p>
        </w:tc>
        <w:tc>
          <w:tcPr>
            <w:tcW w:w="613" w:type="pct"/>
            <w:noWrap w:val="0"/>
            <w:vAlign w:val="center"/>
          </w:tcPr>
          <w:p w14:paraId="5865BBA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00F8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14" w:type="pct"/>
            <w:vMerge w:val="continue"/>
            <w:noWrap w:val="0"/>
            <w:vAlign w:val="center"/>
          </w:tcPr>
          <w:p w14:paraId="6E9ED6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21039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427DC4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782278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886" w:type="pct"/>
            <w:shd w:val="clear" w:color="auto" w:fill="auto"/>
            <w:noWrap w:val="0"/>
            <w:vAlign w:val="center"/>
          </w:tcPr>
          <w:p w14:paraId="275E4E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1666" w:type="dxa"/>
            <w:noWrap w:val="0"/>
            <w:vAlign w:val="center"/>
          </w:tcPr>
          <w:p w14:paraId="3A3AA3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woUserID w:val="2"/>
              </w:rPr>
              <w:t>92.8%</w:t>
            </w:r>
          </w:p>
        </w:tc>
        <w:tc>
          <w:tcPr>
            <w:tcW w:w="613" w:type="pct"/>
            <w:noWrap w:val="0"/>
            <w:vAlign w:val="center"/>
          </w:tcPr>
          <w:p w14:paraId="1DA6B6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bl>
    <w:p w14:paraId="72244D67">
      <w:pPr>
        <w:rPr>
          <w:rFonts w:hint="default" w:ascii="Times New Roman" w:hAnsi="Times New Roman" w:cs="Times New Roman"/>
          <w:color w:val="auto"/>
        </w:rPr>
      </w:pPr>
    </w:p>
    <w:p w14:paraId="637C0CD1">
      <w:pPr>
        <w:rPr>
          <w:rStyle w:val="29"/>
          <w:rFonts w:hint="default" w:ascii="Times New Roman" w:hAnsi="Times New Roman" w:eastAsia="方正小标宋_GBK" w:cs="Times New Roman"/>
          <w:color w:val="auto"/>
          <w:highlight w:val="none"/>
        </w:rPr>
      </w:pPr>
      <w:r>
        <w:rPr>
          <w:rStyle w:val="29"/>
          <w:rFonts w:hint="default" w:ascii="Times New Roman" w:hAnsi="Times New Roman" w:eastAsia="方正小标宋_GBK" w:cs="Times New Roman"/>
          <w:color w:val="auto"/>
          <w:highlight w:val="none"/>
        </w:rPr>
        <w:br w:type="page"/>
      </w:r>
    </w:p>
    <w:p w14:paraId="04DDC5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5" w:name="_Toc29969"/>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185"/>
    </w:p>
    <w:p w14:paraId="1C6AEDB0">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3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020"/>
        <w:gridCol w:w="1146"/>
        <w:gridCol w:w="1726"/>
        <w:gridCol w:w="1644"/>
        <w:gridCol w:w="1510"/>
        <w:gridCol w:w="1278"/>
      </w:tblGrid>
      <w:tr w14:paraId="1359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noWrap w:val="0"/>
            <w:vAlign w:val="center"/>
          </w:tcPr>
          <w:p w14:paraId="30097E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128" w:type="pct"/>
            <w:gridSpan w:val="2"/>
            <w:noWrap w:val="0"/>
            <w:vAlign w:val="center"/>
          </w:tcPr>
          <w:p w14:paraId="484DB3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文化和旅游融合发展</w:t>
            </w:r>
          </w:p>
        </w:tc>
        <w:tc>
          <w:tcPr>
            <w:tcW w:w="899" w:type="pct"/>
            <w:noWrap w:val="0"/>
            <w:vAlign w:val="center"/>
          </w:tcPr>
          <w:p w14:paraId="124EC8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309" w:type="pct"/>
            <w:gridSpan w:val="3"/>
            <w:noWrap w:val="0"/>
            <w:vAlign w:val="center"/>
          </w:tcPr>
          <w:p w14:paraId="6F6F46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4072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noWrap w:val="0"/>
            <w:vAlign w:val="center"/>
          </w:tcPr>
          <w:p w14:paraId="5A03A2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主管部门</w:t>
            </w:r>
          </w:p>
        </w:tc>
        <w:tc>
          <w:tcPr>
            <w:tcW w:w="4337" w:type="pct"/>
            <w:gridSpan w:val="6"/>
            <w:noWrap w:val="0"/>
            <w:vAlign w:val="center"/>
          </w:tcPr>
          <w:p w14:paraId="35337A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5CC5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vMerge w:val="restart"/>
            <w:noWrap w:val="0"/>
            <w:vAlign w:val="center"/>
          </w:tcPr>
          <w:p w14:paraId="31DD4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资金拨付情况</w:t>
            </w:r>
          </w:p>
        </w:tc>
        <w:tc>
          <w:tcPr>
            <w:tcW w:w="1128" w:type="pct"/>
            <w:gridSpan w:val="2"/>
            <w:noWrap w:val="0"/>
            <w:vAlign w:val="center"/>
          </w:tcPr>
          <w:p w14:paraId="24C4B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SA"/>
              </w:rPr>
              <w:t>预算数</w:t>
            </w:r>
          </w:p>
        </w:tc>
        <w:tc>
          <w:tcPr>
            <w:tcW w:w="899" w:type="pct"/>
            <w:noWrap w:val="0"/>
            <w:vAlign w:val="center"/>
          </w:tcPr>
          <w:p w14:paraId="7F7CC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完成数</w:t>
            </w:r>
          </w:p>
        </w:tc>
        <w:tc>
          <w:tcPr>
            <w:tcW w:w="2309" w:type="pct"/>
            <w:gridSpan w:val="3"/>
            <w:noWrap w:val="0"/>
            <w:vAlign w:val="center"/>
          </w:tcPr>
          <w:p w14:paraId="04EB66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执行率</w:t>
            </w:r>
          </w:p>
        </w:tc>
      </w:tr>
      <w:tr w14:paraId="6419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vMerge w:val="continue"/>
            <w:noWrap w:val="0"/>
            <w:vAlign w:val="center"/>
          </w:tcPr>
          <w:p w14:paraId="6DE747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128" w:type="pct"/>
            <w:gridSpan w:val="2"/>
            <w:noWrap w:val="0"/>
            <w:vAlign w:val="center"/>
          </w:tcPr>
          <w:p w14:paraId="4F029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2850</w:t>
            </w:r>
          </w:p>
        </w:tc>
        <w:tc>
          <w:tcPr>
            <w:tcW w:w="899" w:type="pct"/>
            <w:noWrap w:val="0"/>
            <w:vAlign w:val="center"/>
          </w:tcPr>
          <w:p w14:paraId="7434AF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2850</w:t>
            </w:r>
          </w:p>
        </w:tc>
        <w:tc>
          <w:tcPr>
            <w:tcW w:w="2309" w:type="pct"/>
            <w:gridSpan w:val="3"/>
            <w:noWrap w:val="0"/>
            <w:vAlign w:val="center"/>
          </w:tcPr>
          <w:p w14:paraId="623FB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w:t>
            </w:r>
          </w:p>
        </w:tc>
      </w:tr>
      <w:tr w14:paraId="1A0A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662" w:type="pct"/>
            <w:noWrap w:val="0"/>
            <w:vAlign w:val="center"/>
          </w:tcPr>
          <w:p w14:paraId="3B6B38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37" w:type="pct"/>
            <w:gridSpan w:val="6"/>
            <w:shd w:val="clear" w:color="auto" w:fill="auto"/>
            <w:noWrap w:val="0"/>
            <w:vAlign w:val="center"/>
          </w:tcPr>
          <w:p w14:paraId="04B081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增强文化软实力，以文化人，以文创业，以文兴乡，以文塑旅，发展文化事业和文旅产业，推进文化和旅游深度融合，探索文化和科技融合；全年开展旅游文化演艺活动8个左右，打造艺术演艺品牌，引导文艺创作更加贴近生活，贴近群众，提升艺术创作水平，促进文化演艺与旅游景区深度融合</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支持红色文创产品的开发；通过编排红色文化演出节目和相关书籍、视频，支持对红色文化的转化，增强游客沉浸式体验，扩大红色文化的影响力；开展“旅游+”新业态项目1</w:t>
            </w:r>
            <w:r>
              <w:rPr>
                <w:rFonts w:hint="eastAsia" w:ascii="Times New Roman" w:hAnsi="Times New Roman" w:eastAsia="仿宋_GB2312" w:cs="Times New Roman"/>
                <w:i w:val="0"/>
                <w:iCs w:val="0"/>
                <w:color w:val="auto"/>
                <w:kern w:val="0"/>
                <w:sz w:val="21"/>
                <w:szCs w:val="21"/>
                <w:highlight w:val="none"/>
                <w:u w:val="none"/>
                <w:lang w:val="en-US" w:eastAsia="zh-CN" w:bidi="ar"/>
              </w:rPr>
              <w:t>5</w:t>
            </w:r>
            <w:r>
              <w:rPr>
                <w:rFonts w:hint="default" w:ascii="Times New Roman" w:hAnsi="Times New Roman" w:eastAsia="仿宋_GB2312" w:cs="Times New Roman"/>
                <w:i w:val="0"/>
                <w:iCs w:val="0"/>
                <w:color w:val="auto"/>
                <w:kern w:val="0"/>
                <w:sz w:val="21"/>
                <w:szCs w:val="21"/>
                <w:highlight w:val="none"/>
                <w:u w:val="none"/>
                <w:lang w:val="en-US" w:eastAsia="zh-CN" w:bidi="ar"/>
              </w:rPr>
              <w:t>个左右，开展“四个一百”乡村旅游项目</w:t>
            </w:r>
            <w:r>
              <w:rPr>
                <w:rFonts w:hint="eastAsia" w:ascii="Times New Roman" w:hAnsi="Times New Roman" w:eastAsia="仿宋_GB2312" w:cs="Times New Roman"/>
                <w:i w:val="0"/>
                <w:iCs w:val="0"/>
                <w:color w:val="auto"/>
                <w:kern w:val="0"/>
                <w:sz w:val="21"/>
                <w:szCs w:val="21"/>
                <w:highlight w:val="none"/>
                <w:u w:val="none"/>
                <w:lang w:val="en-US" w:eastAsia="zh-CN" w:bidi="ar"/>
              </w:rPr>
              <w:t>10</w:t>
            </w:r>
            <w:r>
              <w:rPr>
                <w:rFonts w:hint="default" w:ascii="Times New Roman" w:hAnsi="Times New Roman" w:eastAsia="仿宋_GB2312" w:cs="Times New Roman"/>
                <w:i w:val="0"/>
                <w:iCs w:val="0"/>
                <w:color w:val="auto"/>
                <w:kern w:val="0"/>
                <w:sz w:val="21"/>
                <w:szCs w:val="21"/>
                <w:highlight w:val="none"/>
                <w:u w:val="none"/>
                <w:lang w:val="en-US" w:eastAsia="zh-CN" w:bidi="ar"/>
              </w:rPr>
              <w:t>个左右。</w:t>
            </w:r>
          </w:p>
        </w:tc>
      </w:tr>
      <w:tr w14:paraId="14061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41" w:hRule="atLeast"/>
          <w:jc w:val="center"/>
        </w:trPr>
        <w:tc>
          <w:tcPr>
            <w:tcW w:w="662" w:type="pct"/>
            <w:noWrap w:val="0"/>
            <w:vAlign w:val="center"/>
          </w:tcPr>
          <w:p w14:paraId="464DA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年度绩效目标完成情况</w:t>
            </w:r>
          </w:p>
        </w:tc>
        <w:tc>
          <w:tcPr>
            <w:tcW w:w="4337" w:type="pct"/>
            <w:gridSpan w:val="6"/>
            <w:noWrap w:val="0"/>
            <w:vAlign w:val="center"/>
          </w:tcPr>
          <w:p w14:paraId="45C5F3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以增强文化软实力为核心目标，扎实推进文化事业和文旅产业高质量发展，文旅深度融合、文旅科技融合取得显著成效。全年共开展旅游文化演艺活动</w:t>
            </w:r>
            <w:r>
              <w:rPr>
                <w:rFonts w:hint="default" w:cs="Times New Roman"/>
                <w:i w:val="0"/>
                <w:iCs w:val="0"/>
                <w:color w:val="auto"/>
                <w:kern w:val="0"/>
                <w:sz w:val="21"/>
                <w:szCs w:val="21"/>
                <w:highlight w:val="none"/>
                <w:u w:val="none"/>
                <w:lang w:val="en-US" w:eastAsia="zh-CN" w:bidi="ar"/>
              </w:rPr>
              <w:t>8</w:t>
            </w:r>
            <w:r>
              <w:rPr>
                <w:rFonts w:hint="default" w:ascii="Times New Roman" w:hAnsi="Times New Roman" w:eastAsia="仿宋_GB2312" w:cs="Times New Roman"/>
                <w:i w:val="0"/>
                <w:iCs w:val="0"/>
                <w:color w:val="auto"/>
                <w:kern w:val="0"/>
                <w:sz w:val="21"/>
                <w:szCs w:val="21"/>
                <w:highlight w:val="none"/>
                <w:u w:val="none"/>
                <w:lang w:val="en-US" w:eastAsia="zh-CN" w:bidi="ar"/>
              </w:rPr>
              <w:t>场，文艺创作更加贴近群众生活，艺术创作水平持续提升，文化演艺与旅游景区深度融合的示范效应凸显。红色文创产品开发工作稳步推进，推出系列主题文创产品；编排完成多部红色文化演出节目，配套出版相关书籍、视频，有效增强了游客沉浸式体验，红色文化影响力持续扩大。全年累计开展“旅游+”新业态项目1</w:t>
            </w:r>
            <w:r>
              <w:rPr>
                <w:rFonts w:hint="default" w:cs="Times New Roman"/>
                <w:i w:val="0"/>
                <w:iCs w:val="0"/>
                <w:color w:val="auto"/>
                <w:kern w:val="0"/>
                <w:sz w:val="21"/>
                <w:szCs w:val="21"/>
                <w:highlight w:val="none"/>
                <w:u w:val="none"/>
                <w:lang w:val="en-US" w:eastAsia="zh-CN" w:bidi="ar"/>
              </w:rPr>
              <w:t>6</w:t>
            </w:r>
            <w:r>
              <w:rPr>
                <w:rFonts w:hint="default" w:ascii="Times New Roman" w:hAnsi="Times New Roman" w:eastAsia="仿宋_GB2312" w:cs="Times New Roman"/>
                <w:i w:val="0"/>
                <w:iCs w:val="0"/>
                <w:color w:val="auto"/>
                <w:kern w:val="0"/>
                <w:sz w:val="21"/>
                <w:szCs w:val="21"/>
                <w:highlight w:val="none"/>
                <w:u w:val="none"/>
                <w:lang w:val="en-US" w:eastAsia="zh-CN" w:bidi="ar"/>
              </w:rPr>
              <w:t>个、“四个一百”乡村旅游项目</w:t>
            </w:r>
            <w:r>
              <w:rPr>
                <w:rFonts w:hint="default" w:cs="Times New Roman"/>
                <w:i w:val="0"/>
                <w:iCs w:val="0"/>
                <w:color w:val="auto"/>
                <w:kern w:val="0"/>
                <w:sz w:val="21"/>
                <w:szCs w:val="21"/>
                <w:highlight w:val="none"/>
                <w:u w:val="none"/>
                <w:lang w:val="en-US" w:eastAsia="zh-CN" w:bidi="ar"/>
              </w:rPr>
              <w:t>9</w:t>
            </w:r>
            <w:r>
              <w:rPr>
                <w:rFonts w:hint="default" w:ascii="Times New Roman" w:hAnsi="Times New Roman" w:eastAsia="仿宋_GB2312" w:cs="Times New Roman"/>
                <w:i w:val="0"/>
                <w:iCs w:val="0"/>
                <w:color w:val="auto"/>
                <w:kern w:val="0"/>
                <w:sz w:val="21"/>
                <w:szCs w:val="21"/>
                <w:highlight w:val="none"/>
                <w:u w:val="none"/>
                <w:lang w:val="en-US" w:eastAsia="zh-CN" w:bidi="ar"/>
              </w:rPr>
              <w:t>个，超额完成年度目标任务，文旅新业态、乡村旅游发展活力进一步释放，有效推动了文化软实力提升和文旅产业提质增效。</w:t>
            </w:r>
          </w:p>
        </w:tc>
      </w:tr>
      <w:tr w14:paraId="3285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2" w:type="pct"/>
            <w:vMerge w:val="restart"/>
            <w:noWrap w:val="0"/>
            <w:vAlign w:val="center"/>
          </w:tcPr>
          <w:p w14:paraId="4E2581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531" w:type="pct"/>
            <w:noWrap w:val="0"/>
            <w:vAlign w:val="center"/>
          </w:tcPr>
          <w:p w14:paraId="305EDC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597" w:type="pct"/>
            <w:noWrap w:val="0"/>
            <w:vAlign w:val="center"/>
          </w:tcPr>
          <w:p w14:paraId="060EF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99" w:type="pct"/>
            <w:noWrap w:val="0"/>
            <w:vAlign w:val="center"/>
          </w:tcPr>
          <w:p w14:paraId="06034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57" w:type="pct"/>
            <w:noWrap w:val="0"/>
            <w:vAlign w:val="center"/>
          </w:tcPr>
          <w:p w14:paraId="2A5379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786" w:type="pct"/>
            <w:noWrap w:val="0"/>
            <w:vAlign w:val="center"/>
          </w:tcPr>
          <w:p w14:paraId="3F9C11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65" w:type="pct"/>
            <w:noWrap w:val="0"/>
            <w:vAlign w:val="center"/>
          </w:tcPr>
          <w:p w14:paraId="18135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6929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62" w:type="pct"/>
            <w:vMerge w:val="continue"/>
            <w:noWrap w:val="0"/>
            <w:vAlign w:val="center"/>
          </w:tcPr>
          <w:p w14:paraId="082CF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restart"/>
            <w:noWrap w:val="0"/>
            <w:vAlign w:val="center"/>
          </w:tcPr>
          <w:p w14:paraId="18250C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597" w:type="pct"/>
            <w:vMerge w:val="restart"/>
            <w:noWrap w:val="0"/>
            <w:vAlign w:val="center"/>
          </w:tcPr>
          <w:p w14:paraId="48FB07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w:t>
            </w:r>
          </w:p>
          <w:p w14:paraId="64B78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899" w:type="pct"/>
            <w:noWrap w:val="0"/>
            <w:vAlign w:val="center"/>
          </w:tcPr>
          <w:p w14:paraId="280288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“四个一百”乡村旅游项目</w:t>
            </w:r>
          </w:p>
        </w:tc>
        <w:tc>
          <w:tcPr>
            <w:tcW w:w="1644" w:type="dxa"/>
            <w:shd w:val="clear" w:color="auto" w:fill="auto"/>
            <w:noWrap w:val="0"/>
            <w:vAlign w:val="center"/>
          </w:tcPr>
          <w:p w14:paraId="59DE44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color w:val="auto"/>
                <w:sz w:val="20"/>
                <w:szCs w:val="20"/>
                <w:highlight w:val="none"/>
                <w:lang w:val="en-US" w:eastAsia="zh-CN"/>
              </w:rPr>
              <w:t>10万—40万</w:t>
            </w:r>
            <w:r>
              <w:rPr>
                <w:rFonts w:hint="eastAsia" w:ascii="Times New Roman" w:hAnsi="Times New Roman" w:eastAsia="仿宋_GB2312" w:cs="Times New Roman"/>
                <w:color w:val="auto"/>
                <w:sz w:val="20"/>
                <w:szCs w:val="20"/>
                <w:highlight w:val="none"/>
                <w:lang w:val="en-US" w:eastAsia="zh-CN"/>
              </w:rPr>
              <w:t>元，9个</w:t>
            </w:r>
          </w:p>
        </w:tc>
        <w:tc>
          <w:tcPr>
            <w:tcW w:w="786" w:type="pct"/>
            <w:shd w:val="clear" w:color="auto" w:fill="auto"/>
            <w:noWrap w:val="0"/>
            <w:vAlign w:val="center"/>
          </w:tcPr>
          <w:p w14:paraId="68254B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color w:val="auto"/>
                <w:sz w:val="20"/>
                <w:szCs w:val="20"/>
                <w:highlight w:val="none"/>
                <w:lang w:val="en-US" w:eastAsia="zh-CN"/>
              </w:rPr>
              <w:t>10万—40万</w:t>
            </w:r>
            <w:r>
              <w:rPr>
                <w:rFonts w:hint="eastAsia" w:ascii="Times New Roman" w:hAnsi="Times New Roman" w:eastAsia="仿宋_GB2312" w:cs="Times New Roman"/>
                <w:color w:val="auto"/>
                <w:sz w:val="20"/>
                <w:szCs w:val="20"/>
                <w:highlight w:val="none"/>
                <w:lang w:val="en-US" w:eastAsia="zh-CN"/>
              </w:rPr>
              <w:t>元，9个</w:t>
            </w:r>
          </w:p>
        </w:tc>
        <w:tc>
          <w:tcPr>
            <w:tcW w:w="665" w:type="pct"/>
            <w:noWrap w:val="0"/>
            <w:vAlign w:val="center"/>
          </w:tcPr>
          <w:p w14:paraId="2DC6B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D623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62" w:type="pct"/>
            <w:vMerge w:val="continue"/>
            <w:noWrap w:val="0"/>
            <w:vAlign w:val="center"/>
          </w:tcPr>
          <w:p w14:paraId="4E984F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59719A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FE223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1093A5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“旅游+”新业态</w:t>
            </w:r>
          </w:p>
          <w:p w14:paraId="7B7953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644" w:type="dxa"/>
            <w:shd w:val="clear" w:color="auto" w:fill="auto"/>
            <w:noWrap/>
            <w:vAlign w:val="center"/>
          </w:tcPr>
          <w:p w14:paraId="1F5F1F4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20万元，9个；30万元，5个；10万元，2个</w:t>
            </w:r>
          </w:p>
        </w:tc>
        <w:tc>
          <w:tcPr>
            <w:tcW w:w="786" w:type="pct"/>
            <w:shd w:val="clear" w:color="auto" w:fill="auto"/>
            <w:noWrap/>
            <w:vAlign w:val="center"/>
          </w:tcPr>
          <w:p w14:paraId="094766B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20万元，9个；30万元，5个；10万元，2个；</w:t>
            </w:r>
          </w:p>
        </w:tc>
        <w:tc>
          <w:tcPr>
            <w:tcW w:w="665" w:type="pct"/>
            <w:noWrap/>
            <w:vAlign w:val="center"/>
          </w:tcPr>
          <w:p w14:paraId="7401B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1E6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62" w:type="pct"/>
            <w:vMerge w:val="continue"/>
            <w:noWrap w:val="0"/>
            <w:vAlign w:val="center"/>
          </w:tcPr>
          <w:p w14:paraId="262054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6C5C6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1FD72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71F512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公共文化新空间新服务新业态试点项目</w:t>
            </w:r>
          </w:p>
        </w:tc>
        <w:tc>
          <w:tcPr>
            <w:tcW w:w="1644" w:type="dxa"/>
            <w:shd w:val="clear" w:color="auto" w:fill="auto"/>
            <w:noWrap/>
            <w:vAlign w:val="center"/>
          </w:tcPr>
          <w:p w14:paraId="1379C5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50万元，1个；100万元，1个；20万元，2个</w:t>
            </w:r>
          </w:p>
        </w:tc>
        <w:tc>
          <w:tcPr>
            <w:tcW w:w="786" w:type="pct"/>
            <w:shd w:val="clear" w:color="auto" w:fill="auto"/>
            <w:noWrap/>
            <w:vAlign w:val="center"/>
          </w:tcPr>
          <w:p w14:paraId="727288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50万元，1个；100万元，1个；20万元，2个</w:t>
            </w:r>
          </w:p>
        </w:tc>
        <w:tc>
          <w:tcPr>
            <w:tcW w:w="665" w:type="pct"/>
            <w:noWrap/>
            <w:vAlign w:val="center"/>
          </w:tcPr>
          <w:p w14:paraId="22C757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A732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44A6BE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634E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322645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w:t>
            </w:r>
          </w:p>
          <w:p w14:paraId="2C0BC5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899" w:type="pct"/>
            <w:shd w:val="clear" w:color="auto" w:fill="auto"/>
            <w:noWrap w:val="0"/>
            <w:vAlign w:val="center"/>
          </w:tcPr>
          <w:p w14:paraId="3F272A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1644" w:type="dxa"/>
            <w:shd w:val="clear" w:color="auto" w:fill="auto"/>
            <w:noWrap w:val="0"/>
            <w:vAlign w:val="center"/>
          </w:tcPr>
          <w:p w14:paraId="16B02F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0次</w:t>
            </w:r>
          </w:p>
        </w:tc>
        <w:tc>
          <w:tcPr>
            <w:tcW w:w="786" w:type="pct"/>
            <w:noWrap w:val="0"/>
            <w:vAlign w:val="center"/>
          </w:tcPr>
          <w:p w14:paraId="7C5922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0次</w:t>
            </w:r>
          </w:p>
        </w:tc>
        <w:tc>
          <w:tcPr>
            <w:tcW w:w="665" w:type="pct"/>
            <w:noWrap w:val="0"/>
            <w:vAlign w:val="center"/>
          </w:tcPr>
          <w:p w14:paraId="4E8E36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1F3B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57B40A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15BAFA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3A5EBA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99" w:type="pct"/>
            <w:shd w:val="clear" w:color="auto" w:fill="auto"/>
            <w:noWrap w:val="0"/>
            <w:vAlign w:val="center"/>
          </w:tcPr>
          <w:p w14:paraId="2BF2A8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生态旅游产业开发面积</w:t>
            </w:r>
          </w:p>
        </w:tc>
        <w:tc>
          <w:tcPr>
            <w:tcW w:w="857" w:type="pct"/>
            <w:shd w:val="clear" w:color="auto" w:fill="auto"/>
            <w:noWrap w:val="0"/>
            <w:vAlign w:val="center"/>
          </w:tcPr>
          <w:p w14:paraId="582AB0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786" w:type="pct"/>
            <w:shd w:val="clear" w:color="auto" w:fill="auto"/>
            <w:noWrap w:val="0"/>
            <w:vAlign w:val="center"/>
          </w:tcPr>
          <w:p w14:paraId="561A43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665" w:type="pct"/>
            <w:noWrap w:val="0"/>
            <w:vAlign w:val="center"/>
          </w:tcPr>
          <w:p w14:paraId="67C67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5861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7B8BE6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restart"/>
            <w:noWrap w:val="0"/>
            <w:vAlign w:val="center"/>
          </w:tcPr>
          <w:p w14:paraId="1B6E5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597" w:type="pct"/>
            <w:vMerge w:val="restart"/>
            <w:noWrap w:val="0"/>
            <w:vAlign w:val="center"/>
          </w:tcPr>
          <w:p w14:paraId="5E579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99" w:type="pct"/>
            <w:shd w:val="clear" w:color="auto" w:fill="auto"/>
            <w:noWrap w:val="0"/>
            <w:vAlign w:val="center"/>
          </w:tcPr>
          <w:p w14:paraId="0C1D7E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“四个一百”乡村旅游项目</w:t>
            </w:r>
          </w:p>
        </w:tc>
        <w:tc>
          <w:tcPr>
            <w:tcW w:w="1644" w:type="dxa"/>
            <w:shd w:val="clear" w:color="auto" w:fill="auto"/>
            <w:noWrap/>
            <w:vAlign w:val="center"/>
          </w:tcPr>
          <w:p w14:paraId="3ADE3E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9</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86" w:type="pct"/>
            <w:noWrap/>
            <w:vAlign w:val="center"/>
          </w:tcPr>
          <w:p w14:paraId="7E66DC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9个</w:t>
            </w:r>
          </w:p>
        </w:tc>
        <w:tc>
          <w:tcPr>
            <w:tcW w:w="665" w:type="pct"/>
            <w:noWrap/>
            <w:vAlign w:val="center"/>
          </w:tcPr>
          <w:p w14:paraId="1711A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00F8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598794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w:t>
            </w:r>
          </w:p>
        </w:tc>
        <w:tc>
          <w:tcPr>
            <w:tcW w:w="531" w:type="pct"/>
            <w:vMerge w:val="continue"/>
            <w:noWrap w:val="0"/>
            <w:vAlign w:val="center"/>
          </w:tcPr>
          <w:p w14:paraId="2FD166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24AD79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18181C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“旅游+”新业态项目</w:t>
            </w:r>
          </w:p>
        </w:tc>
        <w:tc>
          <w:tcPr>
            <w:tcW w:w="1644" w:type="dxa"/>
            <w:shd w:val="clear" w:color="auto" w:fill="auto"/>
            <w:noWrap w:val="0"/>
            <w:vAlign w:val="center"/>
          </w:tcPr>
          <w:p w14:paraId="7F3F37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15</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783E67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16个</w:t>
            </w:r>
          </w:p>
        </w:tc>
        <w:tc>
          <w:tcPr>
            <w:tcW w:w="665" w:type="pct"/>
            <w:noWrap w:val="0"/>
            <w:vAlign w:val="center"/>
          </w:tcPr>
          <w:p w14:paraId="1CA59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3032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2726AE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w:t>
            </w:r>
          </w:p>
        </w:tc>
        <w:tc>
          <w:tcPr>
            <w:tcW w:w="531" w:type="pct"/>
            <w:vMerge w:val="continue"/>
            <w:noWrap w:val="0"/>
            <w:vAlign w:val="center"/>
          </w:tcPr>
          <w:p w14:paraId="369C7A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3A7E49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1BC3A5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公共文化新空间新服务新业态试点项目</w:t>
            </w:r>
          </w:p>
        </w:tc>
        <w:tc>
          <w:tcPr>
            <w:tcW w:w="1644" w:type="dxa"/>
            <w:shd w:val="clear" w:color="auto" w:fill="auto"/>
            <w:noWrap w:val="0"/>
            <w:vAlign w:val="center"/>
          </w:tcPr>
          <w:p w14:paraId="56D62A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4</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61A85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4个</w:t>
            </w:r>
          </w:p>
        </w:tc>
        <w:tc>
          <w:tcPr>
            <w:tcW w:w="665" w:type="pct"/>
            <w:noWrap w:val="0"/>
            <w:vAlign w:val="center"/>
          </w:tcPr>
          <w:p w14:paraId="51DFA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602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4B44B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5712EA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27D4A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99" w:type="pct"/>
            <w:shd w:val="clear" w:color="auto" w:fill="auto"/>
            <w:noWrap w:val="0"/>
            <w:vAlign w:val="center"/>
          </w:tcPr>
          <w:p w14:paraId="24ED90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文化产品代表性</w:t>
            </w:r>
          </w:p>
        </w:tc>
        <w:tc>
          <w:tcPr>
            <w:tcW w:w="857" w:type="pct"/>
            <w:shd w:val="clear" w:color="auto" w:fill="auto"/>
            <w:noWrap/>
            <w:vAlign w:val="center"/>
          </w:tcPr>
          <w:p w14:paraId="2C6BE4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342FD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98%</w:t>
            </w:r>
          </w:p>
        </w:tc>
        <w:tc>
          <w:tcPr>
            <w:tcW w:w="665" w:type="pct"/>
            <w:noWrap/>
            <w:vAlign w:val="center"/>
          </w:tcPr>
          <w:p w14:paraId="483CC7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2A97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2" w:type="pct"/>
            <w:vMerge w:val="continue"/>
            <w:noWrap w:val="0"/>
            <w:vAlign w:val="center"/>
          </w:tcPr>
          <w:p w14:paraId="61653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751D7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9CAFC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2A4F95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文化旅游资源转化成功率</w:t>
            </w:r>
          </w:p>
        </w:tc>
        <w:tc>
          <w:tcPr>
            <w:tcW w:w="857" w:type="pct"/>
            <w:shd w:val="clear" w:color="auto" w:fill="auto"/>
            <w:noWrap/>
            <w:vAlign w:val="center"/>
          </w:tcPr>
          <w:p w14:paraId="7CCAEF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52291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100%</w:t>
            </w:r>
          </w:p>
        </w:tc>
        <w:tc>
          <w:tcPr>
            <w:tcW w:w="665" w:type="pct"/>
            <w:noWrap/>
            <w:vAlign w:val="center"/>
          </w:tcPr>
          <w:p w14:paraId="7C4B5F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391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2" w:type="pct"/>
            <w:vMerge w:val="continue"/>
            <w:noWrap w:val="0"/>
            <w:vAlign w:val="center"/>
          </w:tcPr>
          <w:p w14:paraId="7893FB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49672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99725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440D8E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项目审核合规率</w:t>
            </w:r>
          </w:p>
        </w:tc>
        <w:tc>
          <w:tcPr>
            <w:tcW w:w="857" w:type="pct"/>
            <w:shd w:val="clear" w:color="auto" w:fill="auto"/>
            <w:noWrap/>
            <w:vAlign w:val="center"/>
          </w:tcPr>
          <w:p w14:paraId="690E14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448B7D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100%</w:t>
            </w:r>
          </w:p>
        </w:tc>
        <w:tc>
          <w:tcPr>
            <w:tcW w:w="665" w:type="pct"/>
            <w:noWrap/>
            <w:vAlign w:val="center"/>
          </w:tcPr>
          <w:p w14:paraId="532004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712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62" w:type="pct"/>
            <w:vMerge w:val="continue"/>
            <w:noWrap w:val="0"/>
            <w:vAlign w:val="center"/>
          </w:tcPr>
          <w:p w14:paraId="0B7379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C3DC9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306EE8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2C84B50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资金发放合规率</w:t>
            </w:r>
          </w:p>
        </w:tc>
        <w:tc>
          <w:tcPr>
            <w:tcW w:w="857" w:type="pct"/>
            <w:shd w:val="clear" w:color="auto" w:fill="auto"/>
            <w:noWrap/>
            <w:vAlign w:val="center"/>
          </w:tcPr>
          <w:p w14:paraId="4801D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1AE760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100%</w:t>
            </w:r>
          </w:p>
        </w:tc>
        <w:tc>
          <w:tcPr>
            <w:tcW w:w="665" w:type="pct"/>
            <w:noWrap/>
            <w:vAlign w:val="center"/>
          </w:tcPr>
          <w:p w14:paraId="0BAFC8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350F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62" w:type="pct"/>
            <w:vMerge w:val="continue"/>
            <w:noWrap w:val="0"/>
            <w:vAlign w:val="center"/>
          </w:tcPr>
          <w:p w14:paraId="78C051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FB136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01E01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39798A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857" w:type="pct"/>
            <w:shd w:val="clear" w:color="auto" w:fill="auto"/>
            <w:noWrap/>
            <w:vAlign w:val="center"/>
          </w:tcPr>
          <w:p w14:paraId="02E0AB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65CD64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100%</w:t>
            </w:r>
          </w:p>
        </w:tc>
        <w:tc>
          <w:tcPr>
            <w:tcW w:w="665" w:type="pct"/>
            <w:noWrap/>
            <w:vAlign w:val="center"/>
          </w:tcPr>
          <w:p w14:paraId="0ABE08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0B8D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62" w:type="pct"/>
            <w:vMerge w:val="continue"/>
            <w:noWrap w:val="0"/>
            <w:vAlign w:val="center"/>
          </w:tcPr>
          <w:p w14:paraId="68D4E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2844D1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126E51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时效指标</w:t>
            </w:r>
          </w:p>
        </w:tc>
        <w:tc>
          <w:tcPr>
            <w:tcW w:w="899" w:type="pct"/>
            <w:shd w:val="clear" w:color="auto" w:fill="auto"/>
            <w:noWrap w:val="0"/>
            <w:vAlign w:val="center"/>
          </w:tcPr>
          <w:p w14:paraId="2F11D77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857" w:type="pct"/>
            <w:shd w:val="clear" w:color="auto" w:fill="auto"/>
            <w:noWrap w:val="0"/>
            <w:vAlign w:val="center"/>
          </w:tcPr>
          <w:p w14:paraId="0C0478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1510" w:type="dxa"/>
            <w:shd w:val="clear" w:color="auto" w:fill="auto"/>
            <w:noWrap w:val="0"/>
            <w:vAlign w:val="center"/>
          </w:tcPr>
          <w:p w14:paraId="36879C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w:t>
            </w:r>
            <w:r>
              <w:rPr>
                <w:rFonts w:hint="eastAsia" w:cs="Times New Roman"/>
                <w:i w:val="0"/>
                <w:iCs w:val="0"/>
                <w:color w:val="auto"/>
                <w:kern w:val="0"/>
                <w:sz w:val="21"/>
                <w:szCs w:val="21"/>
                <w:highlight w:val="none"/>
                <w:u w:val="none"/>
                <w:lang w:val="en-US" w:eastAsia="zh-CN" w:bidi="ar"/>
              </w:rPr>
              <w:t>8月29日前全部拨付</w:t>
            </w:r>
          </w:p>
        </w:tc>
        <w:tc>
          <w:tcPr>
            <w:tcW w:w="665" w:type="pct"/>
            <w:noWrap w:val="0"/>
            <w:vAlign w:val="center"/>
          </w:tcPr>
          <w:p w14:paraId="43FC0D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5027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7B332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A819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9200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6D12EC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857" w:type="pct"/>
            <w:shd w:val="clear" w:color="auto" w:fill="auto"/>
            <w:noWrap w:val="0"/>
            <w:vAlign w:val="center"/>
          </w:tcPr>
          <w:p w14:paraId="65B3E38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2BB8F3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65" w:type="pct"/>
            <w:noWrap w:val="0"/>
            <w:vAlign w:val="center"/>
          </w:tcPr>
          <w:p w14:paraId="31C664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86F4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5E60A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restart"/>
            <w:noWrap/>
            <w:vAlign w:val="center"/>
          </w:tcPr>
          <w:p w14:paraId="58EB4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597" w:type="pct"/>
            <w:vMerge w:val="restart"/>
            <w:shd w:val="clear" w:color="auto" w:fill="auto"/>
            <w:noWrap w:val="0"/>
            <w:vAlign w:val="center"/>
          </w:tcPr>
          <w:p w14:paraId="701858E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经济效益指标</w:t>
            </w:r>
          </w:p>
        </w:tc>
        <w:tc>
          <w:tcPr>
            <w:tcW w:w="899" w:type="pct"/>
            <w:shd w:val="clear" w:color="auto" w:fill="auto"/>
            <w:noWrap w:val="0"/>
            <w:vAlign w:val="center"/>
          </w:tcPr>
          <w:p w14:paraId="67D872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游客总花费增长率</w:t>
            </w:r>
          </w:p>
        </w:tc>
        <w:tc>
          <w:tcPr>
            <w:tcW w:w="857" w:type="pct"/>
            <w:shd w:val="clear" w:color="auto" w:fill="auto"/>
            <w:noWrap w:val="0"/>
            <w:vAlign w:val="center"/>
          </w:tcPr>
          <w:p w14:paraId="4D145E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1510" w:type="dxa"/>
            <w:shd w:val="clear" w:color="auto" w:fill="auto"/>
            <w:noWrap w:val="0"/>
            <w:vAlign w:val="center"/>
          </w:tcPr>
          <w:p w14:paraId="3D3291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665" w:type="pct"/>
            <w:shd w:val="clear" w:color="auto" w:fill="auto"/>
            <w:noWrap w:val="0"/>
            <w:vAlign w:val="center"/>
          </w:tcPr>
          <w:p w14:paraId="08FF86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51E3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36B1D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3DAD6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B266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40286A8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规上文化和相关产业企业营收</w:t>
            </w:r>
          </w:p>
        </w:tc>
        <w:tc>
          <w:tcPr>
            <w:tcW w:w="857" w:type="pct"/>
            <w:shd w:val="clear" w:color="auto" w:fill="auto"/>
            <w:noWrap w:val="0"/>
            <w:vAlign w:val="center"/>
          </w:tcPr>
          <w:p w14:paraId="2A3578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w:t>
            </w:r>
            <w:r>
              <w:rPr>
                <w:rFonts w:hint="eastAsia" w:ascii="Times New Roman" w:hAnsi="Times New Roman" w:eastAsia="仿宋_GB2312" w:cs="Times New Roman"/>
                <w:i w:val="0"/>
                <w:iCs w:val="0"/>
                <w:color w:val="auto"/>
                <w:kern w:val="0"/>
                <w:sz w:val="21"/>
                <w:szCs w:val="21"/>
                <w:highlight w:val="none"/>
                <w:u w:val="none"/>
                <w:lang w:val="en-US" w:eastAsia="zh-CN" w:bidi="ar"/>
              </w:rPr>
              <w:t>0</w:t>
            </w:r>
          </w:p>
        </w:tc>
        <w:tc>
          <w:tcPr>
            <w:tcW w:w="1510" w:type="dxa"/>
            <w:shd w:val="clear" w:color="auto" w:fill="auto"/>
            <w:noWrap w:val="0"/>
            <w:vAlign w:val="center"/>
          </w:tcPr>
          <w:p w14:paraId="2EC5EB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CN"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665" w:type="pct"/>
            <w:shd w:val="clear" w:color="auto" w:fill="auto"/>
            <w:noWrap w:val="0"/>
            <w:vAlign w:val="center"/>
          </w:tcPr>
          <w:p w14:paraId="07A08D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03A0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62" w:type="pct"/>
            <w:vMerge w:val="continue"/>
            <w:noWrap w:val="0"/>
            <w:vAlign w:val="center"/>
          </w:tcPr>
          <w:p w14:paraId="0DDF0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755183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2D0D83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390A21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促进接待游客人数增长率</w:t>
            </w:r>
          </w:p>
        </w:tc>
        <w:tc>
          <w:tcPr>
            <w:tcW w:w="857" w:type="pct"/>
            <w:shd w:val="clear" w:color="auto" w:fill="auto"/>
            <w:noWrap w:val="0"/>
            <w:vAlign w:val="center"/>
          </w:tcPr>
          <w:p w14:paraId="10248E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1510" w:type="dxa"/>
            <w:shd w:val="clear" w:color="auto" w:fill="auto"/>
            <w:noWrap w:val="0"/>
            <w:vAlign w:val="center"/>
          </w:tcPr>
          <w:p w14:paraId="4134F88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65" w:type="pct"/>
            <w:shd w:val="clear" w:color="auto" w:fill="auto"/>
            <w:noWrap w:val="0"/>
            <w:vAlign w:val="center"/>
          </w:tcPr>
          <w:p w14:paraId="5E332E9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14E85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4" w:hRule="atLeast"/>
          <w:jc w:val="center"/>
        </w:trPr>
        <w:tc>
          <w:tcPr>
            <w:tcW w:w="662" w:type="pct"/>
            <w:vMerge w:val="continue"/>
            <w:noWrap w:val="0"/>
            <w:vAlign w:val="center"/>
          </w:tcPr>
          <w:p w14:paraId="1644C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61F4DD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shd w:val="clear" w:color="auto" w:fill="auto"/>
            <w:noWrap w:val="0"/>
            <w:vAlign w:val="center"/>
          </w:tcPr>
          <w:p w14:paraId="198C55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社会效益指标</w:t>
            </w:r>
          </w:p>
        </w:tc>
        <w:tc>
          <w:tcPr>
            <w:tcW w:w="899" w:type="pct"/>
            <w:shd w:val="clear" w:color="auto" w:fill="auto"/>
            <w:noWrap w:val="0"/>
            <w:vAlign w:val="center"/>
          </w:tcPr>
          <w:p w14:paraId="33ECA9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乡村旅游接待人数增长率</w:t>
            </w:r>
          </w:p>
        </w:tc>
        <w:tc>
          <w:tcPr>
            <w:tcW w:w="857" w:type="pct"/>
            <w:shd w:val="clear" w:color="auto" w:fill="auto"/>
            <w:noWrap w:val="0"/>
            <w:vAlign w:val="center"/>
          </w:tcPr>
          <w:p w14:paraId="2DD559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eastAsia"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27AAB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14.6%</w:t>
            </w:r>
          </w:p>
        </w:tc>
        <w:tc>
          <w:tcPr>
            <w:tcW w:w="665" w:type="pct"/>
            <w:noWrap w:val="0"/>
            <w:vAlign w:val="center"/>
          </w:tcPr>
          <w:p w14:paraId="5ED850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EBE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30707A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3C2F6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35012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6451EC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857" w:type="pct"/>
            <w:shd w:val="clear" w:color="auto" w:fill="auto"/>
            <w:noWrap/>
            <w:vAlign w:val="center"/>
          </w:tcPr>
          <w:p w14:paraId="511306C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eastAsia" w:ascii="Times New Roman" w:hAnsi="Times New Roman" w:cs="Times New Roman"/>
                <w:i w:val="0"/>
                <w:iCs w:val="0"/>
                <w:color w:val="auto"/>
                <w:kern w:val="0"/>
                <w:sz w:val="21"/>
                <w:szCs w:val="21"/>
                <w:highlight w:val="none"/>
                <w:u w:val="none"/>
                <w:lang w:val="en-US" w:eastAsia="zh-CN" w:bidi="ar"/>
              </w:rPr>
              <w:t>万人次</w:t>
            </w:r>
          </w:p>
        </w:tc>
        <w:tc>
          <w:tcPr>
            <w:tcW w:w="786" w:type="pct"/>
            <w:shd w:val="clear" w:color="auto" w:fill="auto"/>
            <w:noWrap/>
            <w:vAlign w:val="center"/>
          </w:tcPr>
          <w:p w14:paraId="0F0BFE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2380万人次</w:t>
            </w:r>
          </w:p>
        </w:tc>
        <w:tc>
          <w:tcPr>
            <w:tcW w:w="665" w:type="pct"/>
            <w:noWrap/>
            <w:vAlign w:val="center"/>
          </w:tcPr>
          <w:p w14:paraId="4DB416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3A2C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41D758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685456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66595F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08DAA8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培育全国乡村旅游重点村镇</w:t>
            </w:r>
          </w:p>
        </w:tc>
        <w:tc>
          <w:tcPr>
            <w:tcW w:w="857" w:type="pct"/>
            <w:shd w:val="clear" w:color="auto" w:fill="auto"/>
            <w:noWrap w:val="0"/>
            <w:vAlign w:val="center"/>
          </w:tcPr>
          <w:p w14:paraId="266C2E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≥80</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86" w:type="pct"/>
            <w:shd w:val="clear" w:color="auto" w:fill="auto"/>
            <w:noWrap w:val="0"/>
            <w:vAlign w:val="center"/>
          </w:tcPr>
          <w:p w14:paraId="1A5358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87个</w:t>
            </w:r>
          </w:p>
        </w:tc>
        <w:tc>
          <w:tcPr>
            <w:tcW w:w="665" w:type="pct"/>
            <w:noWrap w:val="0"/>
            <w:vAlign w:val="center"/>
          </w:tcPr>
          <w:p w14:paraId="1091D9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F30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6315D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1576B6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6A9D1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生态效益指标</w:t>
            </w:r>
          </w:p>
        </w:tc>
        <w:tc>
          <w:tcPr>
            <w:tcW w:w="899" w:type="pct"/>
            <w:shd w:val="clear" w:color="auto" w:fill="auto"/>
            <w:noWrap w:val="0"/>
            <w:vAlign w:val="center"/>
          </w:tcPr>
          <w:p w14:paraId="1108039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857" w:type="pct"/>
            <w:noWrap w:val="0"/>
            <w:vAlign w:val="center"/>
          </w:tcPr>
          <w:p w14:paraId="02DEC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86" w:type="pct"/>
            <w:shd w:val="clear" w:color="auto" w:fill="auto"/>
            <w:noWrap w:val="0"/>
            <w:vAlign w:val="center"/>
          </w:tcPr>
          <w:p w14:paraId="0EACF0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65" w:type="pct"/>
            <w:noWrap w:val="0"/>
            <w:vAlign w:val="center"/>
          </w:tcPr>
          <w:p w14:paraId="481305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F19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232ECA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61EEDB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0B7B1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可持续影响指标</w:t>
            </w:r>
          </w:p>
        </w:tc>
        <w:tc>
          <w:tcPr>
            <w:tcW w:w="899" w:type="pct"/>
            <w:shd w:val="clear" w:color="auto" w:fill="auto"/>
            <w:noWrap w:val="0"/>
            <w:vAlign w:val="center"/>
          </w:tcPr>
          <w:p w14:paraId="19F0BC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艺术创作水平</w:t>
            </w:r>
          </w:p>
        </w:tc>
        <w:tc>
          <w:tcPr>
            <w:tcW w:w="857" w:type="pct"/>
            <w:shd w:val="clear" w:color="auto" w:fill="auto"/>
            <w:noWrap w:val="0"/>
            <w:vAlign w:val="center"/>
          </w:tcPr>
          <w:p w14:paraId="475FA7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6" w:type="pct"/>
            <w:shd w:val="clear" w:color="auto" w:fill="auto"/>
            <w:noWrap w:val="0"/>
            <w:vAlign w:val="center"/>
          </w:tcPr>
          <w:p w14:paraId="2ED6D2D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65" w:type="pct"/>
            <w:noWrap w:val="0"/>
            <w:vAlign w:val="center"/>
          </w:tcPr>
          <w:p w14:paraId="30CCBB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947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20BB3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24430E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98572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1673846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文旅融合发展</w:t>
            </w:r>
          </w:p>
        </w:tc>
        <w:tc>
          <w:tcPr>
            <w:tcW w:w="857" w:type="pct"/>
            <w:shd w:val="clear" w:color="auto" w:fill="auto"/>
            <w:noWrap w:val="0"/>
            <w:vAlign w:val="center"/>
          </w:tcPr>
          <w:p w14:paraId="63469A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6" w:type="pct"/>
            <w:shd w:val="clear" w:color="auto" w:fill="auto"/>
            <w:noWrap w:val="0"/>
            <w:vAlign w:val="center"/>
          </w:tcPr>
          <w:p w14:paraId="79D57F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65" w:type="pct"/>
            <w:noWrap w:val="0"/>
            <w:vAlign w:val="center"/>
          </w:tcPr>
          <w:p w14:paraId="612F2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221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62" w:type="pct"/>
            <w:vMerge w:val="continue"/>
            <w:noWrap w:val="0"/>
            <w:vAlign w:val="center"/>
          </w:tcPr>
          <w:p w14:paraId="3481D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restart"/>
            <w:noWrap/>
            <w:vAlign w:val="center"/>
          </w:tcPr>
          <w:p w14:paraId="2C670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w:t>
            </w:r>
          </w:p>
          <w:p w14:paraId="2FEC86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597" w:type="pct"/>
            <w:vMerge w:val="restart"/>
            <w:noWrap w:val="0"/>
            <w:vAlign w:val="center"/>
          </w:tcPr>
          <w:p w14:paraId="567459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99" w:type="pct"/>
            <w:noWrap w:val="0"/>
            <w:vAlign w:val="center"/>
          </w:tcPr>
          <w:p w14:paraId="4F58E9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857" w:type="pct"/>
            <w:noWrap w:val="0"/>
            <w:vAlign w:val="center"/>
          </w:tcPr>
          <w:p w14:paraId="7CB1FE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1510" w:type="dxa"/>
            <w:noWrap w:val="0"/>
            <w:vAlign w:val="center"/>
          </w:tcPr>
          <w:p w14:paraId="00295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90.34%</w:t>
            </w:r>
          </w:p>
        </w:tc>
        <w:tc>
          <w:tcPr>
            <w:tcW w:w="665" w:type="pct"/>
            <w:noWrap w:val="0"/>
            <w:vAlign w:val="center"/>
          </w:tcPr>
          <w:p w14:paraId="14BE9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3B6F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0E09A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31937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767E1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204007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57" w:type="pct"/>
            <w:noWrap w:val="0"/>
            <w:vAlign w:val="center"/>
          </w:tcPr>
          <w:p w14:paraId="2A86C3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cs="Times New Roman"/>
                <w:i w:val="0"/>
                <w:iCs w:val="0"/>
                <w:color w:val="auto"/>
                <w:kern w:val="0"/>
                <w:sz w:val="21"/>
                <w:szCs w:val="21"/>
                <w:highlight w:val="none"/>
                <w:u w:val="none"/>
                <w:lang w:val="en-US" w:eastAsia="zh-CN" w:bidi="ar"/>
              </w:rPr>
              <w:t>%</w:t>
            </w:r>
          </w:p>
        </w:tc>
        <w:tc>
          <w:tcPr>
            <w:tcW w:w="1510" w:type="dxa"/>
            <w:noWrap w:val="0"/>
            <w:vAlign w:val="center"/>
          </w:tcPr>
          <w:p w14:paraId="66195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95.6%</w:t>
            </w:r>
          </w:p>
        </w:tc>
        <w:tc>
          <w:tcPr>
            <w:tcW w:w="665" w:type="pct"/>
            <w:noWrap w:val="0"/>
            <w:vAlign w:val="center"/>
          </w:tcPr>
          <w:p w14:paraId="55B63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9EA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37F090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26BA8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7E4E55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4213C2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艺术创作者满意度</w:t>
            </w:r>
          </w:p>
        </w:tc>
        <w:tc>
          <w:tcPr>
            <w:tcW w:w="857" w:type="pct"/>
            <w:noWrap w:val="0"/>
            <w:vAlign w:val="center"/>
          </w:tcPr>
          <w:p w14:paraId="1BA15D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1510" w:type="dxa"/>
            <w:noWrap w:val="0"/>
            <w:vAlign w:val="center"/>
          </w:tcPr>
          <w:p w14:paraId="24EC6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92.8%</w:t>
            </w:r>
          </w:p>
        </w:tc>
        <w:tc>
          <w:tcPr>
            <w:tcW w:w="665" w:type="pct"/>
            <w:noWrap w:val="0"/>
            <w:vAlign w:val="center"/>
          </w:tcPr>
          <w:p w14:paraId="72D106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bl>
    <w:p w14:paraId="5FF7B2E5">
      <w:pPr>
        <w:rPr>
          <w:rFonts w:hint="default" w:ascii="Times New Roman" w:hAnsi="Times New Roman" w:cs="Times New Roman"/>
          <w:color w:val="auto"/>
        </w:rPr>
        <w:sectPr>
          <w:pgSz w:w="11906" w:h="16838"/>
          <w:pgMar w:top="1417" w:right="1587" w:bottom="1417" w:left="1587" w:header="851" w:footer="737" w:gutter="0"/>
          <w:pgNumType w:fmt="decimal" w:start="1"/>
          <w:cols w:space="720" w:num="1"/>
          <w:docGrid w:type="lines" w:linePitch="312" w:charSpace="0"/>
        </w:sectPr>
      </w:pPr>
    </w:p>
    <w:p w14:paraId="4E2AF3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6" w:name="_Toc15898"/>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186"/>
    </w:p>
    <w:p w14:paraId="02B429B0">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3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9"/>
        <w:gridCol w:w="798"/>
        <w:gridCol w:w="974"/>
        <w:gridCol w:w="1865"/>
        <w:gridCol w:w="2006"/>
        <w:gridCol w:w="2072"/>
        <w:gridCol w:w="1239"/>
      </w:tblGrid>
      <w:tr w14:paraId="2809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01" w:type="pct"/>
            <w:noWrap/>
            <w:vAlign w:val="center"/>
          </w:tcPr>
          <w:p w14:paraId="312253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889" w:type="pct"/>
            <w:gridSpan w:val="2"/>
            <w:noWrap w:val="0"/>
            <w:vAlign w:val="center"/>
          </w:tcPr>
          <w:p w14:paraId="60C652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文化遗产保护利用项目</w:t>
            </w:r>
          </w:p>
        </w:tc>
        <w:tc>
          <w:tcPr>
            <w:tcW w:w="937" w:type="pct"/>
            <w:noWrap/>
            <w:vAlign w:val="center"/>
          </w:tcPr>
          <w:p w14:paraId="34779D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670" w:type="pct"/>
            <w:gridSpan w:val="3"/>
            <w:noWrap w:val="0"/>
            <w:vAlign w:val="center"/>
          </w:tcPr>
          <w:p w14:paraId="764797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2E021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noWrap/>
            <w:vAlign w:val="center"/>
          </w:tcPr>
          <w:p w14:paraId="2F7553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498" w:type="pct"/>
            <w:gridSpan w:val="6"/>
            <w:noWrap/>
            <w:vAlign w:val="center"/>
          </w:tcPr>
          <w:p w14:paraId="19116C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1B60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1" w:type="pct"/>
            <w:vMerge w:val="restart"/>
            <w:noWrap/>
            <w:vAlign w:val="center"/>
          </w:tcPr>
          <w:p w14:paraId="2C5D6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资金拨付情况</w:t>
            </w:r>
          </w:p>
        </w:tc>
        <w:tc>
          <w:tcPr>
            <w:tcW w:w="889" w:type="pct"/>
            <w:gridSpan w:val="2"/>
            <w:noWrap/>
            <w:vAlign w:val="center"/>
          </w:tcPr>
          <w:p w14:paraId="48AC0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预算数</w:t>
            </w:r>
          </w:p>
        </w:tc>
        <w:tc>
          <w:tcPr>
            <w:tcW w:w="937" w:type="pct"/>
            <w:noWrap/>
            <w:vAlign w:val="center"/>
          </w:tcPr>
          <w:p w14:paraId="51F4AB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完成数</w:t>
            </w:r>
          </w:p>
        </w:tc>
        <w:tc>
          <w:tcPr>
            <w:tcW w:w="2670" w:type="pct"/>
            <w:gridSpan w:val="3"/>
            <w:noWrap w:val="0"/>
            <w:vAlign w:val="center"/>
          </w:tcPr>
          <w:p w14:paraId="385782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执行率</w:t>
            </w:r>
          </w:p>
        </w:tc>
      </w:tr>
      <w:tr w14:paraId="40565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1" w:type="pct"/>
            <w:vMerge w:val="continue"/>
            <w:noWrap/>
            <w:vAlign w:val="center"/>
          </w:tcPr>
          <w:p w14:paraId="57E73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89" w:type="pct"/>
            <w:gridSpan w:val="2"/>
            <w:noWrap/>
            <w:vAlign w:val="center"/>
          </w:tcPr>
          <w:p w14:paraId="0F6764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6920</w:t>
            </w:r>
          </w:p>
        </w:tc>
        <w:tc>
          <w:tcPr>
            <w:tcW w:w="937" w:type="pct"/>
            <w:noWrap/>
            <w:vAlign w:val="center"/>
          </w:tcPr>
          <w:p w14:paraId="68DD49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6920</w:t>
            </w:r>
          </w:p>
        </w:tc>
        <w:tc>
          <w:tcPr>
            <w:tcW w:w="2670" w:type="pct"/>
            <w:gridSpan w:val="3"/>
            <w:noWrap w:val="0"/>
            <w:vAlign w:val="center"/>
          </w:tcPr>
          <w:p w14:paraId="2DD7D6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w:t>
            </w:r>
          </w:p>
        </w:tc>
      </w:tr>
      <w:tr w14:paraId="6A7B1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501" w:type="pct"/>
            <w:noWrap w:val="0"/>
            <w:vAlign w:val="center"/>
          </w:tcPr>
          <w:p w14:paraId="01D1E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498" w:type="pct"/>
            <w:gridSpan w:val="6"/>
            <w:shd w:val="clear" w:color="auto" w:fill="auto"/>
            <w:noWrap w:val="0"/>
            <w:vAlign w:val="center"/>
          </w:tcPr>
          <w:p w14:paraId="6F875C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年实施文物保护利用“六大工程”实施方案，安排文物保护利用、红色文旅文物类项目、文物主题艺术精品创作项目54项；深入发掘文物价值内涵和文化元素，支持文博单位提升旅游服务能力，推出一批结合湖湘历史文化的文化遗产旅游精品展陈、创意设计研发、音视频制作等“让文物活起来”项目；</w:t>
            </w:r>
            <w:r>
              <w:rPr>
                <w:rFonts w:hint="default" w:ascii="Times New Roman" w:hAnsi="Times New Roman" w:eastAsia="仿宋_GB2312" w:cs="Times New Roman"/>
                <w:i w:val="0"/>
                <w:iCs w:val="0"/>
                <w:color w:val="auto"/>
                <w:kern w:val="0"/>
                <w:sz w:val="21"/>
                <w:szCs w:val="21"/>
                <w:u w:val="none"/>
                <w:lang w:val="en-US" w:eastAsia="zh-CN" w:bidi="ar"/>
              </w:rPr>
              <w:t>支持省级非物质文化遗产代表性传承项目70个以上，补助省级非遗传承人5</w:t>
            </w:r>
            <w:r>
              <w:rPr>
                <w:rFonts w:hint="eastAsia" w:ascii="Times New Roman" w:hAnsi="Times New Roman" w:eastAsia="仿宋_GB2312" w:cs="Times New Roman"/>
                <w:i w:val="0"/>
                <w:iCs w:val="0"/>
                <w:color w:val="auto"/>
                <w:kern w:val="0"/>
                <w:sz w:val="21"/>
                <w:szCs w:val="21"/>
                <w:u w:val="none"/>
                <w:lang w:val="en-US" w:eastAsia="zh-CN" w:bidi="ar"/>
              </w:rPr>
              <w:t>68</w:t>
            </w:r>
            <w:r>
              <w:rPr>
                <w:rFonts w:hint="default" w:ascii="Times New Roman" w:hAnsi="Times New Roman" w:eastAsia="仿宋_GB2312" w:cs="Times New Roman"/>
                <w:i w:val="0"/>
                <w:iCs w:val="0"/>
                <w:color w:val="auto"/>
                <w:kern w:val="0"/>
                <w:sz w:val="21"/>
                <w:szCs w:val="21"/>
                <w:u w:val="none"/>
                <w:lang w:val="en-US" w:eastAsia="zh-CN" w:bidi="ar"/>
              </w:rPr>
              <w:t>人。</w:t>
            </w:r>
          </w:p>
        </w:tc>
      </w:tr>
      <w:tr w14:paraId="7FC3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501" w:type="pct"/>
            <w:noWrap/>
            <w:vAlign w:val="center"/>
          </w:tcPr>
          <w:p w14:paraId="611C0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r>
              <w:rPr>
                <w:rFonts w:hint="default" w:ascii="Times New Roman" w:hAnsi="Times New Roman" w:cs="Times New Roman"/>
                <w:i w:val="0"/>
                <w:iCs w:val="0"/>
                <w:color w:val="auto"/>
                <w:kern w:val="0"/>
                <w:sz w:val="21"/>
                <w:szCs w:val="21"/>
                <w:highlight w:val="none"/>
                <w:u w:val="none"/>
                <w:lang w:val="en-US" w:eastAsia="zh-CN" w:bidi="ar"/>
              </w:rPr>
              <w:t>完成情况</w:t>
            </w:r>
          </w:p>
        </w:tc>
        <w:tc>
          <w:tcPr>
            <w:tcW w:w="4498" w:type="pct"/>
            <w:gridSpan w:val="6"/>
            <w:noWrap w:val="0"/>
            <w:vAlign w:val="center"/>
          </w:tcPr>
          <w:p w14:paraId="7E8CB7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全面实施文物保护利用“六大工程”，统筹推进文物保护利用、红色文旅文物类项目及文物主题艺术精品创作，全年共安排实施相关项目</w:t>
            </w:r>
            <w:r>
              <w:rPr>
                <w:rFonts w:hint="default" w:cs="Times New Roman"/>
                <w:i w:val="0"/>
                <w:iCs w:val="0"/>
                <w:color w:val="auto"/>
                <w:kern w:val="0"/>
                <w:sz w:val="21"/>
                <w:szCs w:val="21"/>
                <w:highlight w:val="none"/>
                <w:u w:val="none"/>
                <w:lang w:val="en-US" w:eastAsia="zh-CN" w:bidi="ar"/>
              </w:rPr>
              <w:t>72</w:t>
            </w:r>
            <w:r>
              <w:rPr>
                <w:rFonts w:hint="default" w:ascii="Times New Roman" w:hAnsi="Times New Roman" w:eastAsia="仿宋_GB2312" w:cs="Times New Roman"/>
                <w:i w:val="0"/>
                <w:iCs w:val="0"/>
                <w:color w:val="auto"/>
                <w:kern w:val="0"/>
                <w:sz w:val="21"/>
                <w:szCs w:val="21"/>
                <w:highlight w:val="none"/>
                <w:u w:val="none"/>
                <w:lang w:val="en-US" w:eastAsia="zh-CN" w:bidi="ar"/>
              </w:rPr>
              <w:t>项，超额完成年度目标任务。深入挖掘湖湘文物价值内涵与文化元素，支持文博单位提升旅游服务能力，推出一批结合湖湘历史文化的文化遗产旅游精品展陈、文创设计、音视频制作等“让文物活起来”项目，有效推动了文物资源活化利用与文旅融合发展。同时，省级非物质文化遗产代表性传承项目支持工作有序开展，全年支持省级非遗代表性传承项目</w:t>
            </w:r>
            <w:r>
              <w:rPr>
                <w:rFonts w:hint="default" w:cs="Times New Roman"/>
                <w:i w:val="0"/>
                <w:iCs w:val="0"/>
                <w:color w:val="auto"/>
                <w:kern w:val="0"/>
                <w:sz w:val="21"/>
                <w:szCs w:val="21"/>
                <w:highlight w:val="none"/>
                <w:u w:val="none"/>
                <w:lang w:val="en-US" w:eastAsia="zh-CN" w:bidi="ar"/>
              </w:rPr>
              <w:t>62</w:t>
            </w:r>
            <w:r>
              <w:rPr>
                <w:rFonts w:hint="default" w:ascii="Times New Roman" w:hAnsi="Times New Roman" w:eastAsia="仿宋_GB2312" w:cs="Times New Roman"/>
                <w:i w:val="0"/>
                <w:iCs w:val="0"/>
                <w:color w:val="auto"/>
                <w:kern w:val="0"/>
                <w:sz w:val="21"/>
                <w:szCs w:val="21"/>
                <w:highlight w:val="none"/>
                <w:u w:val="none"/>
                <w:lang w:val="en-US" w:eastAsia="zh-CN" w:bidi="ar"/>
              </w:rPr>
              <w:t>个，为568名省级非遗传承人发放补助资金，非遗保护传承体系持续完善，年度各项绩效目标任务均已按期高质量完成。</w:t>
            </w:r>
          </w:p>
        </w:tc>
      </w:tr>
      <w:tr w14:paraId="5C825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01" w:type="pct"/>
            <w:vMerge w:val="restart"/>
            <w:noWrap w:val="0"/>
            <w:vAlign w:val="center"/>
          </w:tcPr>
          <w:p w14:paraId="455CB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00" w:type="pct"/>
            <w:noWrap/>
            <w:vAlign w:val="center"/>
          </w:tcPr>
          <w:p w14:paraId="52B65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488" w:type="pct"/>
            <w:noWrap/>
            <w:vAlign w:val="center"/>
          </w:tcPr>
          <w:p w14:paraId="2DCD6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937" w:type="pct"/>
            <w:noWrap/>
            <w:vAlign w:val="center"/>
          </w:tcPr>
          <w:p w14:paraId="7C6F05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1007" w:type="pct"/>
            <w:noWrap/>
            <w:vAlign w:val="center"/>
          </w:tcPr>
          <w:p w14:paraId="6B237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1040" w:type="pct"/>
            <w:noWrap/>
            <w:vAlign w:val="center"/>
          </w:tcPr>
          <w:p w14:paraId="4E2F4F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22" w:type="pct"/>
            <w:noWrap/>
            <w:vAlign w:val="center"/>
          </w:tcPr>
          <w:p w14:paraId="475E47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42859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501" w:type="pct"/>
            <w:vMerge w:val="continue"/>
            <w:noWrap w:val="0"/>
            <w:vAlign w:val="center"/>
          </w:tcPr>
          <w:p w14:paraId="02C844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0"/>
            <w:vAlign w:val="center"/>
          </w:tcPr>
          <w:p w14:paraId="212668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488" w:type="pct"/>
            <w:vMerge w:val="restart"/>
            <w:noWrap w:val="0"/>
            <w:vAlign w:val="center"/>
          </w:tcPr>
          <w:p w14:paraId="036C40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937" w:type="pct"/>
            <w:shd w:val="clear" w:color="auto" w:fill="auto"/>
            <w:noWrap w:val="0"/>
            <w:vAlign w:val="center"/>
          </w:tcPr>
          <w:p w14:paraId="113D15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w:t>
            </w:r>
          </w:p>
          <w:p w14:paraId="788779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007" w:type="pct"/>
            <w:shd w:val="clear" w:color="auto" w:fill="auto"/>
            <w:noWrap w:val="0"/>
            <w:vAlign w:val="center"/>
          </w:tcPr>
          <w:p w14:paraId="75BD4A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40万元以下（不含），12个；40万元-80万元，17个；100万元-150万元（不含），5个；150万元-200万元，5个</w:t>
            </w:r>
          </w:p>
        </w:tc>
        <w:tc>
          <w:tcPr>
            <w:tcW w:w="1040" w:type="pct"/>
            <w:shd w:val="clear" w:color="auto" w:fill="auto"/>
            <w:noWrap w:val="0"/>
            <w:vAlign w:val="center"/>
          </w:tcPr>
          <w:p w14:paraId="32849E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40万元以下（不含），12个；</w:t>
            </w:r>
            <w:r>
              <w:rPr>
                <w:rFonts w:hint="eastAsia" w:ascii="Times New Roman" w:hAnsi="Times New Roman" w:eastAsia="仿宋_GB2312" w:cs="Times New Roman"/>
                <w:i w:val="0"/>
                <w:iCs w:val="0"/>
                <w:color w:val="auto"/>
                <w:kern w:val="0"/>
                <w:sz w:val="21"/>
                <w:szCs w:val="21"/>
                <w:highlight w:val="none"/>
                <w:u w:val="none"/>
                <w:lang w:val="en-US" w:eastAsia="zh-CN" w:bidi="ar"/>
              </w:rPr>
              <w:t>40万元-</w:t>
            </w:r>
            <w:r>
              <w:rPr>
                <w:rFonts w:hint="eastAsia" w:cs="Times New Roman"/>
                <w:i w:val="0"/>
                <w:iCs w:val="0"/>
                <w:color w:val="auto"/>
                <w:kern w:val="0"/>
                <w:sz w:val="21"/>
                <w:szCs w:val="21"/>
                <w:highlight w:val="none"/>
                <w:u w:val="none"/>
                <w:lang w:val="en-US" w:eastAsia="zh-CN" w:bidi="ar"/>
              </w:rPr>
              <w:t>80</w:t>
            </w:r>
            <w:r>
              <w:rPr>
                <w:rFonts w:hint="eastAsia" w:ascii="Times New Roman" w:hAnsi="Times New Roman" w:eastAsia="仿宋_GB2312" w:cs="Times New Roman"/>
                <w:i w:val="0"/>
                <w:iCs w:val="0"/>
                <w:color w:val="auto"/>
                <w:kern w:val="0"/>
                <w:sz w:val="21"/>
                <w:szCs w:val="21"/>
                <w:highlight w:val="none"/>
                <w:u w:val="none"/>
                <w:lang w:val="en-US" w:eastAsia="zh-CN" w:bidi="ar"/>
              </w:rPr>
              <w:t>万</w:t>
            </w:r>
            <w:r>
              <w:rPr>
                <w:rFonts w:hint="eastAsia" w:ascii="Times New Roman" w:hAnsi="Times New Roman" w:eastAsia="仿宋_GB2312" w:cs="Times New Roman"/>
                <w:color w:val="auto"/>
                <w:sz w:val="20"/>
                <w:szCs w:val="20"/>
                <w:highlight w:val="none"/>
                <w:lang w:val="en-US" w:eastAsia="zh-CN"/>
              </w:rPr>
              <w:t>元，17个；100万元-150万元（不含），5个；150万元-200万元，</w:t>
            </w:r>
            <w:r>
              <w:rPr>
                <w:rFonts w:hint="eastAsia" w:cs="Times New Roman"/>
                <w:color w:val="auto"/>
                <w:sz w:val="20"/>
                <w:szCs w:val="20"/>
                <w:highlight w:val="none"/>
                <w:lang w:val="en-US" w:eastAsia="zh-CN"/>
              </w:rPr>
              <w:t>5</w:t>
            </w:r>
            <w:r>
              <w:rPr>
                <w:rFonts w:hint="eastAsia" w:ascii="Times New Roman" w:hAnsi="Times New Roman" w:eastAsia="仿宋_GB2312" w:cs="Times New Roman"/>
                <w:color w:val="auto"/>
                <w:sz w:val="20"/>
                <w:szCs w:val="20"/>
                <w:highlight w:val="none"/>
                <w:lang w:val="en-US" w:eastAsia="zh-CN"/>
              </w:rPr>
              <w:t>个</w:t>
            </w:r>
          </w:p>
        </w:tc>
        <w:tc>
          <w:tcPr>
            <w:tcW w:w="622" w:type="pct"/>
            <w:noWrap w:val="0"/>
            <w:vAlign w:val="center"/>
          </w:tcPr>
          <w:p w14:paraId="41A091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2AB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5" w:hRule="atLeast"/>
          <w:jc w:val="center"/>
        </w:trPr>
        <w:tc>
          <w:tcPr>
            <w:tcW w:w="501" w:type="pct"/>
            <w:vMerge w:val="continue"/>
            <w:noWrap w:val="0"/>
            <w:vAlign w:val="center"/>
          </w:tcPr>
          <w:p w14:paraId="606C1D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519E8A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7640AA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7ADACF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次</w:t>
            </w:r>
            <w:r>
              <w:rPr>
                <w:rFonts w:hint="default" w:ascii="Times New Roman" w:hAnsi="Times New Roman" w:eastAsia="仿宋_GB2312" w:cs="Times New Roman"/>
                <w:i w:val="0"/>
                <w:iCs w:val="0"/>
                <w:color w:val="auto"/>
                <w:kern w:val="0"/>
                <w:sz w:val="21"/>
                <w:szCs w:val="21"/>
                <w:highlight w:val="none"/>
                <w:u w:val="none"/>
                <w:lang w:val="en-US" w:eastAsia="zh-CN" w:bidi="ar"/>
              </w:rPr>
              <w:t>护项目</w:t>
            </w:r>
          </w:p>
        </w:tc>
        <w:tc>
          <w:tcPr>
            <w:tcW w:w="1007" w:type="pct"/>
            <w:shd w:val="clear" w:color="auto" w:fill="auto"/>
            <w:noWrap/>
            <w:vAlign w:val="center"/>
          </w:tcPr>
          <w:p w14:paraId="110082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20万元，6个；30万元，12个；50万元，2个</w:t>
            </w:r>
          </w:p>
        </w:tc>
        <w:tc>
          <w:tcPr>
            <w:tcW w:w="1040" w:type="pct"/>
            <w:shd w:val="clear" w:color="auto" w:fill="auto"/>
            <w:noWrap/>
            <w:vAlign w:val="center"/>
          </w:tcPr>
          <w:p w14:paraId="6185C5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eastAsia" w:ascii="Times New Roman" w:hAnsi="Times New Roman" w:eastAsia="仿宋_GB2312" w:cs="Times New Roman"/>
                <w:color w:val="auto"/>
                <w:sz w:val="20"/>
                <w:szCs w:val="20"/>
                <w:highlight w:val="none"/>
                <w:lang w:val="en-US" w:eastAsia="zh-CN"/>
              </w:rPr>
              <w:t>20万元，6个；30万元，12个；50万元，2个</w:t>
            </w:r>
          </w:p>
        </w:tc>
        <w:tc>
          <w:tcPr>
            <w:tcW w:w="622" w:type="pct"/>
            <w:noWrap/>
            <w:vAlign w:val="center"/>
          </w:tcPr>
          <w:p w14:paraId="67C627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4AE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426B0F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456091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7126D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23EC45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文物保护利用六大工程</w:t>
            </w:r>
          </w:p>
        </w:tc>
        <w:tc>
          <w:tcPr>
            <w:tcW w:w="1007" w:type="pct"/>
            <w:shd w:val="clear" w:color="auto" w:fill="auto"/>
            <w:noWrap w:val="0"/>
            <w:vAlign w:val="center"/>
          </w:tcPr>
          <w:p w14:paraId="742E24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300万元，2个；200万元，1个；150万元，1个；30万元-60万元，4个</w:t>
            </w:r>
          </w:p>
        </w:tc>
        <w:tc>
          <w:tcPr>
            <w:tcW w:w="1040" w:type="pct"/>
            <w:shd w:val="clear" w:color="auto" w:fill="auto"/>
            <w:noWrap w:val="0"/>
            <w:vAlign w:val="center"/>
          </w:tcPr>
          <w:p w14:paraId="26963E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300万元，2个；200万元，1个；150万元，1个；30万元-60万元，4个</w:t>
            </w:r>
          </w:p>
        </w:tc>
        <w:tc>
          <w:tcPr>
            <w:tcW w:w="622" w:type="pct"/>
            <w:noWrap w:val="0"/>
            <w:vAlign w:val="center"/>
          </w:tcPr>
          <w:p w14:paraId="49CD6E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B7C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1" w:type="pct"/>
            <w:vMerge w:val="continue"/>
            <w:noWrap w:val="0"/>
            <w:vAlign w:val="center"/>
          </w:tcPr>
          <w:p w14:paraId="4EE2CD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668524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5D1FB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0BED2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非遗传承人补助</w:t>
            </w:r>
          </w:p>
        </w:tc>
        <w:tc>
          <w:tcPr>
            <w:tcW w:w="1007" w:type="pct"/>
            <w:shd w:val="clear" w:color="auto" w:fill="auto"/>
            <w:noWrap w:val="0"/>
            <w:vAlign w:val="center"/>
          </w:tcPr>
          <w:p w14:paraId="1C86E9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1万元/人</w:t>
            </w:r>
          </w:p>
        </w:tc>
        <w:tc>
          <w:tcPr>
            <w:tcW w:w="1040" w:type="pct"/>
            <w:shd w:val="clear" w:color="auto" w:fill="auto"/>
            <w:noWrap w:val="0"/>
            <w:vAlign w:val="center"/>
          </w:tcPr>
          <w:p w14:paraId="1D68D8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1万元/人</w:t>
            </w:r>
          </w:p>
        </w:tc>
        <w:tc>
          <w:tcPr>
            <w:tcW w:w="622" w:type="pct"/>
            <w:noWrap w:val="0"/>
            <w:vAlign w:val="center"/>
          </w:tcPr>
          <w:p w14:paraId="0C6952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D354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084EB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1B83C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57F7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733310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w:t>
            </w:r>
            <w:r>
              <w:rPr>
                <w:rFonts w:hint="eastAsia" w:cs="Times New Roman"/>
                <w:i w:val="0"/>
                <w:iCs w:val="0"/>
                <w:color w:val="auto"/>
                <w:kern w:val="0"/>
                <w:sz w:val="21"/>
                <w:szCs w:val="21"/>
                <w:highlight w:val="none"/>
                <w:u w:val="none"/>
                <w:lang w:val="en-US" w:eastAsia="zh-CN" w:bidi="ar"/>
              </w:rPr>
              <w:t>非物质文化遗产保护传承</w:t>
            </w: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007" w:type="pct"/>
            <w:shd w:val="clear" w:color="auto" w:fill="auto"/>
            <w:noWrap w:val="0"/>
            <w:vAlign w:val="center"/>
          </w:tcPr>
          <w:p w14:paraId="3FD8F0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0"/>
                <w:szCs w:val="20"/>
                <w:highlight w:val="none"/>
                <w:u w:val="none"/>
                <w:lang w:val="en-US" w:eastAsia="zh-CN" w:bidi="ar"/>
              </w:rPr>
            </w:pPr>
            <w:r>
              <w:rPr>
                <w:rFonts w:hint="eastAsia" w:cs="Times New Roman"/>
                <w:color w:val="auto"/>
                <w:sz w:val="20"/>
                <w:szCs w:val="20"/>
                <w:highlight w:val="none"/>
                <w:lang w:val="en-US" w:eastAsia="zh-CN"/>
              </w:rPr>
              <w:t>12万—50万</w:t>
            </w:r>
            <w:r>
              <w:rPr>
                <w:rFonts w:hint="eastAsia" w:ascii="Times New Roman" w:hAnsi="Times New Roman" w:eastAsia="仿宋_GB2312" w:cs="Times New Roman"/>
                <w:color w:val="auto"/>
                <w:sz w:val="20"/>
                <w:szCs w:val="20"/>
                <w:highlight w:val="none"/>
                <w:lang w:val="en-US" w:eastAsia="zh-CN"/>
              </w:rPr>
              <w:t>元，4个；50万元（不含）-100万元，10个；100万元-200万元，2个</w:t>
            </w:r>
          </w:p>
        </w:tc>
        <w:tc>
          <w:tcPr>
            <w:tcW w:w="1040" w:type="pct"/>
            <w:shd w:val="clear" w:color="auto" w:fill="auto"/>
            <w:noWrap w:val="0"/>
            <w:vAlign w:val="center"/>
          </w:tcPr>
          <w:p w14:paraId="6B2708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0"/>
                <w:szCs w:val="20"/>
                <w:highlight w:val="none"/>
                <w:u w:val="none"/>
                <w:lang w:val="en-US" w:eastAsia="zh-CN" w:bidi="ar"/>
              </w:rPr>
            </w:pPr>
            <w:r>
              <w:rPr>
                <w:rFonts w:hint="eastAsia" w:cs="Times New Roman"/>
                <w:color w:val="auto"/>
                <w:sz w:val="20"/>
                <w:szCs w:val="20"/>
                <w:highlight w:val="none"/>
                <w:lang w:val="en-US" w:eastAsia="zh-CN"/>
              </w:rPr>
              <w:t>12万—50万</w:t>
            </w:r>
            <w:r>
              <w:rPr>
                <w:rFonts w:hint="eastAsia" w:ascii="Times New Roman" w:hAnsi="Times New Roman" w:eastAsia="仿宋_GB2312" w:cs="Times New Roman"/>
                <w:color w:val="auto"/>
                <w:sz w:val="20"/>
                <w:szCs w:val="20"/>
                <w:highlight w:val="none"/>
                <w:lang w:val="en-US" w:eastAsia="zh-CN"/>
              </w:rPr>
              <w:t>元，7个；50万元（不含）-100万元，11个；100万元（不含）-200万元，2个</w:t>
            </w:r>
          </w:p>
        </w:tc>
        <w:tc>
          <w:tcPr>
            <w:tcW w:w="622" w:type="pct"/>
            <w:noWrap w:val="0"/>
            <w:vAlign w:val="center"/>
          </w:tcPr>
          <w:p w14:paraId="28554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D12C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8" w:hRule="atLeast"/>
          <w:jc w:val="center"/>
        </w:trPr>
        <w:tc>
          <w:tcPr>
            <w:tcW w:w="501" w:type="pct"/>
            <w:vMerge w:val="continue"/>
            <w:noWrap w:val="0"/>
            <w:vAlign w:val="center"/>
          </w:tcPr>
          <w:p w14:paraId="467E41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720B00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3A2A6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58CE77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文物主题艺术精品创作</w:t>
            </w:r>
          </w:p>
        </w:tc>
        <w:tc>
          <w:tcPr>
            <w:tcW w:w="1007" w:type="pct"/>
            <w:shd w:val="clear" w:color="auto" w:fill="auto"/>
            <w:noWrap w:val="0"/>
            <w:vAlign w:val="center"/>
          </w:tcPr>
          <w:p w14:paraId="09F7F9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100万元≥1个；</w:t>
            </w:r>
          </w:p>
          <w:p w14:paraId="44D552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400万元≥1个</w:t>
            </w:r>
          </w:p>
        </w:tc>
        <w:tc>
          <w:tcPr>
            <w:tcW w:w="1040" w:type="pct"/>
            <w:shd w:val="clear" w:color="auto" w:fill="auto"/>
            <w:noWrap w:val="0"/>
            <w:vAlign w:val="center"/>
          </w:tcPr>
          <w:p w14:paraId="229153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100万元</w:t>
            </w:r>
            <w:r>
              <w:rPr>
                <w:rFonts w:hint="eastAsia"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1个；</w:t>
            </w:r>
          </w:p>
          <w:p w14:paraId="1E5AC0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r>
              <w:rPr>
                <w:rFonts w:hint="eastAsia" w:cs="Times New Roman"/>
                <w:i w:val="0"/>
                <w:iCs w:val="0"/>
                <w:color w:val="auto"/>
                <w:kern w:val="0"/>
                <w:sz w:val="21"/>
                <w:szCs w:val="21"/>
                <w:highlight w:val="none"/>
                <w:u w:val="none"/>
                <w:lang w:val="en-US" w:eastAsia="zh-CN" w:bidi="ar"/>
              </w:rPr>
              <w:t>万元，</w:t>
            </w:r>
            <w:r>
              <w:rPr>
                <w:rFonts w:hint="default" w:ascii="Times New Roman" w:hAnsi="Times New Roman" w:eastAsia="仿宋_GB2312" w:cs="Times New Roman"/>
                <w:i w:val="0"/>
                <w:iCs w:val="0"/>
                <w:color w:val="auto"/>
                <w:kern w:val="0"/>
                <w:sz w:val="21"/>
                <w:szCs w:val="21"/>
                <w:highlight w:val="none"/>
                <w:u w:val="none"/>
                <w:lang w:val="en-US" w:eastAsia="zh-CN" w:bidi="ar"/>
              </w:rPr>
              <w:t>1个</w:t>
            </w:r>
          </w:p>
        </w:tc>
        <w:tc>
          <w:tcPr>
            <w:tcW w:w="622" w:type="pct"/>
            <w:noWrap w:val="0"/>
            <w:vAlign w:val="center"/>
          </w:tcPr>
          <w:p w14:paraId="5A5843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E40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1" w:type="pct"/>
            <w:vMerge w:val="continue"/>
            <w:noWrap w:val="0"/>
            <w:vAlign w:val="center"/>
          </w:tcPr>
          <w:p w14:paraId="057608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31481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4335C1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937" w:type="pct"/>
            <w:noWrap w:val="0"/>
            <w:vAlign w:val="center"/>
          </w:tcPr>
          <w:p w14:paraId="504740C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景区（点）最大承载量警示控</w:t>
            </w:r>
          </w:p>
          <w:p w14:paraId="39BBEA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制率</w:t>
            </w:r>
          </w:p>
        </w:tc>
        <w:tc>
          <w:tcPr>
            <w:tcW w:w="1007" w:type="pct"/>
            <w:noWrap w:val="0"/>
            <w:vAlign w:val="center"/>
          </w:tcPr>
          <w:p w14:paraId="2C89B8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=100</w:t>
            </w:r>
            <w:r>
              <w:rPr>
                <w:rFonts w:hint="eastAsia" w:ascii="Times New Roman" w:hAnsi="Times New Roman" w:cs="Times New Roman"/>
                <w:i w:val="0"/>
                <w:iCs w:val="0"/>
                <w:color w:val="auto"/>
                <w:kern w:val="0"/>
                <w:sz w:val="21"/>
                <w:szCs w:val="21"/>
                <w:u w:val="none"/>
                <w:lang w:val="en-US" w:eastAsia="zh-CN" w:bidi="ar"/>
              </w:rPr>
              <w:t>%</w:t>
            </w:r>
          </w:p>
        </w:tc>
        <w:tc>
          <w:tcPr>
            <w:tcW w:w="1040" w:type="pct"/>
            <w:noWrap w:val="0"/>
            <w:vAlign w:val="center"/>
          </w:tcPr>
          <w:p w14:paraId="69C99C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100%</w:t>
            </w:r>
          </w:p>
        </w:tc>
        <w:tc>
          <w:tcPr>
            <w:tcW w:w="622" w:type="pct"/>
            <w:noWrap w:val="0"/>
            <w:vAlign w:val="center"/>
          </w:tcPr>
          <w:p w14:paraId="4C709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5309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0F7330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0C8B9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21EDC8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937" w:type="pct"/>
            <w:shd w:val="clear" w:color="auto" w:fill="auto"/>
            <w:noWrap w:val="0"/>
            <w:vAlign w:val="center"/>
          </w:tcPr>
          <w:p w14:paraId="4FE43D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生态旅游产业开发面积</w:t>
            </w:r>
          </w:p>
        </w:tc>
        <w:tc>
          <w:tcPr>
            <w:tcW w:w="1007" w:type="pct"/>
            <w:shd w:val="clear" w:color="auto" w:fill="auto"/>
            <w:noWrap w:val="0"/>
            <w:vAlign w:val="center"/>
          </w:tcPr>
          <w:p w14:paraId="3B6808B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1040" w:type="pct"/>
            <w:shd w:val="clear" w:color="auto" w:fill="auto"/>
            <w:noWrap w:val="0"/>
            <w:vAlign w:val="center"/>
          </w:tcPr>
          <w:p w14:paraId="679530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622" w:type="pct"/>
            <w:noWrap w:val="0"/>
            <w:vAlign w:val="center"/>
          </w:tcPr>
          <w:p w14:paraId="08B460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7C8D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01" w:type="pct"/>
            <w:vMerge w:val="continue"/>
            <w:noWrap w:val="0"/>
            <w:vAlign w:val="center"/>
          </w:tcPr>
          <w:p w14:paraId="0BD2C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6C8286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488" w:type="pct"/>
            <w:vMerge w:val="restart"/>
            <w:noWrap/>
            <w:vAlign w:val="center"/>
          </w:tcPr>
          <w:p w14:paraId="3056C6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937" w:type="pct"/>
            <w:shd w:val="clear" w:color="auto" w:fill="auto"/>
            <w:noWrap w:val="0"/>
            <w:vAlign w:val="center"/>
          </w:tcPr>
          <w:p w14:paraId="02ACF6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w:t>
            </w:r>
          </w:p>
          <w:p w14:paraId="78571A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007" w:type="pct"/>
            <w:shd w:val="clear" w:color="auto" w:fill="auto"/>
            <w:noWrap w:val="0"/>
            <w:vAlign w:val="center"/>
          </w:tcPr>
          <w:p w14:paraId="4E681B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≥36</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2740B5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40个</w:t>
            </w:r>
          </w:p>
        </w:tc>
        <w:tc>
          <w:tcPr>
            <w:tcW w:w="622" w:type="pct"/>
            <w:noWrap w:val="0"/>
            <w:vAlign w:val="center"/>
          </w:tcPr>
          <w:p w14:paraId="2136B8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E21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47F2AC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19AB7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19F849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ign w:val="center"/>
          </w:tcPr>
          <w:p w14:paraId="7B9F93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红色文旅项目</w:t>
            </w:r>
          </w:p>
        </w:tc>
        <w:tc>
          <w:tcPr>
            <w:tcW w:w="1007" w:type="pct"/>
            <w:shd w:val="clear" w:color="auto" w:fill="auto"/>
            <w:noWrap w:val="0"/>
            <w:vAlign w:val="center"/>
          </w:tcPr>
          <w:p w14:paraId="7F61145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3162D7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22个</w:t>
            </w:r>
          </w:p>
        </w:tc>
        <w:tc>
          <w:tcPr>
            <w:tcW w:w="622" w:type="pct"/>
            <w:noWrap w:val="0"/>
            <w:vAlign w:val="center"/>
          </w:tcPr>
          <w:p w14:paraId="46EABC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DFD6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20033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p>
        </w:tc>
        <w:tc>
          <w:tcPr>
            <w:tcW w:w="400" w:type="pct"/>
            <w:vMerge w:val="continue"/>
            <w:noWrap/>
            <w:vAlign w:val="center"/>
          </w:tcPr>
          <w:p w14:paraId="247C14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7297E4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DC684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文物保护利用六大工程</w:t>
            </w:r>
          </w:p>
        </w:tc>
        <w:tc>
          <w:tcPr>
            <w:tcW w:w="1007" w:type="pct"/>
            <w:shd w:val="clear" w:color="auto" w:fill="auto"/>
            <w:noWrap w:val="0"/>
            <w:vAlign w:val="center"/>
          </w:tcPr>
          <w:p w14:paraId="4E89DE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0378D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8个</w:t>
            </w:r>
          </w:p>
        </w:tc>
        <w:tc>
          <w:tcPr>
            <w:tcW w:w="622" w:type="pct"/>
            <w:noWrap w:val="0"/>
            <w:vAlign w:val="center"/>
          </w:tcPr>
          <w:p w14:paraId="12EE63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D53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6234D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p>
        </w:tc>
        <w:tc>
          <w:tcPr>
            <w:tcW w:w="400" w:type="pct"/>
            <w:vMerge w:val="continue"/>
            <w:noWrap/>
            <w:vAlign w:val="center"/>
          </w:tcPr>
          <w:p w14:paraId="5A7856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27FCE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46A18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省级</w:t>
            </w:r>
            <w:r>
              <w:rPr>
                <w:rFonts w:hint="eastAsia" w:cs="Times New Roman"/>
                <w:i w:val="0"/>
                <w:iCs w:val="0"/>
                <w:color w:val="auto"/>
                <w:kern w:val="0"/>
                <w:sz w:val="21"/>
                <w:szCs w:val="21"/>
                <w:u w:val="none"/>
                <w:lang w:val="en-US" w:eastAsia="zh-CN" w:bidi="ar"/>
              </w:rPr>
              <w:t>非物质文化遗产保护传承</w:t>
            </w:r>
            <w:r>
              <w:rPr>
                <w:rFonts w:hint="default" w:ascii="Times New Roman" w:hAnsi="Times New Roman" w:eastAsia="仿宋_GB2312" w:cs="Times New Roman"/>
                <w:i w:val="0"/>
                <w:iCs w:val="0"/>
                <w:color w:val="auto"/>
                <w:kern w:val="0"/>
                <w:sz w:val="21"/>
                <w:szCs w:val="21"/>
                <w:u w:val="none"/>
                <w:lang w:val="en-US" w:eastAsia="zh-CN" w:bidi="ar"/>
              </w:rPr>
              <w:t>项目</w:t>
            </w:r>
          </w:p>
        </w:tc>
        <w:tc>
          <w:tcPr>
            <w:tcW w:w="1007" w:type="pct"/>
            <w:shd w:val="clear" w:color="auto" w:fill="auto"/>
            <w:noWrap w:val="0"/>
            <w:vAlign w:val="center"/>
          </w:tcPr>
          <w:p w14:paraId="6A2520E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≥70</w:t>
            </w:r>
            <w:r>
              <w:rPr>
                <w:rFonts w:hint="eastAsia" w:ascii="Times New Roman" w:hAnsi="Times New Roman" w:cs="Times New Roman"/>
                <w:i w:val="0"/>
                <w:iCs w:val="0"/>
                <w:color w:val="auto"/>
                <w:kern w:val="0"/>
                <w:sz w:val="21"/>
                <w:szCs w:val="21"/>
                <w:u w:val="none"/>
                <w:lang w:val="en-US" w:eastAsia="zh-CN" w:bidi="ar"/>
              </w:rPr>
              <w:t>个</w:t>
            </w:r>
          </w:p>
        </w:tc>
        <w:tc>
          <w:tcPr>
            <w:tcW w:w="1040" w:type="pct"/>
            <w:noWrap w:val="0"/>
            <w:vAlign w:val="center"/>
          </w:tcPr>
          <w:p w14:paraId="09AB93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62个</w:t>
            </w:r>
          </w:p>
        </w:tc>
        <w:tc>
          <w:tcPr>
            <w:tcW w:w="622" w:type="pct"/>
            <w:noWrap w:val="0"/>
            <w:vAlign w:val="center"/>
          </w:tcPr>
          <w:p w14:paraId="683B74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未完成，指标设置不精准</w:t>
            </w:r>
          </w:p>
        </w:tc>
      </w:tr>
      <w:tr w14:paraId="013CD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5BA6C3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旅游·</w:t>
            </w:r>
          </w:p>
        </w:tc>
        <w:tc>
          <w:tcPr>
            <w:tcW w:w="400" w:type="pct"/>
            <w:vMerge w:val="continue"/>
            <w:noWrap/>
            <w:vAlign w:val="center"/>
          </w:tcPr>
          <w:p w14:paraId="1B8C52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76C436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6F16FA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省级非遗传承人补助</w:t>
            </w:r>
          </w:p>
        </w:tc>
        <w:tc>
          <w:tcPr>
            <w:tcW w:w="1007" w:type="pct"/>
            <w:shd w:val="clear" w:color="auto" w:fill="auto"/>
            <w:noWrap w:val="0"/>
            <w:vAlign w:val="center"/>
          </w:tcPr>
          <w:p w14:paraId="54210E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eastAsia" w:ascii="Times New Roman" w:hAnsi="Times New Roman" w:eastAsia="仿宋_GB2312" w:cs="Times New Roman"/>
                <w:i w:val="0"/>
                <w:iCs w:val="0"/>
                <w:color w:val="auto"/>
                <w:kern w:val="0"/>
                <w:sz w:val="21"/>
                <w:szCs w:val="21"/>
                <w:highlight w:val="none"/>
                <w:u w:val="none"/>
                <w:lang w:val="en-US" w:eastAsia="zh-CN" w:bidi="ar"/>
              </w:rPr>
              <w:t>568</w:t>
            </w:r>
            <w:r>
              <w:rPr>
                <w:rFonts w:hint="eastAsia" w:ascii="Times New Roman" w:hAnsi="Times New Roman" w:cs="Times New Roman"/>
                <w:i w:val="0"/>
                <w:iCs w:val="0"/>
                <w:color w:val="auto"/>
                <w:kern w:val="0"/>
                <w:sz w:val="21"/>
                <w:szCs w:val="21"/>
                <w:highlight w:val="none"/>
                <w:u w:val="none"/>
                <w:lang w:val="en-US" w:eastAsia="zh-CN" w:bidi="ar"/>
              </w:rPr>
              <w:t>人</w:t>
            </w:r>
          </w:p>
        </w:tc>
        <w:tc>
          <w:tcPr>
            <w:tcW w:w="1040" w:type="pct"/>
            <w:noWrap w:val="0"/>
            <w:vAlign w:val="center"/>
          </w:tcPr>
          <w:p w14:paraId="54C6D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568人</w:t>
            </w:r>
          </w:p>
        </w:tc>
        <w:tc>
          <w:tcPr>
            <w:tcW w:w="622" w:type="pct"/>
            <w:noWrap w:val="0"/>
            <w:vAlign w:val="center"/>
          </w:tcPr>
          <w:p w14:paraId="1743EF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cs="Times New Roman"/>
                <w:i w:val="0"/>
                <w:iCs w:val="0"/>
                <w:color w:val="auto"/>
                <w:kern w:val="0"/>
                <w:sz w:val="21"/>
                <w:szCs w:val="21"/>
                <w:highlight w:val="green"/>
                <w:u w:val="none"/>
                <w:lang w:val="en-US" w:eastAsia="zh" w:bidi="ar"/>
                <w:woUserID w:val="2"/>
              </w:rPr>
            </w:pPr>
            <w:r>
              <w:rPr>
                <w:rFonts w:hint="eastAsia" w:ascii="Times New Roman" w:hAnsi="Times New Roman" w:eastAsia="仿宋_GB2312" w:cs="Times New Roman"/>
                <w:i w:val="0"/>
                <w:iCs w:val="0"/>
                <w:color w:val="auto"/>
                <w:kern w:val="0"/>
                <w:sz w:val="21"/>
                <w:szCs w:val="21"/>
                <w:u w:val="none"/>
                <w:lang w:val="en-US" w:eastAsia="zh-CN" w:bidi="ar"/>
              </w:rPr>
              <w:t>完成</w:t>
            </w:r>
          </w:p>
        </w:tc>
      </w:tr>
      <w:tr w14:paraId="1D4EC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3B4C8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907FF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7A1B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B6423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文物主题艺术精品创作</w:t>
            </w:r>
          </w:p>
        </w:tc>
        <w:tc>
          <w:tcPr>
            <w:tcW w:w="1007" w:type="pct"/>
            <w:shd w:val="clear" w:color="auto" w:fill="auto"/>
            <w:noWrap w:val="0"/>
            <w:vAlign w:val="center"/>
          </w:tcPr>
          <w:p w14:paraId="6D1A5C6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eastAsia" w:ascii="Times New Roman" w:hAnsi="Times New Roman" w:eastAsia="仿宋_GB2312" w:cs="Times New Roman"/>
                <w:i w:val="0"/>
                <w:iCs w:val="0"/>
                <w:color w:val="auto"/>
                <w:kern w:val="0"/>
                <w:sz w:val="21"/>
                <w:szCs w:val="21"/>
                <w:highlight w:val="none"/>
                <w:u w:val="none"/>
                <w:lang w:val="en-US" w:eastAsia="zh-CN" w:bidi="ar"/>
              </w:rPr>
              <w:t>个</w:t>
            </w:r>
          </w:p>
        </w:tc>
        <w:tc>
          <w:tcPr>
            <w:tcW w:w="1040" w:type="pct"/>
            <w:noWrap w:val="0"/>
            <w:vAlign w:val="center"/>
          </w:tcPr>
          <w:p w14:paraId="2A8B0D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2个</w:t>
            </w:r>
          </w:p>
        </w:tc>
        <w:tc>
          <w:tcPr>
            <w:tcW w:w="622" w:type="pct"/>
            <w:noWrap w:val="0"/>
            <w:vAlign w:val="center"/>
          </w:tcPr>
          <w:p w14:paraId="4D58DFB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完成</w:t>
            </w:r>
          </w:p>
        </w:tc>
      </w:tr>
      <w:tr w14:paraId="7EC1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78140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100772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393B23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937" w:type="pct"/>
            <w:shd w:val="clear" w:color="auto" w:fill="auto"/>
            <w:noWrap w:val="0"/>
            <w:vAlign w:val="center"/>
          </w:tcPr>
          <w:p w14:paraId="227E3F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文化旅游资源转化成功率</w:t>
            </w:r>
          </w:p>
        </w:tc>
        <w:tc>
          <w:tcPr>
            <w:tcW w:w="1007" w:type="pct"/>
            <w:shd w:val="clear" w:color="auto" w:fill="auto"/>
            <w:noWrap w:val="0"/>
            <w:vAlign w:val="center"/>
          </w:tcPr>
          <w:p w14:paraId="2A2B5FF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50DDBF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7773D2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766C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0FE470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35DD9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066A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217F187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项目审核合规率</w:t>
            </w:r>
          </w:p>
        </w:tc>
        <w:tc>
          <w:tcPr>
            <w:tcW w:w="1007" w:type="pct"/>
            <w:shd w:val="clear" w:color="auto" w:fill="auto"/>
            <w:noWrap w:val="0"/>
            <w:vAlign w:val="center"/>
          </w:tcPr>
          <w:p w14:paraId="4E222E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0C053A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5F06A2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F82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6BC0A4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7EB925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3E119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49436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资金发放合规率</w:t>
            </w:r>
          </w:p>
        </w:tc>
        <w:tc>
          <w:tcPr>
            <w:tcW w:w="1007" w:type="pct"/>
            <w:shd w:val="clear" w:color="auto" w:fill="auto"/>
            <w:noWrap/>
            <w:vAlign w:val="center"/>
          </w:tcPr>
          <w:p w14:paraId="561D38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ign w:val="center"/>
          </w:tcPr>
          <w:p w14:paraId="29728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22" w:type="pct"/>
            <w:noWrap/>
            <w:vAlign w:val="center"/>
          </w:tcPr>
          <w:p w14:paraId="2E3328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72D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1" w:type="pct"/>
            <w:vMerge w:val="continue"/>
            <w:noWrap w:val="0"/>
            <w:vAlign w:val="center"/>
          </w:tcPr>
          <w:p w14:paraId="556778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C965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3FC075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5EB535E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1007" w:type="pct"/>
            <w:shd w:val="clear" w:color="auto" w:fill="auto"/>
            <w:noWrap w:val="0"/>
            <w:vAlign w:val="center"/>
          </w:tcPr>
          <w:p w14:paraId="2236686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0C5D0B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6ECD2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E5F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01" w:type="pct"/>
            <w:vMerge w:val="continue"/>
            <w:noWrap w:val="0"/>
            <w:vAlign w:val="center"/>
          </w:tcPr>
          <w:p w14:paraId="0516A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AD85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1C2268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937" w:type="pct"/>
            <w:shd w:val="clear" w:color="auto" w:fill="auto"/>
            <w:noWrap w:val="0"/>
            <w:vAlign w:val="center"/>
          </w:tcPr>
          <w:p w14:paraId="618E70A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pacing w:val="-11"/>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财政资金下拨</w:t>
            </w:r>
          </w:p>
          <w:p w14:paraId="787B8C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时间</w:t>
            </w:r>
          </w:p>
        </w:tc>
        <w:tc>
          <w:tcPr>
            <w:tcW w:w="1007" w:type="pct"/>
            <w:shd w:val="clear" w:color="auto" w:fill="auto"/>
            <w:noWrap w:val="0"/>
            <w:vAlign w:val="center"/>
          </w:tcPr>
          <w:p w14:paraId="2B3DB7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1997" w:type="dxa"/>
            <w:shd w:val="clear" w:color="auto" w:fill="auto"/>
            <w:noWrap w:val="0"/>
            <w:vAlign w:val="center"/>
          </w:tcPr>
          <w:p w14:paraId="1ACA223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w:t>
            </w:r>
            <w:r>
              <w:rPr>
                <w:rFonts w:hint="eastAsia" w:cs="Times New Roman"/>
                <w:i w:val="0"/>
                <w:iCs w:val="0"/>
                <w:color w:val="auto"/>
                <w:kern w:val="0"/>
                <w:sz w:val="21"/>
                <w:szCs w:val="21"/>
                <w:highlight w:val="none"/>
                <w:u w:val="none"/>
                <w:lang w:val="en-US" w:eastAsia="zh-CN" w:bidi="ar"/>
              </w:rPr>
              <w:t>8月29日前全部拨付</w:t>
            </w:r>
          </w:p>
        </w:tc>
        <w:tc>
          <w:tcPr>
            <w:tcW w:w="622" w:type="pct"/>
            <w:noWrap w:val="0"/>
            <w:vAlign w:val="center"/>
          </w:tcPr>
          <w:p w14:paraId="1F7C4E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23B9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3FB316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8E9D0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1C389E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49CAF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红色文化旅游项目开工时间</w:t>
            </w:r>
          </w:p>
        </w:tc>
        <w:tc>
          <w:tcPr>
            <w:tcW w:w="1007" w:type="pct"/>
            <w:shd w:val="clear" w:color="auto" w:fill="auto"/>
            <w:noWrap w:val="0"/>
            <w:vAlign w:val="center"/>
          </w:tcPr>
          <w:p w14:paraId="0A6EE5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1997" w:type="dxa"/>
            <w:shd w:val="clear" w:color="auto" w:fill="auto"/>
            <w:noWrap w:val="0"/>
            <w:vAlign w:val="center"/>
          </w:tcPr>
          <w:p w14:paraId="089E3E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622" w:type="pct"/>
            <w:noWrap w:val="0"/>
            <w:vAlign w:val="center"/>
          </w:tcPr>
          <w:p w14:paraId="679576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88E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292442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03AD6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94D77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071C6F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1007" w:type="pct"/>
            <w:shd w:val="clear" w:color="auto" w:fill="auto"/>
            <w:noWrap w:val="0"/>
            <w:vAlign w:val="center"/>
          </w:tcPr>
          <w:p w14:paraId="17EC65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36C3ED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3D6993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3E4A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6" w:hRule="atLeast"/>
          <w:jc w:val="center"/>
        </w:trPr>
        <w:tc>
          <w:tcPr>
            <w:tcW w:w="501" w:type="pct"/>
            <w:vMerge w:val="continue"/>
            <w:noWrap w:val="0"/>
            <w:vAlign w:val="center"/>
          </w:tcPr>
          <w:p w14:paraId="76498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5AC7BE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488" w:type="pct"/>
            <w:vMerge w:val="restart"/>
            <w:noWrap w:val="0"/>
            <w:vAlign w:val="center"/>
          </w:tcPr>
          <w:p w14:paraId="31D20A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w:t>
            </w:r>
            <w:r>
              <w:rPr>
                <w:rFonts w:hint="default" w:ascii="Times New Roman" w:hAnsi="Times New Roman" w:eastAsia="仿宋_GB2312" w:cs="Times New Roman"/>
                <w:i w:val="0"/>
                <w:iCs w:val="0"/>
                <w:color w:val="auto"/>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7" w:type="pct"/>
            <w:shd w:val="clear" w:color="auto" w:fill="auto"/>
            <w:noWrap w:val="0"/>
            <w:vAlign w:val="center"/>
          </w:tcPr>
          <w:p w14:paraId="67B2B5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w:t>
            </w:r>
          </w:p>
          <w:p w14:paraId="069D30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长率</w:t>
            </w:r>
          </w:p>
        </w:tc>
        <w:tc>
          <w:tcPr>
            <w:tcW w:w="1007" w:type="pct"/>
            <w:shd w:val="clear" w:color="auto" w:fill="auto"/>
            <w:noWrap w:val="0"/>
            <w:vAlign w:val="center"/>
          </w:tcPr>
          <w:p w14:paraId="4DEEB16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58C7A2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622" w:type="pct"/>
            <w:shd w:val="clear" w:color="auto" w:fill="auto"/>
            <w:noWrap w:val="0"/>
            <w:vAlign w:val="center"/>
          </w:tcPr>
          <w:p w14:paraId="341FFF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7B8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12696A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46E29E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56E7C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34FF77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1007" w:type="pct"/>
            <w:shd w:val="clear" w:color="auto" w:fill="auto"/>
            <w:noWrap w:val="0"/>
            <w:vAlign w:val="center"/>
          </w:tcPr>
          <w:p w14:paraId="0B0E84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1040" w:type="pct"/>
            <w:shd w:val="clear" w:color="auto" w:fill="auto"/>
            <w:noWrap w:val="0"/>
            <w:vAlign w:val="center"/>
          </w:tcPr>
          <w:p w14:paraId="2DD3CB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622" w:type="pct"/>
            <w:shd w:val="clear" w:color="auto" w:fill="auto"/>
            <w:noWrap w:val="0"/>
            <w:vAlign w:val="center"/>
          </w:tcPr>
          <w:p w14:paraId="6B7389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eastAsia" w:cs="Times New Roman"/>
                <w:i w:val="0"/>
                <w:iCs w:val="0"/>
                <w:color w:val="auto"/>
                <w:kern w:val="0"/>
                <w:sz w:val="21"/>
                <w:szCs w:val="21"/>
                <w:highlight w:val="none"/>
                <w:u w:val="none"/>
                <w:lang w:val="en-US" w:eastAsia="zh-CN" w:bidi="ar"/>
                <w:woUserID w:val="2"/>
              </w:rPr>
              <w:t>完成</w:t>
            </w:r>
          </w:p>
        </w:tc>
      </w:tr>
      <w:tr w14:paraId="46CD9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1" w:type="pct"/>
            <w:vMerge w:val="continue"/>
            <w:noWrap w:val="0"/>
            <w:vAlign w:val="center"/>
          </w:tcPr>
          <w:p w14:paraId="713D8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E5AF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059E4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50031F9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1007" w:type="pct"/>
            <w:shd w:val="clear" w:color="auto" w:fill="auto"/>
            <w:noWrap w:val="0"/>
            <w:vAlign w:val="center"/>
          </w:tcPr>
          <w:p w14:paraId="590B1C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196F03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22" w:type="pct"/>
            <w:shd w:val="clear" w:color="auto" w:fill="auto"/>
            <w:noWrap w:val="0"/>
            <w:vAlign w:val="center"/>
          </w:tcPr>
          <w:p w14:paraId="789342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5E69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501" w:type="pct"/>
            <w:vMerge w:val="continue"/>
            <w:noWrap w:val="0"/>
            <w:vAlign w:val="center"/>
          </w:tcPr>
          <w:p w14:paraId="041BC8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980AD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783A42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社会效益指标</w:t>
            </w:r>
          </w:p>
        </w:tc>
        <w:tc>
          <w:tcPr>
            <w:tcW w:w="937" w:type="pct"/>
            <w:shd w:val="clear" w:color="auto" w:fill="auto"/>
            <w:noWrap w:val="0"/>
            <w:vAlign w:val="center"/>
          </w:tcPr>
          <w:p w14:paraId="22C6B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红色文化旅游与其他旅游项目融合率</w:t>
            </w:r>
          </w:p>
        </w:tc>
        <w:tc>
          <w:tcPr>
            <w:tcW w:w="1007" w:type="pct"/>
            <w:shd w:val="clear" w:color="auto" w:fill="auto"/>
            <w:noWrap/>
            <w:vAlign w:val="center"/>
          </w:tcPr>
          <w:p w14:paraId="2D9B4E4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noWrap/>
            <w:vAlign w:val="center"/>
          </w:tcPr>
          <w:p w14:paraId="59157C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68%</w:t>
            </w:r>
          </w:p>
        </w:tc>
        <w:tc>
          <w:tcPr>
            <w:tcW w:w="622" w:type="pct"/>
            <w:noWrap/>
            <w:vAlign w:val="center"/>
          </w:tcPr>
          <w:p w14:paraId="2AB848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503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01" w:type="pct"/>
            <w:vMerge w:val="continue"/>
            <w:noWrap w:val="0"/>
            <w:vAlign w:val="center"/>
          </w:tcPr>
          <w:p w14:paraId="7F4A08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8CAE1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4F80E7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489D85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项目红色故事宣扬度</w:t>
            </w:r>
          </w:p>
        </w:tc>
        <w:tc>
          <w:tcPr>
            <w:tcW w:w="1007" w:type="pct"/>
            <w:shd w:val="clear" w:color="auto" w:fill="auto"/>
            <w:noWrap/>
            <w:vAlign w:val="center"/>
          </w:tcPr>
          <w:p w14:paraId="64930CF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≥50</w:t>
            </w:r>
            <w:r>
              <w:rPr>
                <w:rFonts w:hint="eastAsia" w:ascii="Times New Roman" w:hAnsi="Times New Roman" w:cs="Times New Roman"/>
                <w:i w:val="0"/>
                <w:iCs w:val="0"/>
                <w:color w:val="auto"/>
                <w:kern w:val="0"/>
                <w:sz w:val="21"/>
                <w:szCs w:val="21"/>
                <w:highlight w:val="none"/>
                <w:u w:val="none"/>
                <w:lang w:val="en-US" w:eastAsia="zh-CN" w:bidi="ar"/>
              </w:rPr>
              <w:t>%</w:t>
            </w:r>
          </w:p>
        </w:tc>
        <w:tc>
          <w:tcPr>
            <w:tcW w:w="1040" w:type="pct"/>
            <w:noWrap/>
            <w:vAlign w:val="center"/>
          </w:tcPr>
          <w:p w14:paraId="360096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62%</w:t>
            </w:r>
          </w:p>
        </w:tc>
        <w:tc>
          <w:tcPr>
            <w:tcW w:w="622" w:type="pct"/>
            <w:noWrap/>
            <w:vAlign w:val="center"/>
          </w:tcPr>
          <w:p w14:paraId="19E750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7C2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5E66A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7D4025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4AF55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40B92E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1007" w:type="pct"/>
            <w:shd w:val="clear" w:color="auto" w:fill="auto"/>
            <w:noWrap/>
            <w:vAlign w:val="center"/>
          </w:tcPr>
          <w:p w14:paraId="705CB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eastAsia" w:ascii="Times New Roman" w:hAnsi="Times New Roman" w:cs="Times New Roman"/>
                <w:i w:val="0"/>
                <w:iCs w:val="0"/>
                <w:color w:val="auto"/>
                <w:kern w:val="0"/>
                <w:sz w:val="21"/>
                <w:szCs w:val="21"/>
                <w:highlight w:val="none"/>
                <w:u w:val="none"/>
                <w:lang w:val="en-US" w:eastAsia="zh-CN" w:bidi="ar"/>
              </w:rPr>
              <w:t>万人次</w:t>
            </w:r>
          </w:p>
        </w:tc>
        <w:tc>
          <w:tcPr>
            <w:tcW w:w="1040" w:type="pct"/>
            <w:noWrap/>
            <w:vAlign w:val="center"/>
          </w:tcPr>
          <w:p w14:paraId="505FAFF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2380万人次</w:t>
            </w:r>
          </w:p>
        </w:tc>
        <w:tc>
          <w:tcPr>
            <w:tcW w:w="622" w:type="pct"/>
            <w:noWrap/>
            <w:vAlign w:val="center"/>
          </w:tcPr>
          <w:p w14:paraId="39713F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D6B9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7B546E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959D0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B71FE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183200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传统文化传播与弘扬</w:t>
            </w:r>
          </w:p>
        </w:tc>
        <w:tc>
          <w:tcPr>
            <w:tcW w:w="1007" w:type="pct"/>
            <w:shd w:val="clear" w:color="auto" w:fill="auto"/>
            <w:noWrap w:val="0"/>
            <w:vAlign w:val="center"/>
          </w:tcPr>
          <w:p w14:paraId="034FC8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1040" w:type="pct"/>
            <w:shd w:val="clear" w:color="auto" w:fill="auto"/>
            <w:noWrap w:val="0"/>
            <w:vAlign w:val="center"/>
          </w:tcPr>
          <w:p w14:paraId="73910E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622" w:type="pct"/>
            <w:noWrap w:val="0"/>
            <w:vAlign w:val="center"/>
          </w:tcPr>
          <w:p w14:paraId="700D61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2B5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60569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D7E48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48ABCA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937" w:type="pct"/>
            <w:noWrap w:val="0"/>
            <w:vAlign w:val="center"/>
          </w:tcPr>
          <w:p w14:paraId="7913C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1007" w:type="pct"/>
            <w:shd w:val="clear" w:color="auto" w:fill="auto"/>
            <w:noWrap/>
            <w:vAlign w:val="center"/>
          </w:tcPr>
          <w:p w14:paraId="35405E0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1040" w:type="pct"/>
            <w:shd w:val="clear" w:color="auto" w:fill="auto"/>
            <w:noWrap/>
            <w:vAlign w:val="center"/>
          </w:tcPr>
          <w:p w14:paraId="3933ED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22" w:type="pct"/>
            <w:noWrap/>
            <w:vAlign w:val="center"/>
          </w:tcPr>
          <w:p w14:paraId="71970C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20F1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01" w:type="pct"/>
            <w:vMerge w:val="continue"/>
            <w:noWrap w:val="0"/>
            <w:vAlign w:val="center"/>
          </w:tcPr>
          <w:p w14:paraId="6A7A8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0B7980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13662A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937" w:type="pct"/>
            <w:shd w:val="clear" w:color="auto" w:fill="auto"/>
            <w:noWrap w:val="0"/>
            <w:vAlign w:val="center"/>
          </w:tcPr>
          <w:p w14:paraId="0B5B5A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文物和文化遗产保护力度</w:t>
            </w:r>
          </w:p>
        </w:tc>
        <w:tc>
          <w:tcPr>
            <w:tcW w:w="1007" w:type="pct"/>
            <w:shd w:val="clear" w:color="auto" w:fill="auto"/>
            <w:noWrap w:val="0"/>
            <w:vAlign w:val="center"/>
          </w:tcPr>
          <w:p w14:paraId="0F96EA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1040" w:type="pct"/>
            <w:shd w:val="clear" w:color="auto" w:fill="auto"/>
            <w:noWrap w:val="0"/>
            <w:vAlign w:val="center"/>
          </w:tcPr>
          <w:p w14:paraId="57FCE46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22" w:type="pct"/>
            <w:noWrap w:val="0"/>
            <w:vAlign w:val="center"/>
          </w:tcPr>
          <w:p w14:paraId="4E417E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16C54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01" w:type="pct"/>
            <w:vMerge w:val="continue"/>
            <w:noWrap w:val="0"/>
            <w:vAlign w:val="center"/>
          </w:tcPr>
          <w:p w14:paraId="107716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5329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253B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1DA205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w:t>
            </w:r>
          </w:p>
          <w:p w14:paraId="325AD0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体系</w:t>
            </w:r>
          </w:p>
        </w:tc>
        <w:tc>
          <w:tcPr>
            <w:tcW w:w="1007" w:type="pct"/>
            <w:shd w:val="clear" w:color="auto" w:fill="auto"/>
            <w:noWrap w:val="0"/>
            <w:vAlign w:val="center"/>
          </w:tcPr>
          <w:p w14:paraId="6AFCED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1040" w:type="pct"/>
            <w:shd w:val="clear" w:color="auto" w:fill="auto"/>
            <w:noWrap w:val="0"/>
            <w:vAlign w:val="center"/>
          </w:tcPr>
          <w:p w14:paraId="7EA7862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622" w:type="pct"/>
            <w:noWrap w:val="0"/>
            <w:vAlign w:val="center"/>
          </w:tcPr>
          <w:p w14:paraId="6BB17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23D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5" w:hRule="atLeast"/>
          <w:jc w:val="center"/>
        </w:trPr>
        <w:tc>
          <w:tcPr>
            <w:tcW w:w="501" w:type="pct"/>
            <w:vMerge w:val="continue"/>
            <w:noWrap w:val="0"/>
            <w:vAlign w:val="center"/>
          </w:tcPr>
          <w:p w14:paraId="73D010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1F960B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488" w:type="pct"/>
            <w:vMerge w:val="restart"/>
            <w:noWrap w:val="0"/>
            <w:vAlign w:val="center"/>
          </w:tcPr>
          <w:p w14:paraId="55402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937" w:type="pct"/>
            <w:shd w:val="clear" w:color="auto" w:fill="auto"/>
            <w:noWrap w:val="0"/>
            <w:vAlign w:val="center"/>
          </w:tcPr>
          <w:p w14:paraId="2AC8EA8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1007" w:type="pct"/>
            <w:shd w:val="clear" w:color="auto" w:fill="auto"/>
            <w:noWrap w:val="0"/>
            <w:vAlign w:val="center"/>
          </w:tcPr>
          <w:p w14:paraId="4626F6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1997" w:type="dxa"/>
            <w:noWrap w:val="0"/>
            <w:vAlign w:val="center"/>
          </w:tcPr>
          <w:p w14:paraId="73FFA7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90.34%</w:t>
            </w:r>
          </w:p>
        </w:tc>
        <w:tc>
          <w:tcPr>
            <w:tcW w:w="622" w:type="pct"/>
            <w:noWrap w:val="0"/>
            <w:vAlign w:val="center"/>
          </w:tcPr>
          <w:p w14:paraId="28D03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DA9C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01" w:type="pct"/>
            <w:vMerge w:val="continue"/>
            <w:noWrap w:val="0"/>
            <w:vAlign w:val="center"/>
          </w:tcPr>
          <w:p w14:paraId="752EAA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47581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0D5A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17427E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1007" w:type="pct"/>
            <w:shd w:val="clear" w:color="auto" w:fill="auto"/>
            <w:noWrap w:val="0"/>
            <w:vAlign w:val="center"/>
          </w:tcPr>
          <w:p w14:paraId="4DF496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cs="Times New Roman"/>
                <w:i w:val="0"/>
                <w:iCs w:val="0"/>
                <w:color w:val="auto"/>
                <w:kern w:val="0"/>
                <w:sz w:val="21"/>
                <w:szCs w:val="21"/>
                <w:highlight w:val="none"/>
                <w:u w:val="none"/>
                <w:lang w:val="en-US" w:eastAsia="zh-CN" w:bidi="ar"/>
              </w:rPr>
              <w:t>%</w:t>
            </w:r>
          </w:p>
        </w:tc>
        <w:tc>
          <w:tcPr>
            <w:tcW w:w="1997" w:type="dxa"/>
            <w:noWrap w:val="0"/>
            <w:vAlign w:val="center"/>
          </w:tcPr>
          <w:p w14:paraId="5C6883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95.6%</w:t>
            </w:r>
          </w:p>
        </w:tc>
        <w:tc>
          <w:tcPr>
            <w:tcW w:w="622" w:type="pct"/>
            <w:noWrap w:val="0"/>
            <w:vAlign w:val="center"/>
          </w:tcPr>
          <w:p w14:paraId="2B22C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B1A6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01" w:type="pct"/>
            <w:vMerge w:val="continue"/>
            <w:noWrap w:val="0"/>
            <w:vAlign w:val="center"/>
          </w:tcPr>
          <w:p w14:paraId="1BBC72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10A5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BE26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505565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w:t>
            </w:r>
          </w:p>
          <w:p w14:paraId="56D82E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意度</w:t>
            </w:r>
          </w:p>
        </w:tc>
        <w:tc>
          <w:tcPr>
            <w:tcW w:w="1007" w:type="pct"/>
            <w:shd w:val="clear" w:color="auto" w:fill="auto"/>
            <w:noWrap w:val="0"/>
            <w:vAlign w:val="center"/>
          </w:tcPr>
          <w:p w14:paraId="55ADF2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1997" w:type="dxa"/>
            <w:noWrap w:val="0"/>
            <w:vAlign w:val="center"/>
          </w:tcPr>
          <w:p w14:paraId="4A11B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92.8%</w:t>
            </w:r>
          </w:p>
        </w:tc>
        <w:tc>
          <w:tcPr>
            <w:tcW w:w="622" w:type="pct"/>
            <w:noWrap w:val="0"/>
            <w:vAlign w:val="center"/>
          </w:tcPr>
          <w:p w14:paraId="63F3B8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bl>
    <w:p w14:paraId="3B3FBB7E">
      <w:pPr>
        <w:ind w:left="0" w:leftChars="0" w:firstLine="0" w:firstLineChars="0"/>
        <w:rPr>
          <w:rStyle w:val="29"/>
          <w:rFonts w:hint="default" w:ascii="Times New Roman" w:hAnsi="Times New Roman" w:eastAsia="方正小标宋_GBK" w:cs="Times New Roman"/>
          <w:color w:val="auto"/>
          <w:highlight w:val="none"/>
        </w:rPr>
      </w:pPr>
      <w:r>
        <w:rPr>
          <w:rStyle w:val="29"/>
          <w:rFonts w:hint="default" w:ascii="Times New Roman" w:hAnsi="Times New Roman" w:eastAsia="方正小标宋_GBK" w:cs="Times New Roman"/>
          <w:color w:val="auto"/>
          <w:highlight w:val="none"/>
        </w:rPr>
        <w:br w:type="page"/>
      </w:r>
    </w:p>
    <w:p w14:paraId="550777A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7" w:name="_Toc20204"/>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187"/>
    </w:p>
    <w:p w14:paraId="2F3EA682">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4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3"/>
        <w:gridCol w:w="995"/>
        <w:gridCol w:w="1231"/>
        <w:gridCol w:w="1777"/>
        <w:gridCol w:w="1779"/>
        <w:gridCol w:w="1899"/>
        <w:gridCol w:w="1298"/>
      </w:tblGrid>
      <w:tr w14:paraId="75387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noWrap/>
            <w:vAlign w:val="center"/>
          </w:tcPr>
          <w:p w14:paraId="1C569D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092" w:type="pct"/>
            <w:gridSpan w:val="2"/>
            <w:noWrap w:val="0"/>
            <w:vAlign w:val="center"/>
          </w:tcPr>
          <w:p w14:paraId="3264E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文旅活动和行业管理</w:t>
            </w:r>
          </w:p>
        </w:tc>
        <w:tc>
          <w:tcPr>
            <w:tcW w:w="871" w:type="pct"/>
            <w:noWrap/>
            <w:vAlign w:val="center"/>
          </w:tcPr>
          <w:p w14:paraId="1D8C8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441" w:type="pct"/>
            <w:gridSpan w:val="3"/>
            <w:noWrap w:val="0"/>
            <w:vAlign w:val="center"/>
          </w:tcPr>
          <w:p w14:paraId="2109FF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782A8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noWrap/>
            <w:vAlign w:val="center"/>
          </w:tcPr>
          <w:p w14:paraId="023E9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404" w:type="pct"/>
            <w:gridSpan w:val="6"/>
            <w:noWrap/>
            <w:vAlign w:val="center"/>
          </w:tcPr>
          <w:p w14:paraId="38826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3D0A6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restart"/>
            <w:noWrap/>
            <w:vAlign w:val="center"/>
          </w:tcPr>
          <w:p w14:paraId="290658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资金拨付情况</w:t>
            </w:r>
          </w:p>
        </w:tc>
        <w:tc>
          <w:tcPr>
            <w:tcW w:w="1092" w:type="pct"/>
            <w:gridSpan w:val="2"/>
            <w:noWrap/>
            <w:vAlign w:val="center"/>
          </w:tcPr>
          <w:p w14:paraId="1538D4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预算数</w:t>
            </w:r>
          </w:p>
        </w:tc>
        <w:tc>
          <w:tcPr>
            <w:tcW w:w="871" w:type="pct"/>
            <w:noWrap/>
            <w:vAlign w:val="center"/>
          </w:tcPr>
          <w:p w14:paraId="7C3223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完成数</w:t>
            </w:r>
          </w:p>
        </w:tc>
        <w:tc>
          <w:tcPr>
            <w:tcW w:w="2441" w:type="pct"/>
            <w:gridSpan w:val="3"/>
            <w:noWrap w:val="0"/>
            <w:vAlign w:val="center"/>
          </w:tcPr>
          <w:p w14:paraId="51B77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执行率</w:t>
            </w:r>
          </w:p>
        </w:tc>
      </w:tr>
      <w:tr w14:paraId="40527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continue"/>
            <w:noWrap/>
            <w:vAlign w:val="center"/>
          </w:tcPr>
          <w:p w14:paraId="6CF743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092" w:type="pct"/>
            <w:gridSpan w:val="2"/>
            <w:noWrap/>
            <w:vAlign w:val="center"/>
          </w:tcPr>
          <w:p w14:paraId="3154CC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7598</w:t>
            </w:r>
          </w:p>
        </w:tc>
        <w:tc>
          <w:tcPr>
            <w:tcW w:w="871" w:type="pct"/>
            <w:noWrap/>
            <w:vAlign w:val="center"/>
          </w:tcPr>
          <w:p w14:paraId="477B87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7598</w:t>
            </w:r>
          </w:p>
        </w:tc>
        <w:tc>
          <w:tcPr>
            <w:tcW w:w="2441" w:type="pct"/>
            <w:gridSpan w:val="3"/>
            <w:noWrap w:val="0"/>
            <w:vAlign w:val="center"/>
          </w:tcPr>
          <w:p w14:paraId="2B3BD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w:t>
            </w:r>
          </w:p>
        </w:tc>
      </w:tr>
      <w:tr w14:paraId="712B3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595" w:type="pct"/>
            <w:noWrap w:val="0"/>
            <w:vAlign w:val="center"/>
          </w:tcPr>
          <w:p w14:paraId="1012F7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404" w:type="pct"/>
            <w:gridSpan w:val="6"/>
            <w:shd w:val="clear" w:color="auto" w:fill="auto"/>
            <w:noWrap w:val="0"/>
            <w:vAlign w:val="center"/>
          </w:tcPr>
          <w:p w14:paraId="687ABA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开展湖南国际文化旅游节、湖南省四季乡村文化旅游节、湖南红色旅游文化节等文旅活动；推动旅游产业持续发展，提升旅游公共服务水平。支持岳阳市、怀化市举办全省旅发大会；开展文旅业务活动</w:t>
            </w:r>
            <w:r>
              <w:rPr>
                <w:rFonts w:hint="eastAsia" w:ascii="Times New Roman" w:hAnsi="Times New Roman" w:eastAsia="仿宋_GB2312" w:cs="Times New Roman"/>
                <w:i w:val="0"/>
                <w:iCs w:val="0"/>
                <w:color w:val="auto"/>
                <w:kern w:val="0"/>
                <w:sz w:val="21"/>
                <w:szCs w:val="21"/>
                <w:highlight w:val="none"/>
                <w:u w:val="none"/>
                <w:lang w:val="en-US" w:eastAsia="zh-CN" w:bidi="ar"/>
              </w:rPr>
              <w:t>14</w:t>
            </w:r>
            <w:r>
              <w:rPr>
                <w:rFonts w:hint="default" w:ascii="Times New Roman" w:hAnsi="Times New Roman" w:eastAsia="仿宋_GB2312" w:cs="Times New Roman"/>
                <w:i w:val="0"/>
                <w:iCs w:val="0"/>
                <w:color w:val="auto"/>
                <w:kern w:val="0"/>
                <w:sz w:val="21"/>
                <w:szCs w:val="21"/>
                <w:highlight w:val="none"/>
                <w:u w:val="none"/>
                <w:lang w:val="en-US" w:eastAsia="zh-CN" w:bidi="ar"/>
              </w:rPr>
              <w:t>场；开展宣传推广活动</w:t>
            </w:r>
            <w:r>
              <w:rPr>
                <w:rFonts w:hint="eastAsia" w:ascii="Times New Roman" w:hAnsi="Times New Roman" w:eastAsia="仿宋_GB2312" w:cs="Times New Roman"/>
                <w:i w:val="0"/>
                <w:iCs w:val="0"/>
                <w:color w:val="auto"/>
                <w:kern w:val="0"/>
                <w:sz w:val="21"/>
                <w:szCs w:val="21"/>
                <w:highlight w:val="none"/>
                <w:u w:val="none"/>
                <w:lang w:val="en-US" w:eastAsia="zh-CN" w:bidi="ar"/>
              </w:rPr>
              <w:t>20</w:t>
            </w:r>
            <w:r>
              <w:rPr>
                <w:rFonts w:hint="default" w:ascii="Times New Roman" w:hAnsi="Times New Roman" w:eastAsia="仿宋_GB2312" w:cs="Times New Roman"/>
                <w:i w:val="0"/>
                <w:iCs w:val="0"/>
                <w:color w:val="auto"/>
                <w:kern w:val="0"/>
                <w:sz w:val="21"/>
                <w:szCs w:val="21"/>
                <w:highlight w:val="none"/>
                <w:u w:val="none"/>
                <w:lang w:val="en-US" w:eastAsia="zh-CN" w:bidi="ar"/>
              </w:rPr>
              <w:t>场，开展重大活动</w:t>
            </w:r>
            <w:r>
              <w:rPr>
                <w:rFonts w:hint="eastAsia"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eastAsia="仿宋_GB2312" w:cs="Times New Roman"/>
                <w:i w:val="0"/>
                <w:iCs w:val="0"/>
                <w:color w:val="auto"/>
                <w:kern w:val="0"/>
                <w:sz w:val="21"/>
                <w:szCs w:val="21"/>
                <w:highlight w:val="none"/>
                <w:u w:val="none"/>
                <w:lang w:val="en-US" w:eastAsia="zh-CN" w:bidi="ar"/>
              </w:rPr>
              <w:t>场。</w:t>
            </w:r>
          </w:p>
        </w:tc>
      </w:tr>
      <w:tr w14:paraId="5FEE0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595" w:type="pct"/>
            <w:noWrap/>
            <w:vAlign w:val="center"/>
          </w:tcPr>
          <w:p w14:paraId="2B2758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404" w:type="pct"/>
            <w:gridSpan w:val="6"/>
            <w:noWrap w:val="0"/>
            <w:vAlign w:val="center"/>
          </w:tcPr>
          <w:p w14:paraId="369FA0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成功举办湖南国际文化旅游节、湖南省四季乡村文化旅游节、湖南红色旅游文化节等系列文旅品牌活动，有效扩大了湖湘文旅影响力；旅游产业发展持续向好，旅游公共服务设施不断完善，服务水平稳步提升。全力支持岳阳市、怀化市承办全省旅游发展大会，推动两地文旅基础设施提档升级，带动区域文旅经济快速发展。全年共开展文旅业务活动</w:t>
            </w:r>
            <w:r>
              <w:rPr>
                <w:rFonts w:hint="default" w:cs="Times New Roman"/>
                <w:i w:val="0"/>
                <w:iCs w:val="0"/>
                <w:color w:val="auto"/>
                <w:kern w:val="0"/>
                <w:sz w:val="21"/>
                <w:szCs w:val="21"/>
                <w:highlight w:val="none"/>
                <w:u w:val="none"/>
                <w:lang w:val="en-US" w:eastAsia="zh-CN" w:bidi="ar"/>
              </w:rPr>
              <w:t>36</w:t>
            </w:r>
            <w:r>
              <w:rPr>
                <w:rFonts w:hint="default" w:ascii="Times New Roman" w:hAnsi="Times New Roman" w:eastAsia="仿宋_GB2312" w:cs="Times New Roman"/>
                <w:i w:val="0"/>
                <w:iCs w:val="0"/>
                <w:color w:val="auto"/>
                <w:kern w:val="0"/>
                <w:sz w:val="21"/>
                <w:szCs w:val="21"/>
                <w:highlight w:val="none"/>
                <w:u w:val="none"/>
                <w:lang w:val="en-US" w:eastAsia="zh-CN" w:bidi="ar"/>
              </w:rPr>
              <w:t>场、宣传推广活动</w:t>
            </w:r>
            <w:r>
              <w:rPr>
                <w:rFonts w:hint="default" w:cs="Times New Roman"/>
                <w:i w:val="0"/>
                <w:iCs w:val="0"/>
                <w:color w:val="auto"/>
                <w:kern w:val="0"/>
                <w:sz w:val="21"/>
                <w:szCs w:val="21"/>
                <w:highlight w:val="none"/>
                <w:u w:val="none"/>
                <w:lang w:val="en-US" w:eastAsia="zh-CN" w:bidi="ar"/>
              </w:rPr>
              <w:t>11</w:t>
            </w:r>
            <w:r>
              <w:rPr>
                <w:rFonts w:hint="default" w:ascii="Times New Roman" w:hAnsi="Times New Roman" w:eastAsia="仿宋_GB2312" w:cs="Times New Roman"/>
                <w:i w:val="0"/>
                <w:iCs w:val="0"/>
                <w:color w:val="auto"/>
                <w:kern w:val="0"/>
                <w:sz w:val="21"/>
                <w:szCs w:val="21"/>
                <w:highlight w:val="none"/>
                <w:u w:val="none"/>
                <w:lang w:val="en-US" w:eastAsia="zh-CN" w:bidi="ar"/>
              </w:rPr>
              <w:t>场、重大活动1</w:t>
            </w:r>
            <w:r>
              <w:rPr>
                <w:rFonts w:hint="default" w:cs="Times New Roman"/>
                <w:i w:val="0"/>
                <w:iCs w:val="0"/>
                <w:color w:val="auto"/>
                <w:kern w:val="0"/>
                <w:sz w:val="21"/>
                <w:szCs w:val="21"/>
                <w:highlight w:val="none"/>
                <w:u w:val="none"/>
                <w:lang w:val="en-US" w:eastAsia="zh-CN" w:bidi="ar"/>
              </w:rPr>
              <w:t>2</w:t>
            </w:r>
            <w:r>
              <w:rPr>
                <w:rFonts w:hint="default" w:ascii="Times New Roman" w:hAnsi="Times New Roman" w:eastAsia="仿宋_GB2312" w:cs="Times New Roman"/>
                <w:i w:val="0"/>
                <w:iCs w:val="0"/>
                <w:color w:val="auto"/>
                <w:kern w:val="0"/>
                <w:sz w:val="21"/>
                <w:szCs w:val="21"/>
                <w:highlight w:val="none"/>
                <w:u w:val="none"/>
                <w:lang w:val="en-US" w:eastAsia="zh-CN" w:bidi="ar"/>
              </w:rPr>
              <w:t>场，</w:t>
            </w:r>
            <w:r>
              <w:rPr>
                <w:rFonts w:hint="default" w:cs="Times New Roman"/>
                <w:i w:val="0"/>
                <w:iCs w:val="0"/>
                <w:color w:val="auto"/>
                <w:kern w:val="0"/>
                <w:sz w:val="21"/>
                <w:szCs w:val="21"/>
                <w:highlight w:val="none"/>
                <w:u w:val="none"/>
                <w:lang w:val="en-US" w:eastAsia="zh-CN" w:bidi="ar"/>
              </w:rPr>
              <w:t>除宣传推广活动因指标值设置不精准没有完成外，其他</w:t>
            </w:r>
            <w:r>
              <w:rPr>
                <w:rFonts w:hint="default" w:ascii="Times New Roman" w:hAnsi="Times New Roman" w:eastAsia="仿宋_GB2312" w:cs="Times New Roman"/>
                <w:i w:val="0"/>
                <w:iCs w:val="0"/>
                <w:color w:val="auto"/>
                <w:kern w:val="0"/>
                <w:sz w:val="21"/>
                <w:szCs w:val="21"/>
                <w:highlight w:val="none"/>
                <w:u w:val="none"/>
                <w:lang w:val="en-US" w:eastAsia="zh-CN" w:bidi="ar"/>
              </w:rPr>
              <w:t>预期绩效目标</w:t>
            </w:r>
            <w:r>
              <w:rPr>
                <w:rFonts w:hint="default" w:cs="Times New Roman"/>
                <w:i w:val="0"/>
                <w:iCs w:val="0"/>
                <w:color w:val="auto"/>
                <w:kern w:val="0"/>
                <w:sz w:val="21"/>
                <w:szCs w:val="21"/>
                <w:highlight w:val="none"/>
                <w:u w:val="none"/>
                <w:lang w:val="en-US" w:eastAsia="zh-CN" w:bidi="ar"/>
              </w:rPr>
              <w:t>均达成。</w:t>
            </w:r>
          </w:p>
        </w:tc>
      </w:tr>
      <w:tr w14:paraId="39A7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95" w:type="pct"/>
            <w:vMerge w:val="restart"/>
            <w:noWrap w:val="0"/>
            <w:vAlign w:val="center"/>
          </w:tcPr>
          <w:p w14:paraId="1F36DA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88" w:type="pct"/>
            <w:noWrap/>
            <w:vAlign w:val="center"/>
          </w:tcPr>
          <w:p w14:paraId="1F056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603" w:type="pct"/>
            <w:noWrap/>
            <w:vAlign w:val="center"/>
          </w:tcPr>
          <w:p w14:paraId="346A3C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71" w:type="pct"/>
            <w:noWrap/>
            <w:vAlign w:val="center"/>
          </w:tcPr>
          <w:p w14:paraId="0C5C9A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72" w:type="pct"/>
            <w:noWrap/>
            <w:vAlign w:val="center"/>
          </w:tcPr>
          <w:p w14:paraId="3769BE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931" w:type="pct"/>
            <w:noWrap/>
            <w:vAlign w:val="center"/>
          </w:tcPr>
          <w:p w14:paraId="335DB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36" w:type="pct"/>
            <w:noWrap/>
            <w:vAlign w:val="center"/>
          </w:tcPr>
          <w:p w14:paraId="39864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502CF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95" w:type="pct"/>
            <w:vMerge w:val="continue"/>
            <w:noWrap w:val="0"/>
            <w:vAlign w:val="center"/>
          </w:tcPr>
          <w:p w14:paraId="10010A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6AE9FF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成本指标</w:t>
            </w:r>
          </w:p>
        </w:tc>
        <w:tc>
          <w:tcPr>
            <w:tcW w:w="603" w:type="pct"/>
            <w:vMerge w:val="restart"/>
            <w:noWrap w:val="0"/>
            <w:vAlign w:val="center"/>
          </w:tcPr>
          <w:p w14:paraId="27170D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871" w:type="pct"/>
            <w:shd w:val="clear" w:color="auto" w:fill="auto"/>
            <w:noWrap w:val="0"/>
            <w:vAlign w:val="center"/>
          </w:tcPr>
          <w:p w14:paraId="79B1E2B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strike/>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宣传推广活动</w:t>
            </w:r>
          </w:p>
        </w:tc>
        <w:tc>
          <w:tcPr>
            <w:tcW w:w="872" w:type="pct"/>
            <w:shd w:val="clear" w:color="auto" w:fill="auto"/>
            <w:noWrap w:val="0"/>
            <w:vAlign w:val="center"/>
          </w:tcPr>
          <w:p w14:paraId="6B38696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strike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5万元-100万元（含），9个；100万元（不含）-300万元（含），4个；500万元-100万元，2个</w:t>
            </w:r>
          </w:p>
        </w:tc>
        <w:tc>
          <w:tcPr>
            <w:tcW w:w="931" w:type="pct"/>
            <w:shd w:val="clear" w:color="auto" w:fill="auto"/>
            <w:noWrap w:val="0"/>
            <w:vAlign w:val="center"/>
          </w:tcPr>
          <w:p w14:paraId="3C8E37B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strike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5万元-100万元（含），</w:t>
            </w:r>
            <w:r>
              <w:rPr>
                <w:rFonts w:hint="eastAsia" w:cs="Times New Roman"/>
                <w:i w:val="0"/>
                <w:iCs w:val="0"/>
                <w:color w:val="auto"/>
                <w:kern w:val="0"/>
                <w:sz w:val="21"/>
                <w:szCs w:val="21"/>
                <w:highlight w:val="none"/>
                <w:u w:val="none"/>
                <w:lang w:val="en-US" w:eastAsia="zh-CN" w:bidi="ar"/>
              </w:rPr>
              <w:t>6</w:t>
            </w:r>
            <w:r>
              <w:rPr>
                <w:rFonts w:hint="eastAsia" w:ascii="Times New Roman" w:hAnsi="Times New Roman" w:eastAsia="仿宋_GB2312" w:cs="Times New Roman"/>
                <w:i w:val="0"/>
                <w:iCs w:val="0"/>
                <w:color w:val="auto"/>
                <w:kern w:val="0"/>
                <w:sz w:val="21"/>
                <w:szCs w:val="21"/>
                <w:highlight w:val="none"/>
                <w:u w:val="none"/>
                <w:lang w:val="en-US" w:eastAsia="zh-CN" w:bidi="ar"/>
              </w:rPr>
              <w:t>个；100万元（不含）-300万元（含），</w:t>
            </w:r>
            <w:r>
              <w:rPr>
                <w:rFonts w:hint="eastAsia" w:cs="Times New Roman"/>
                <w:i w:val="0"/>
                <w:iCs w:val="0"/>
                <w:color w:val="auto"/>
                <w:kern w:val="0"/>
                <w:sz w:val="21"/>
                <w:szCs w:val="21"/>
                <w:highlight w:val="none"/>
                <w:u w:val="none"/>
                <w:lang w:val="en-US" w:eastAsia="zh-CN" w:bidi="ar"/>
              </w:rPr>
              <w:t>3</w:t>
            </w:r>
            <w:r>
              <w:rPr>
                <w:rFonts w:hint="eastAsia" w:ascii="Times New Roman" w:hAnsi="Times New Roman" w:eastAsia="仿宋_GB2312" w:cs="Times New Roman"/>
                <w:i w:val="0"/>
                <w:iCs w:val="0"/>
                <w:color w:val="auto"/>
                <w:kern w:val="0"/>
                <w:sz w:val="21"/>
                <w:szCs w:val="21"/>
                <w:highlight w:val="none"/>
                <w:u w:val="none"/>
                <w:lang w:val="en-US" w:eastAsia="zh-CN" w:bidi="ar"/>
              </w:rPr>
              <w:t>个；</w:t>
            </w:r>
            <w:r>
              <w:rPr>
                <w:rFonts w:hint="eastAsia" w:cs="Times New Roman"/>
                <w:i w:val="0"/>
                <w:iCs w:val="0"/>
                <w:color w:val="auto"/>
                <w:kern w:val="0"/>
                <w:sz w:val="21"/>
                <w:szCs w:val="21"/>
                <w:highlight w:val="none"/>
                <w:u w:val="none"/>
                <w:lang w:val="en-US" w:eastAsia="zh-CN" w:bidi="ar"/>
              </w:rPr>
              <w:t>300（含）万元-</w:t>
            </w:r>
            <w:r>
              <w:rPr>
                <w:rFonts w:hint="eastAsia" w:ascii="Times New Roman" w:hAnsi="Times New Roman" w:eastAsia="仿宋_GB2312" w:cs="Times New Roman"/>
                <w:i w:val="0"/>
                <w:iCs w:val="0"/>
                <w:color w:val="auto"/>
                <w:kern w:val="0"/>
                <w:sz w:val="21"/>
                <w:szCs w:val="21"/>
                <w:highlight w:val="none"/>
                <w:u w:val="none"/>
                <w:lang w:val="en-US" w:eastAsia="zh-CN" w:bidi="ar"/>
              </w:rPr>
              <w:t>500万元</w:t>
            </w:r>
            <w:r>
              <w:rPr>
                <w:rFonts w:hint="eastAsia" w:cs="Times New Roman"/>
                <w:i w:val="0"/>
                <w:iCs w:val="0"/>
                <w:color w:val="auto"/>
                <w:kern w:val="0"/>
                <w:sz w:val="21"/>
                <w:szCs w:val="21"/>
                <w:highlight w:val="none"/>
                <w:u w:val="none"/>
                <w:lang w:val="en-US" w:eastAsia="zh-CN" w:bidi="ar"/>
              </w:rPr>
              <w:t>（不含），2个；</w:t>
            </w:r>
            <w:r>
              <w:rPr>
                <w:rFonts w:hint="eastAsia" w:ascii="Times New Roman" w:hAnsi="Times New Roman" w:eastAsia="仿宋_GB2312" w:cs="Times New Roman"/>
                <w:i w:val="0"/>
                <w:iCs w:val="0"/>
                <w:color w:val="auto"/>
                <w:kern w:val="0"/>
                <w:sz w:val="21"/>
                <w:szCs w:val="21"/>
                <w:highlight w:val="none"/>
                <w:u w:val="none"/>
                <w:lang w:val="en-US" w:eastAsia="zh-CN" w:bidi="ar"/>
              </w:rPr>
              <w:t>500万元-100</w:t>
            </w:r>
            <w:r>
              <w:rPr>
                <w:rFonts w:hint="eastAsia" w:cs="Times New Roman"/>
                <w:i w:val="0"/>
                <w:iCs w:val="0"/>
                <w:color w:val="auto"/>
                <w:kern w:val="0"/>
                <w:sz w:val="21"/>
                <w:szCs w:val="21"/>
                <w:highlight w:val="none"/>
                <w:u w:val="none"/>
                <w:lang w:val="en-US" w:eastAsia="zh-CN" w:bidi="ar"/>
              </w:rPr>
              <w:t>0</w:t>
            </w:r>
            <w:r>
              <w:rPr>
                <w:rFonts w:hint="eastAsia" w:ascii="Times New Roman" w:hAnsi="Times New Roman" w:eastAsia="仿宋_GB2312" w:cs="Times New Roman"/>
                <w:i w:val="0"/>
                <w:iCs w:val="0"/>
                <w:color w:val="auto"/>
                <w:kern w:val="0"/>
                <w:sz w:val="21"/>
                <w:szCs w:val="21"/>
                <w:highlight w:val="none"/>
                <w:u w:val="none"/>
                <w:lang w:val="en-US" w:eastAsia="zh-CN" w:bidi="ar"/>
              </w:rPr>
              <w:t>万元，</w:t>
            </w:r>
            <w:r>
              <w:rPr>
                <w:rFonts w:hint="eastAsia" w:cs="Times New Roman"/>
                <w:i w:val="0"/>
                <w:iCs w:val="0"/>
                <w:color w:val="auto"/>
                <w:kern w:val="0"/>
                <w:sz w:val="21"/>
                <w:szCs w:val="21"/>
                <w:highlight w:val="none"/>
                <w:u w:val="none"/>
                <w:lang w:val="en-US" w:eastAsia="zh-CN" w:bidi="ar"/>
              </w:rPr>
              <w:t>1</w:t>
            </w:r>
            <w:r>
              <w:rPr>
                <w:rFonts w:hint="eastAsia" w:ascii="Times New Roman" w:hAnsi="Times New Roman" w:eastAsia="仿宋_GB2312" w:cs="Times New Roman"/>
                <w:i w:val="0"/>
                <w:iCs w:val="0"/>
                <w:color w:val="auto"/>
                <w:kern w:val="0"/>
                <w:sz w:val="21"/>
                <w:szCs w:val="21"/>
                <w:highlight w:val="none"/>
                <w:u w:val="none"/>
                <w:lang w:val="en-US" w:eastAsia="zh-CN" w:bidi="ar"/>
              </w:rPr>
              <w:t>个</w:t>
            </w:r>
          </w:p>
        </w:tc>
        <w:tc>
          <w:tcPr>
            <w:tcW w:w="636" w:type="pct"/>
            <w:noWrap w:val="0"/>
            <w:vAlign w:val="center"/>
          </w:tcPr>
          <w:p w14:paraId="4C7039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11E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7D0D7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2D45B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5D2E4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52D3D8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w:t>
            </w:r>
          </w:p>
        </w:tc>
        <w:tc>
          <w:tcPr>
            <w:tcW w:w="872" w:type="pct"/>
            <w:shd w:val="clear" w:color="auto" w:fill="auto"/>
            <w:noWrap w:val="0"/>
            <w:vAlign w:val="center"/>
          </w:tcPr>
          <w:p w14:paraId="539F819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15万元-50万元，12个；50万元（不含）-100万元，2个15万元-50万元，12个；50万元（不含）-100万元，2个</w:t>
            </w:r>
          </w:p>
        </w:tc>
        <w:tc>
          <w:tcPr>
            <w:tcW w:w="931" w:type="pct"/>
            <w:shd w:val="clear" w:color="auto" w:fill="auto"/>
            <w:noWrap w:val="0"/>
            <w:vAlign w:val="center"/>
          </w:tcPr>
          <w:p w14:paraId="6AFC727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2万元-15万元（不含），2个；</w:t>
            </w:r>
            <w:r>
              <w:rPr>
                <w:rFonts w:hint="eastAsia" w:ascii="Times New Roman" w:hAnsi="Times New Roman" w:eastAsia="仿宋_GB2312" w:cs="Times New Roman"/>
                <w:i w:val="0"/>
                <w:iCs w:val="0"/>
                <w:color w:val="auto"/>
                <w:kern w:val="0"/>
                <w:sz w:val="21"/>
                <w:szCs w:val="21"/>
                <w:highlight w:val="none"/>
                <w:u w:val="none"/>
                <w:lang w:val="en-US" w:eastAsia="zh-CN" w:bidi="ar"/>
              </w:rPr>
              <w:t>15万元-50万元，1</w:t>
            </w:r>
            <w:r>
              <w:rPr>
                <w:rFonts w:hint="eastAsia" w:cs="Times New Roman"/>
                <w:i w:val="0"/>
                <w:iCs w:val="0"/>
                <w:color w:val="auto"/>
                <w:kern w:val="0"/>
                <w:sz w:val="21"/>
                <w:szCs w:val="21"/>
                <w:highlight w:val="none"/>
                <w:u w:val="none"/>
                <w:lang w:val="en-US" w:eastAsia="zh-CN" w:bidi="ar"/>
              </w:rPr>
              <w:t>1</w:t>
            </w:r>
            <w:r>
              <w:rPr>
                <w:rFonts w:hint="eastAsia" w:ascii="Times New Roman" w:hAnsi="Times New Roman" w:eastAsia="仿宋_GB2312" w:cs="Times New Roman"/>
                <w:i w:val="0"/>
                <w:iCs w:val="0"/>
                <w:color w:val="auto"/>
                <w:kern w:val="0"/>
                <w:sz w:val="21"/>
                <w:szCs w:val="21"/>
                <w:highlight w:val="none"/>
                <w:u w:val="none"/>
                <w:lang w:val="en-US" w:eastAsia="zh-CN" w:bidi="ar"/>
              </w:rPr>
              <w:t>个；50万元（不含）-100万元，</w:t>
            </w:r>
            <w:r>
              <w:rPr>
                <w:rFonts w:hint="eastAsia" w:cs="Times New Roman"/>
                <w:i w:val="0"/>
                <w:iCs w:val="0"/>
                <w:color w:val="auto"/>
                <w:kern w:val="0"/>
                <w:sz w:val="21"/>
                <w:szCs w:val="21"/>
                <w:highlight w:val="none"/>
                <w:u w:val="none"/>
                <w:lang w:val="en-US" w:eastAsia="zh-CN" w:bidi="ar"/>
              </w:rPr>
              <w:t>5</w:t>
            </w:r>
            <w:r>
              <w:rPr>
                <w:rFonts w:hint="eastAsia" w:ascii="Times New Roman" w:hAnsi="Times New Roman" w:eastAsia="仿宋_GB2312" w:cs="Times New Roman"/>
                <w:i w:val="0"/>
                <w:iCs w:val="0"/>
                <w:color w:val="auto"/>
                <w:kern w:val="0"/>
                <w:sz w:val="21"/>
                <w:szCs w:val="21"/>
                <w:highlight w:val="none"/>
                <w:u w:val="none"/>
                <w:lang w:val="en-US" w:eastAsia="zh-CN" w:bidi="ar"/>
              </w:rPr>
              <w:t>个</w:t>
            </w:r>
            <w:r>
              <w:rPr>
                <w:rFonts w:hint="eastAsia" w:cs="Times New Roman"/>
                <w:i w:val="0"/>
                <w:iCs w:val="0"/>
                <w:color w:val="auto"/>
                <w:kern w:val="0"/>
                <w:sz w:val="21"/>
                <w:szCs w:val="21"/>
                <w:highlight w:val="none"/>
                <w:u w:val="none"/>
                <w:lang w:val="en-US" w:eastAsia="zh-CN" w:bidi="ar"/>
              </w:rPr>
              <w:t>；100万元（不含）-200万元，6个；300万元，1个，500万元1个</w:t>
            </w:r>
          </w:p>
        </w:tc>
        <w:tc>
          <w:tcPr>
            <w:tcW w:w="636" w:type="pct"/>
            <w:noWrap w:val="0"/>
            <w:vAlign w:val="center"/>
          </w:tcPr>
          <w:p w14:paraId="78B3E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指标值设置不精准</w:t>
            </w:r>
          </w:p>
        </w:tc>
      </w:tr>
      <w:tr w14:paraId="5BCB1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738D92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59B7E2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35121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50EE8E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第五届全国红色故事讲解员大赛</w:t>
            </w:r>
          </w:p>
        </w:tc>
        <w:tc>
          <w:tcPr>
            <w:tcW w:w="872" w:type="pct"/>
            <w:shd w:val="clear" w:color="auto" w:fill="auto"/>
            <w:noWrap w:val="0"/>
            <w:vAlign w:val="center"/>
          </w:tcPr>
          <w:p w14:paraId="04C1650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931" w:type="pct"/>
            <w:noWrap w:val="0"/>
            <w:vAlign w:val="center"/>
          </w:tcPr>
          <w:p w14:paraId="71F158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100万元</w:t>
            </w:r>
          </w:p>
        </w:tc>
        <w:tc>
          <w:tcPr>
            <w:tcW w:w="636" w:type="pct"/>
            <w:noWrap w:val="0"/>
            <w:vAlign w:val="center"/>
          </w:tcPr>
          <w:p w14:paraId="0A692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7494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0253BE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EE142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201F4C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C2F59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湖南戏曲春晚</w:t>
            </w:r>
          </w:p>
        </w:tc>
        <w:tc>
          <w:tcPr>
            <w:tcW w:w="872" w:type="pct"/>
            <w:shd w:val="clear" w:color="auto" w:fill="auto"/>
            <w:noWrap w:val="0"/>
            <w:vAlign w:val="center"/>
          </w:tcPr>
          <w:p w14:paraId="68E4D9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≤600</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931" w:type="pct"/>
            <w:noWrap w:val="0"/>
            <w:vAlign w:val="center"/>
          </w:tcPr>
          <w:p w14:paraId="47E13D5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500万元</w:t>
            </w:r>
          </w:p>
        </w:tc>
        <w:tc>
          <w:tcPr>
            <w:tcW w:w="636" w:type="pct"/>
            <w:noWrap w:val="0"/>
            <w:vAlign w:val="center"/>
          </w:tcPr>
          <w:p w14:paraId="399FE8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CE1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720E96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D4B24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4E1B69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3268C16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“湘当有味的马王堆”美食文化推广活动</w:t>
            </w:r>
          </w:p>
        </w:tc>
        <w:tc>
          <w:tcPr>
            <w:tcW w:w="872" w:type="pct"/>
            <w:shd w:val="clear" w:color="auto" w:fill="auto"/>
            <w:noWrap w:val="0"/>
            <w:vAlign w:val="center"/>
          </w:tcPr>
          <w:p w14:paraId="18C5AAB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300</w:t>
            </w:r>
            <w:r>
              <w:rPr>
                <w:rFonts w:hint="eastAsia" w:ascii="Times New Roman" w:hAnsi="Times New Roman" w:cs="Times New Roman"/>
                <w:i w:val="0"/>
                <w:iCs w:val="0"/>
                <w:color w:val="auto"/>
                <w:kern w:val="0"/>
                <w:sz w:val="21"/>
                <w:szCs w:val="21"/>
                <w:highlight w:val="none"/>
                <w:u w:val="none"/>
                <w:lang w:val="en-US" w:eastAsia="zh-CN" w:bidi="ar"/>
              </w:rPr>
              <w:t>万元</w:t>
            </w:r>
          </w:p>
        </w:tc>
        <w:tc>
          <w:tcPr>
            <w:tcW w:w="931" w:type="pct"/>
            <w:noWrap w:val="0"/>
            <w:vAlign w:val="center"/>
          </w:tcPr>
          <w:p w14:paraId="6BF037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300万元</w:t>
            </w:r>
          </w:p>
        </w:tc>
        <w:tc>
          <w:tcPr>
            <w:tcW w:w="636" w:type="pct"/>
            <w:noWrap w:val="0"/>
            <w:vAlign w:val="center"/>
          </w:tcPr>
          <w:p w14:paraId="71328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CD0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2E85F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25675F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183E25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871" w:type="pct"/>
            <w:shd w:val="clear" w:color="auto" w:fill="auto"/>
            <w:noWrap w:val="0"/>
            <w:vAlign w:val="center"/>
          </w:tcPr>
          <w:p w14:paraId="27CADA6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872" w:type="pct"/>
            <w:noWrap w:val="0"/>
            <w:vAlign w:val="center"/>
          </w:tcPr>
          <w:p w14:paraId="32D9F4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931" w:type="pct"/>
            <w:noWrap w:val="0"/>
            <w:vAlign w:val="center"/>
          </w:tcPr>
          <w:p w14:paraId="46A644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0次</w:t>
            </w:r>
          </w:p>
        </w:tc>
        <w:tc>
          <w:tcPr>
            <w:tcW w:w="636" w:type="pct"/>
            <w:noWrap w:val="0"/>
            <w:vAlign w:val="center"/>
          </w:tcPr>
          <w:p w14:paraId="0B7684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B227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95" w:type="pct"/>
            <w:vMerge w:val="continue"/>
            <w:noWrap w:val="0"/>
            <w:vAlign w:val="center"/>
          </w:tcPr>
          <w:p w14:paraId="706D8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488184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77351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71" w:type="pct"/>
            <w:shd w:val="clear" w:color="auto" w:fill="auto"/>
            <w:noWrap w:val="0"/>
            <w:vAlign w:val="center"/>
          </w:tcPr>
          <w:p w14:paraId="4544221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旅游资源普查外业调查造成生态环境重大破坏</w:t>
            </w:r>
          </w:p>
        </w:tc>
        <w:tc>
          <w:tcPr>
            <w:tcW w:w="872" w:type="pct"/>
            <w:shd w:val="clear" w:color="auto" w:fill="auto"/>
            <w:noWrap w:val="0"/>
            <w:vAlign w:val="center"/>
          </w:tcPr>
          <w:p w14:paraId="57344E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931" w:type="pct"/>
            <w:shd w:val="clear" w:color="auto" w:fill="auto"/>
            <w:noWrap w:val="0"/>
            <w:vAlign w:val="center"/>
          </w:tcPr>
          <w:p w14:paraId="2F0FA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0次</w:t>
            </w:r>
          </w:p>
        </w:tc>
        <w:tc>
          <w:tcPr>
            <w:tcW w:w="636" w:type="pct"/>
            <w:noWrap w:val="0"/>
            <w:vAlign w:val="center"/>
          </w:tcPr>
          <w:p w14:paraId="75614E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436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95" w:type="pct"/>
            <w:vMerge w:val="continue"/>
            <w:noWrap w:val="0"/>
            <w:vAlign w:val="center"/>
          </w:tcPr>
          <w:p w14:paraId="69BE58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59575C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603" w:type="pct"/>
            <w:vMerge w:val="restart"/>
            <w:noWrap/>
            <w:vAlign w:val="center"/>
          </w:tcPr>
          <w:p w14:paraId="0B1208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71" w:type="pct"/>
            <w:shd w:val="clear" w:color="auto" w:fill="auto"/>
            <w:noWrap w:val="0"/>
            <w:vAlign w:val="center"/>
          </w:tcPr>
          <w:p w14:paraId="6AB183B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宣传推广项目</w:t>
            </w:r>
          </w:p>
        </w:tc>
        <w:tc>
          <w:tcPr>
            <w:tcW w:w="872" w:type="pct"/>
            <w:shd w:val="clear" w:color="auto" w:fill="auto"/>
            <w:noWrap w:val="0"/>
            <w:vAlign w:val="center"/>
          </w:tcPr>
          <w:p w14:paraId="258F27A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20</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931" w:type="pct"/>
            <w:noWrap w:val="0"/>
            <w:vAlign w:val="center"/>
          </w:tcPr>
          <w:p w14:paraId="00A25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11个</w:t>
            </w:r>
          </w:p>
        </w:tc>
        <w:tc>
          <w:tcPr>
            <w:tcW w:w="636" w:type="pct"/>
            <w:noWrap w:val="0"/>
            <w:vAlign w:val="center"/>
          </w:tcPr>
          <w:p w14:paraId="7E0DB2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未完成，指标值设置不精准</w:t>
            </w:r>
          </w:p>
        </w:tc>
      </w:tr>
      <w:tr w14:paraId="20D2E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731A3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442E6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7B6026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264D01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w:t>
            </w:r>
          </w:p>
        </w:tc>
        <w:tc>
          <w:tcPr>
            <w:tcW w:w="872" w:type="pct"/>
            <w:shd w:val="clear" w:color="auto" w:fill="auto"/>
            <w:noWrap/>
            <w:vAlign w:val="center"/>
          </w:tcPr>
          <w:p w14:paraId="28BA1E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r>
              <w:rPr>
                <w:rFonts w:hint="eastAsia" w:ascii="Times New Roman" w:hAnsi="Times New Roman" w:eastAsia="仿宋_GB2312" w:cs="Times New Roman"/>
                <w:i w:val="0"/>
                <w:iCs w:val="0"/>
                <w:color w:val="auto"/>
                <w:kern w:val="0"/>
                <w:sz w:val="21"/>
                <w:szCs w:val="21"/>
                <w:highlight w:val="none"/>
                <w:u w:val="none"/>
                <w:lang w:val="en-US" w:eastAsia="zh-CN" w:bidi="ar"/>
              </w:rPr>
              <w:t>4</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931" w:type="pct"/>
            <w:noWrap/>
            <w:vAlign w:val="center"/>
          </w:tcPr>
          <w:p w14:paraId="05249B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36个</w:t>
            </w:r>
          </w:p>
        </w:tc>
        <w:tc>
          <w:tcPr>
            <w:tcW w:w="636" w:type="pct"/>
            <w:noWrap/>
            <w:vAlign w:val="center"/>
          </w:tcPr>
          <w:p w14:paraId="5B0BB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F70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4C2672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1A9E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682911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346B73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重大活动</w:t>
            </w:r>
          </w:p>
        </w:tc>
        <w:tc>
          <w:tcPr>
            <w:tcW w:w="872" w:type="pct"/>
            <w:shd w:val="clear" w:color="auto" w:fill="auto"/>
            <w:noWrap/>
            <w:vAlign w:val="center"/>
          </w:tcPr>
          <w:p w14:paraId="5EC0E4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12</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931" w:type="pct"/>
            <w:noWrap/>
            <w:vAlign w:val="center"/>
          </w:tcPr>
          <w:p w14:paraId="679E67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12个</w:t>
            </w:r>
          </w:p>
        </w:tc>
        <w:tc>
          <w:tcPr>
            <w:tcW w:w="636" w:type="pct"/>
            <w:noWrap/>
            <w:vAlign w:val="center"/>
          </w:tcPr>
          <w:p w14:paraId="649CC9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243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2D1E9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308CF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ign w:val="center"/>
          </w:tcPr>
          <w:p w14:paraId="325A53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71" w:type="pct"/>
            <w:shd w:val="clear" w:color="auto" w:fill="auto"/>
            <w:noWrap w:val="0"/>
            <w:vAlign w:val="center"/>
          </w:tcPr>
          <w:p w14:paraId="1B59471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宣传旅游信息化平台优质率</w:t>
            </w:r>
          </w:p>
        </w:tc>
        <w:tc>
          <w:tcPr>
            <w:tcW w:w="872" w:type="pct"/>
            <w:shd w:val="clear" w:color="auto" w:fill="auto"/>
            <w:noWrap/>
            <w:vAlign w:val="center"/>
          </w:tcPr>
          <w:p w14:paraId="1796992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≥85</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noWrap/>
            <w:vAlign w:val="center"/>
          </w:tcPr>
          <w:p w14:paraId="7C3916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w:t>
            </w:r>
          </w:p>
        </w:tc>
        <w:tc>
          <w:tcPr>
            <w:tcW w:w="636" w:type="pct"/>
            <w:noWrap/>
            <w:vAlign w:val="center"/>
          </w:tcPr>
          <w:p w14:paraId="386590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55B3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014053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12DA0F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77E080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5C0F6FF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872" w:type="pct"/>
            <w:shd w:val="clear" w:color="auto" w:fill="auto"/>
            <w:noWrap/>
            <w:vAlign w:val="center"/>
          </w:tcPr>
          <w:p w14:paraId="5C1164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noWrap/>
            <w:vAlign w:val="center"/>
          </w:tcPr>
          <w:p w14:paraId="01EE84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36" w:type="pct"/>
            <w:noWrap/>
            <w:vAlign w:val="center"/>
          </w:tcPr>
          <w:p w14:paraId="375AC9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ADA0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95" w:type="pct"/>
            <w:vMerge w:val="continue"/>
            <w:noWrap w:val="0"/>
            <w:vAlign w:val="center"/>
          </w:tcPr>
          <w:p w14:paraId="220D7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1BD6D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23E2EE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3DE2328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文旅宣传推广达标率</w:t>
            </w:r>
          </w:p>
        </w:tc>
        <w:tc>
          <w:tcPr>
            <w:tcW w:w="872" w:type="pct"/>
            <w:shd w:val="clear" w:color="auto" w:fill="auto"/>
            <w:noWrap w:val="0"/>
            <w:vAlign w:val="center"/>
          </w:tcPr>
          <w:p w14:paraId="74DAE0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noWrap w:val="0"/>
            <w:vAlign w:val="center"/>
          </w:tcPr>
          <w:p w14:paraId="33A34BE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636" w:type="pct"/>
            <w:noWrap w:val="0"/>
            <w:vAlign w:val="center"/>
          </w:tcPr>
          <w:p w14:paraId="68730C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1FE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4611A4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028B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ign w:val="center"/>
          </w:tcPr>
          <w:p w14:paraId="5FE78A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871" w:type="pct"/>
            <w:shd w:val="clear" w:color="auto" w:fill="auto"/>
            <w:noWrap w:val="0"/>
            <w:vAlign w:val="center"/>
          </w:tcPr>
          <w:p w14:paraId="6D19F3B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财政资金下拨时间</w:t>
            </w:r>
          </w:p>
        </w:tc>
        <w:tc>
          <w:tcPr>
            <w:tcW w:w="872" w:type="pct"/>
            <w:shd w:val="clear" w:color="auto" w:fill="auto"/>
            <w:noWrap w:val="0"/>
            <w:vAlign w:val="center"/>
          </w:tcPr>
          <w:p w14:paraId="7D5E995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931" w:type="pct"/>
            <w:shd w:val="clear" w:color="auto" w:fill="auto"/>
            <w:noWrap w:val="0"/>
            <w:vAlign w:val="center"/>
          </w:tcPr>
          <w:p w14:paraId="4A4DC34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w:t>
            </w:r>
            <w:r>
              <w:rPr>
                <w:rFonts w:hint="eastAsia" w:cs="Times New Roman"/>
                <w:i w:val="0"/>
                <w:iCs w:val="0"/>
                <w:color w:val="auto"/>
                <w:kern w:val="0"/>
                <w:sz w:val="21"/>
                <w:szCs w:val="21"/>
                <w:highlight w:val="none"/>
                <w:u w:val="none"/>
                <w:lang w:val="en-US" w:eastAsia="zh-CN" w:bidi="ar"/>
              </w:rPr>
              <w:t>8月29日前全部拨付</w:t>
            </w:r>
          </w:p>
        </w:tc>
        <w:tc>
          <w:tcPr>
            <w:tcW w:w="636" w:type="pct"/>
            <w:noWrap w:val="0"/>
            <w:vAlign w:val="center"/>
          </w:tcPr>
          <w:p w14:paraId="0C036C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EA4C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95" w:type="pct"/>
            <w:vMerge w:val="continue"/>
            <w:noWrap w:val="0"/>
            <w:vAlign w:val="center"/>
          </w:tcPr>
          <w:p w14:paraId="7D9919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A1A64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0B71EB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276D01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文旅业务活动开展时间</w:t>
            </w:r>
          </w:p>
        </w:tc>
        <w:tc>
          <w:tcPr>
            <w:tcW w:w="872" w:type="pct"/>
            <w:shd w:val="clear" w:color="auto" w:fill="auto"/>
            <w:noWrap w:val="0"/>
            <w:vAlign w:val="center"/>
          </w:tcPr>
          <w:p w14:paraId="03031D4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931" w:type="pct"/>
            <w:shd w:val="clear" w:color="auto" w:fill="auto"/>
            <w:noWrap w:val="0"/>
            <w:vAlign w:val="center"/>
          </w:tcPr>
          <w:p w14:paraId="6D4CBD7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636" w:type="pct"/>
            <w:noWrap w:val="0"/>
            <w:vAlign w:val="center"/>
          </w:tcPr>
          <w:p w14:paraId="7909A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539C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95" w:type="pct"/>
            <w:vMerge w:val="continue"/>
            <w:noWrap w:val="0"/>
            <w:vAlign w:val="center"/>
          </w:tcPr>
          <w:p w14:paraId="4F0085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7C9D5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603" w:type="pct"/>
            <w:vMerge w:val="restart"/>
            <w:noWrap w:val="0"/>
            <w:vAlign w:val="center"/>
          </w:tcPr>
          <w:p w14:paraId="1EFAE4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经济效益指标</w:t>
            </w:r>
          </w:p>
        </w:tc>
        <w:tc>
          <w:tcPr>
            <w:tcW w:w="871" w:type="pct"/>
            <w:shd w:val="clear" w:color="auto" w:fill="auto"/>
            <w:noWrap w:val="0"/>
            <w:vAlign w:val="center"/>
          </w:tcPr>
          <w:p w14:paraId="28A2096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872" w:type="pct"/>
            <w:shd w:val="clear" w:color="auto" w:fill="auto"/>
            <w:noWrap w:val="0"/>
            <w:vAlign w:val="center"/>
          </w:tcPr>
          <w:p w14:paraId="3D06E6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shd w:val="clear" w:color="auto" w:fill="auto"/>
            <w:noWrap w:val="0"/>
            <w:vAlign w:val="center"/>
          </w:tcPr>
          <w:p w14:paraId="2A5E049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636" w:type="pct"/>
            <w:shd w:val="clear" w:color="auto" w:fill="auto"/>
            <w:noWrap w:val="0"/>
            <w:vAlign w:val="center"/>
          </w:tcPr>
          <w:p w14:paraId="0A4375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F6E6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2F885C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D4975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0A0F92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A1236A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872" w:type="pct"/>
            <w:shd w:val="clear" w:color="auto" w:fill="auto"/>
            <w:noWrap w:val="0"/>
            <w:vAlign w:val="center"/>
          </w:tcPr>
          <w:p w14:paraId="6A4BDE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931" w:type="pct"/>
            <w:shd w:val="clear" w:color="auto" w:fill="auto"/>
            <w:noWrap w:val="0"/>
            <w:vAlign w:val="center"/>
          </w:tcPr>
          <w:p w14:paraId="02AF17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CN"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636" w:type="pct"/>
            <w:shd w:val="clear" w:color="auto" w:fill="auto"/>
            <w:noWrap w:val="0"/>
            <w:vAlign w:val="center"/>
          </w:tcPr>
          <w:p w14:paraId="0B72D6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eastAsia" w:cs="Times New Roman"/>
                <w:i w:val="0"/>
                <w:iCs w:val="0"/>
                <w:color w:val="auto"/>
                <w:kern w:val="0"/>
                <w:sz w:val="21"/>
                <w:szCs w:val="21"/>
                <w:highlight w:val="none"/>
                <w:u w:val="none"/>
                <w:lang w:val="en-US" w:eastAsia="zh-CN" w:bidi="ar"/>
                <w:woUserID w:val="2"/>
              </w:rPr>
              <w:t>完成</w:t>
            </w:r>
          </w:p>
        </w:tc>
      </w:tr>
      <w:tr w14:paraId="7095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95" w:type="pct"/>
            <w:vMerge w:val="continue"/>
            <w:noWrap w:val="0"/>
            <w:vAlign w:val="center"/>
          </w:tcPr>
          <w:p w14:paraId="68A7E8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5BE7C3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4FC3A5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5407BE6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872" w:type="pct"/>
            <w:shd w:val="clear" w:color="auto" w:fill="auto"/>
            <w:noWrap w:val="0"/>
            <w:vAlign w:val="center"/>
          </w:tcPr>
          <w:p w14:paraId="783DC3A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shd w:val="clear" w:color="auto" w:fill="auto"/>
            <w:noWrap w:val="0"/>
            <w:vAlign w:val="center"/>
          </w:tcPr>
          <w:p w14:paraId="66E633C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cyan"/>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36" w:type="pct"/>
            <w:shd w:val="clear" w:color="auto" w:fill="auto"/>
            <w:noWrap w:val="0"/>
            <w:vAlign w:val="center"/>
          </w:tcPr>
          <w:p w14:paraId="34899F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E77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55530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31491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0"/>
            <w:vAlign w:val="center"/>
          </w:tcPr>
          <w:p w14:paraId="189B7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社会效益指标</w:t>
            </w:r>
          </w:p>
        </w:tc>
        <w:tc>
          <w:tcPr>
            <w:tcW w:w="871" w:type="pct"/>
            <w:noWrap w:val="0"/>
            <w:vAlign w:val="center"/>
          </w:tcPr>
          <w:p w14:paraId="61C71A3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推动旅游与其他产业的融合</w:t>
            </w:r>
          </w:p>
        </w:tc>
        <w:tc>
          <w:tcPr>
            <w:tcW w:w="872" w:type="pct"/>
            <w:noWrap/>
            <w:vAlign w:val="center"/>
          </w:tcPr>
          <w:p w14:paraId="226BE3B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931" w:type="pct"/>
            <w:noWrap/>
            <w:vAlign w:val="center"/>
          </w:tcPr>
          <w:p w14:paraId="58DE5C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636" w:type="pct"/>
            <w:noWrap/>
            <w:vAlign w:val="center"/>
          </w:tcPr>
          <w:p w14:paraId="3C2DA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6C7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1F9B93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D0EA9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19A2A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noWrap w:val="0"/>
            <w:vAlign w:val="center"/>
          </w:tcPr>
          <w:p w14:paraId="520521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spacing w:val="-6"/>
                <w:kern w:val="0"/>
                <w:sz w:val="21"/>
                <w:szCs w:val="21"/>
                <w:highlight w:val="none"/>
                <w:u w:val="none"/>
                <w:lang w:val="en-US" w:eastAsia="zh-CN" w:bidi="ar"/>
              </w:rPr>
              <w:t>提升本地的知名度，提高本地居民对本地文化、旅游的热情度</w:t>
            </w:r>
          </w:p>
        </w:tc>
        <w:tc>
          <w:tcPr>
            <w:tcW w:w="872" w:type="pct"/>
            <w:noWrap/>
            <w:vAlign w:val="center"/>
          </w:tcPr>
          <w:p w14:paraId="68AB8B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931" w:type="pct"/>
            <w:noWrap/>
            <w:vAlign w:val="center"/>
          </w:tcPr>
          <w:p w14:paraId="3242E4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636" w:type="pct"/>
            <w:noWrap/>
            <w:vAlign w:val="center"/>
          </w:tcPr>
          <w:p w14:paraId="2897B4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C74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6658C9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5F909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710041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871" w:type="pct"/>
            <w:noWrap w:val="0"/>
            <w:vAlign w:val="center"/>
          </w:tcPr>
          <w:p w14:paraId="6785959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对旅游地生态环境影响</w:t>
            </w:r>
          </w:p>
        </w:tc>
        <w:tc>
          <w:tcPr>
            <w:tcW w:w="872" w:type="pct"/>
            <w:noWrap/>
            <w:vAlign w:val="center"/>
          </w:tcPr>
          <w:p w14:paraId="58CC6C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931" w:type="pct"/>
            <w:noWrap/>
            <w:vAlign w:val="center"/>
          </w:tcPr>
          <w:p w14:paraId="4DE6F8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36" w:type="pct"/>
            <w:noWrap/>
            <w:vAlign w:val="center"/>
          </w:tcPr>
          <w:p w14:paraId="173CC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678E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95" w:type="pct"/>
            <w:vMerge w:val="continue"/>
            <w:noWrap w:val="0"/>
            <w:vAlign w:val="center"/>
          </w:tcPr>
          <w:p w14:paraId="76E940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36477D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0"/>
            <w:vAlign w:val="center"/>
          </w:tcPr>
          <w:p w14:paraId="3052C9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871" w:type="pct"/>
            <w:shd w:val="clear" w:color="auto" w:fill="auto"/>
            <w:noWrap w:val="0"/>
            <w:vAlign w:val="center"/>
          </w:tcPr>
          <w:p w14:paraId="082C32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公共文化服务体系</w:t>
            </w:r>
          </w:p>
        </w:tc>
        <w:tc>
          <w:tcPr>
            <w:tcW w:w="872" w:type="pct"/>
            <w:shd w:val="clear" w:color="auto" w:fill="auto"/>
            <w:noWrap w:val="0"/>
            <w:vAlign w:val="center"/>
          </w:tcPr>
          <w:p w14:paraId="09D264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931" w:type="pct"/>
            <w:shd w:val="clear" w:color="auto" w:fill="auto"/>
            <w:noWrap w:val="0"/>
            <w:vAlign w:val="center"/>
          </w:tcPr>
          <w:p w14:paraId="64F945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636" w:type="pct"/>
            <w:noWrap w:val="0"/>
            <w:vAlign w:val="center"/>
          </w:tcPr>
          <w:p w14:paraId="7BCB02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eastAsia"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FBA4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95" w:type="pct"/>
            <w:vMerge w:val="continue"/>
            <w:noWrap w:val="0"/>
            <w:vAlign w:val="center"/>
          </w:tcPr>
          <w:p w14:paraId="6EB748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65FD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0D1135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7A6B97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旅游业经营主体获得银行及融资担保公司的信贷支持</w:t>
            </w:r>
          </w:p>
        </w:tc>
        <w:tc>
          <w:tcPr>
            <w:tcW w:w="872" w:type="pct"/>
            <w:shd w:val="clear" w:color="auto" w:fill="auto"/>
            <w:noWrap w:val="0"/>
            <w:vAlign w:val="center"/>
          </w:tcPr>
          <w:p w14:paraId="74C73D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931" w:type="pct"/>
            <w:shd w:val="clear" w:color="auto" w:fill="auto"/>
            <w:noWrap w:val="0"/>
            <w:vAlign w:val="center"/>
          </w:tcPr>
          <w:p w14:paraId="2F6AB8F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636" w:type="pct"/>
            <w:noWrap w:val="0"/>
            <w:vAlign w:val="center"/>
          </w:tcPr>
          <w:p w14:paraId="09034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382D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95" w:type="pct"/>
            <w:vMerge w:val="continue"/>
            <w:noWrap w:val="0"/>
            <w:vAlign w:val="center"/>
          </w:tcPr>
          <w:p w14:paraId="3FC02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4C1DB5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603" w:type="pct"/>
            <w:vMerge w:val="restart"/>
            <w:noWrap w:val="0"/>
            <w:vAlign w:val="center"/>
          </w:tcPr>
          <w:p w14:paraId="7A5C7B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71" w:type="pct"/>
            <w:shd w:val="clear" w:color="auto" w:fill="auto"/>
            <w:noWrap w:val="0"/>
            <w:vAlign w:val="center"/>
          </w:tcPr>
          <w:p w14:paraId="3CD2A5F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旅游企业满意度</w:t>
            </w:r>
          </w:p>
        </w:tc>
        <w:tc>
          <w:tcPr>
            <w:tcW w:w="872" w:type="pct"/>
            <w:shd w:val="clear" w:color="auto" w:fill="auto"/>
            <w:noWrap w:val="0"/>
            <w:vAlign w:val="center"/>
          </w:tcPr>
          <w:p w14:paraId="5FB73E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noWrap w:val="0"/>
            <w:vAlign w:val="center"/>
          </w:tcPr>
          <w:p w14:paraId="1D3D09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94.8%</w:t>
            </w:r>
          </w:p>
        </w:tc>
        <w:tc>
          <w:tcPr>
            <w:tcW w:w="636" w:type="pct"/>
            <w:noWrap w:val="0"/>
            <w:vAlign w:val="center"/>
          </w:tcPr>
          <w:p w14:paraId="241017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771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95" w:type="pct"/>
            <w:vMerge w:val="continue"/>
            <w:noWrap w:val="0"/>
            <w:vAlign w:val="center"/>
          </w:tcPr>
          <w:p w14:paraId="65BC5B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0691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2B3695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0D91D3F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72" w:type="pct"/>
            <w:shd w:val="clear" w:color="auto" w:fill="auto"/>
            <w:noWrap w:val="0"/>
            <w:vAlign w:val="center"/>
          </w:tcPr>
          <w:p w14:paraId="42A8A61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cs="Times New Roman"/>
                <w:i w:val="0"/>
                <w:iCs w:val="0"/>
                <w:color w:val="auto"/>
                <w:kern w:val="0"/>
                <w:sz w:val="21"/>
                <w:szCs w:val="21"/>
                <w:highlight w:val="none"/>
                <w:u w:val="none"/>
                <w:lang w:val="en-US" w:eastAsia="zh-CN" w:bidi="ar"/>
              </w:rPr>
              <w:t>%</w:t>
            </w:r>
          </w:p>
        </w:tc>
        <w:tc>
          <w:tcPr>
            <w:tcW w:w="931" w:type="pct"/>
            <w:noWrap w:val="0"/>
            <w:vAlign w:val="center"/>
          </w:tcPr>
          <w:p w14:paraId="43D07A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95.6%</w:t>
            </w:r>
          </w:p>
        </w:tc>
        <w:tc>
          <w:tcPr>
            <w:tcW w:w="636" w:type="pct"/>
            <w:noWrap w:val="0"/>
            <w:vAlign w:val="center"/>
          </w:tcPr>
          <w:p w14:paraId="5746F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bl>
    <w:p w14:paraId="783DD2EE">
      <w:pPr>
        <w:rPr>
          <w:rFonts w:hint="default" w:ascii="Times New Roman" w:hAnsi="Times New Roman" w:cs="Times New Roman"/>
          <w:color w:val="auto"/>
        </w:rPr>
      </w:pPr>
    </w:p>
    <w:p w14:paraId="6726633F">
      <w:pPr>
        <w:rPr>
          <w:rFonts w:hint="default" w:ascii="Times New Roman" w:hAnsi="Times New Roman" w:cs="Times New Roman"/>
          <w:color w:val="auto"/>
        </w:rPr>
      </w:pPr>
    </w:p>
    <w:p w14:paraId="32559F1D">
      <w:pPr>
        <w:rPr>
          <w:rFonts w:hint="default" w:ascii="Times New Roman" w:hAnsi="Times New Roman" w:cs="Times New Roman"/>
          <w:color w:val="auto"/>
        </w:rPr>
      </w:pPr>
    </w:p>
    <w:p w14:paraId="5A53269C">
      <w:pPr>
        <w:rPr>
          <w:rFonts w:hint="default" w:ascii="Times New Roman" w:hAnsi="Times New Roman" w:cs="Times New Roman"/>
          <w:color w:val="auto"/>
        </w:rPr>
      </w:pPr>
    </w:p>
    <w:p w14:paraId="23BC3C6A">
      <w:pPr>
        <w:rPr>
          <w:rFonts w:hint="default" w:ascii="Times New Roman" w:hAnsi="Times New Roman" w:cs="Times New Roman"/>
          <w:color w:val="auto"/>
        </w:rPr>
      </w:pPr>
    </w:p>
    <w:p w14:paraId="45D48609">
      <w:pPr>
        <w:rPr>
          <w:rFonts w:hint="default" w:ascii="Times New Roman" w:hAnsi="Times New Roman" w:cs="Times New Roman"/>
          <w:color w:val="auto"/>
        </w:rPr>
      </w:pPr>
    </w:p>
    <w:p w14:paraId="11DB8FEC">
      <w:pPr>
        <w:rPr>
          <w:rFonts w:hint="default" w:ascii="Times New Roman" w:hAnsi="Times New Roman" w:cs="Times New Roman"/>
          <w:color w:val="auto"/>
        </w:rPr>
      </w:pPr>
    </w:p>
    <w:p w14:paraId="36BF7C5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8" w:name="_Toc14944"/>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188"/>
    </w:p>
    <w:p w14:paraId="1BBDAD2B">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3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957"/>
        <w:gridCol w:w="898"/>
        <w:gridCol w:w="1700"/>
        <w:gridCol w:w="1647"/>
        <w:gridCol w:w="1672"/>
        <w:gridCol w:w="25"/>
        <w:gridCol w:w="1647"/>
        <w:gridCol w:w="25"/>
      </w:tblGrid>
      <w:tr w14:paraId="3CA7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noWrap/>
            <w:vAlign w:val="center"/>
          </w:tcPr>
          <w:p w14:paraId="57817F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935" w:type="pct"/>
            <w:gridSpan w:val="2"/>
            <w:noWrap w:val="0"/>
            <w:vAlign w:val="center"/>
          </w:tcPr>
          <w:p w14:paraId="56CA47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firstLine="0" w:firstLineChars="0"/>
              <w:jc w:val="both"/>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文旅设施维修及设备更新</w:t>
            </w:r>
          </w:p>
        </w:tc>
        <w:tc>
          <w:tcPr>
            <w:tcW w:w="857" w:type="pct"/>
            <w:noWrap/>
            <w:vAlign w:val="center"/>
          </w:tcPr>
          <w:p w14:paraId="7A143B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528" w:type="pct"/>
            <w:gridSpan w:val="5"/>
            <w:noWrap w:val="0"/>
            <w:vAlign w:val="center"/>
          </w:tcPr>
          <w:p w14:paraId="0B63BA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5023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noWrap/>
            <w:vAlign w:val="center"/>
          </w:tcPr>
          <w:p w14:paraId="77A58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321" w:type="pct"/>
            <w:gridSpan w:val="8"/>
            <w:noWrap/>
            <w:vAlign w:val="center"/>
          </w:tcPr>
          <w:p w14:paraId="0167E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4D270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restart"/>
            <w:noWrap/>
            <w:vAlign w:val="center"/>
          </w:tcPr>
          <w:p w14:paraId="257468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资金拨付情况</w:t>
            </w:r>
          </w:p>
        </w:tc>
        <w:tc>
          <w:tcPr>
            <w:tcW w:w="935" w:type="pct"/>
            <w:gridSpan w:val="2"/>
            <w:noWrap/>
            <w:vAlign w:val="center"/>
          </w:tcPr>
          <w:p w14:paraId="008DEB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预算数</w:t>
            </w:r>
          </w:p>
        </w:tc>
        <w:tc>
          <w:tcPr>
            <w:tcW w:w="857" w:type="pct"/>
            <w:noWrap/>
            <w:vAlign w:val="center"/>
          </w:tcPr>
          <w:p w14:paraId="6FCCB3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完成数</w:t>
            </w:r>
          </w:p>
        </w:tc>
        <w:tc>
          <w:tcPr>
            <w:tcW w:w="2528" w:type="pct"/>
            <w:gridSpan w:val="5"/>
            <w:noWrap w:val="0"/>
            <w:vAlign w:val="center"/>
          </w:tcPr>
          <w:p w14:paraId="0918BA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执行率</w:t>
            </w:r>
          </w:p>
        </w:tc>
      </w:tr>
      <w:tr w14:paraId="3F9D9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continue"/>
            <w:noWrap/>
            <w:vAlign w:val="center"/>
          </w:tcPr>
          <w:p w14:paraId="262831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5" w:type="pct"/>
            <w:gridSpan w:val="2"/>
            <w:noWrap/>
            <w:vAlign w:val="center"/>
          </w:tcPr>
          <w:p w14:paraId="33AC8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1510</w:t>
            </w:r>
          </w:p>
        </w:tc>
        <w:tc>
          <w:tcPr>
            <w:tcW w:w="857" w:type="pct"/>
            <w:noWrap/>
            <w:vAlign w:val="center"/>
          </w:tcPr>
          <w:p w14:paraId="15BD2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1510</w:t>
            </w:r>
          </w:p>
        </w:tc>
        <w:tc>
          <w:tcPr>
            <w:tcW w:w="2528" w:type="pct"/>
            <w:gridSpan w:val="5"/>
            <w:noWrap w:val="0"/>
            <w:vAlign w:val="center"/>
          </w:tcPr>
          <w:p w14:paraId="19BB16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100%</w:t>
            </w:r>
          </w:p>
        </w:tc>
      </w:tr>
      <w:tr w14:paraId="4E51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78" w:type="pct"/>
            <w:noWrap w:val="0"/>
            <w:vAlign w:val="center"/>
          </w:tcPr>
          <w:p w14:paraId="6FFD9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21" w:type="pct"/>
            <w:gridSpan w:val="8"/>
            <w:shd w:val="clear" w:color="auto" w:fill="auto"/>
            <w:noWrap w:val="0"/>
            <w:vAlign w:val="center"/>
          </w:tcPr>
          <w:p w14:paraId="31817B0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全省文化场馆设施维修及设备购置项目20个以上，提升文物保护利用能力、提升游客接待能力和服务水平，推动文化和旅游高质量发展。</w:t>
            </w:r>
          </w:p>
        </w:tc>
      </w:tr>
      <w:tr w14:paraId="0863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8" w:type="pct"/>
            <w:noWrap/>
            <w:vAlign w:val="center"/>
          </w:tcPr>
          <w:p w14:paraId="013F76E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321" w:type="pct"/>
            <w:gridSpan w:val="8"/>
            <w:shd w:val="clear" w:color="auto" w:fill="auto"/>
            <w:noWrap w:val="0"/>
            <w:vAlign w:val="center"/>
          </w:tcPr>
          <w:p w14:paraId="1A2DB3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本年度，全省共实施文化场馆设施维修及设备购置项目</w:t>
            </w:r>
            <w:r>
              <w:rPr>
                <w:rFonts w:hint="default" w:cs="Times New Roman"/>
                <w:i w:val="0"/>
                <w:iCs w:val="0"/>
                <w:color w:val="auto"/>
                <w:kern w:val="0"/>
                <w:sz w:val="21"/>
                <w:szCs w:val="21"/>
                <w:highlight w:val="none"/>
                <w:u w:val="none"/>
                <w:lang w:val="en-US" w:eastAsia="zh-CN" w:bidi="ar"/>
              </w:rPr>
              <w:t>29</w:t>
            </w:r>
            <w:r>
              <w:rPr>
                <w:rFonts w:hint="default" w:ascii="Times New Roman" w:hAnsi="Times New Roman" w:eastAsia="仿宋_GB2312" w:cs="Times New Roman"/>
                <w:i w:val="0"/>
                <w:iCs w:val="0"/>
                <w:color w:val="auto"/>
                <w:kern w:val="0"/>
                <w:sz w:val="21"/>
                <w:szCs w:val="21"/>
                <w:highlight w:val="none"/>
                <w:u w:val="none"/>
                <w:lang w:val="en-US" w:eastAsia="zh-CN" w:bidi="ar"/>
              </w:rPr>
              <w:t>个，超额完成</w:t>
            </w:r>
            <w:r>
              <w:rPr>
                <w:rFonts w:hint="default" w:cs="Times New Roman"/>
                <w:i w:val="0"/>
                <w:iCs w:val="0"/>
                <w:color w:val="auto"/>
                <w:kern w:val="0"/>
                <w:sz w:val="21"/>
                <w:szCs w:val="21"/>
                <w:highlight w:val="none"/>
                <w:u w:val="none"/>
                <w:lang w:val="en-US" w:eastAsia="zh-CN" w:bidi="ar"/>
              </w:rPr>
              <w:t>9</w:t>
            </w:r>
            <w:r>
              <w:rPr>
                <w:rFonts w:hint="default" w:ascii="Times New Roman" w:hAnsi="Times New Roman" w:eastAsia="仿宋_GB2312" w:cs="Times New Roman"/>
                <w:i w:val="0"/>
                <w:iCs w:val="0"/>
                <w:color w:val="auto"/>
                <w:kern w:val="0"/>
                <w:sz w:val="21"/>
                <w:szCs w:val="21"/>
                <w:highlight w:val="none"/>
                <w:u w:val="none"/>
                <w:lang w:val="en-US" w:eastAsia="zh-CN" w:bidi="ar"/>
              </w:rPr>
              <w:t>个年度目标任务。通过对博物馆、图书馆、文化馆等公共文化场馆设施的维修改造和设备更新，文物保护利用条件得到显著改善，游客接待能力与公共文化服务水平有效提升，为文化和旅游高质量发展提供了坚实的设施保障。</w:t>
            </w:r>
          </w:p>
        </w:tc>
      </w:tr>
      <w:tr w14:paraId="25CB0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78" w:type="pct"/>
            <w:vMerge w:val="restart"/>
            <w:noWrap w:val="0"/>
            <w:vAlign w:val="center"/>
          </w:tcPr>
          <w:p w14:paraId="4371F3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82" w:type="pct"/>
            <w:noWrap/>
            <w:vAlign w:val="center"/>
          </w:tcPr>
          <w:p w14:paraId="4FF9E8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452" w:type="pct"/>
            <w:noWrap/>
            <w:vAlign w:val="center"/>
          </w:tcPr>
          <w:p w14:paraId="52C13EF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57" w:type="pct"/>
            <w:noWrap/>
            <w:vAlign w:val="center"/>
          </w:tcPr>
          <w:p w14:paraId="05EB72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30" w:type="pct"/>
            <w:noWrap/>
            <w:vAlign w:val="center"/>
          </w:tcPr>
          <w:p w14:paraId="167381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855" w:type="pct"/>
            <w:gridSpan w:val="2"/>
            <w:noWrap/>
            <w:vAlign w:val="center"/>
          </w:tcPr>
          <w:p w14:paraId="70C409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842" w:type="pct"/>
            <w:gridSpan w:val="2"/>
            <w:noWrap/>
            <w:vAlign w:val="center"/>
          </w:tcPr>
          <w:p w14:paraId="276479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6283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5A99E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0"/>
            <w:vAlign w:val="center"/>
          </w:tcPr>
          <w:p w14:paraId="0BAE3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452" w:type="pct"/>
            <w:vMerge w:val="restart"/>
            <w:noWrap w:val="0"/>
            <w:vAlign w:val="center"/>
          </w:tcPr>
          <w:p w14:paraId="62FFD5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857" w:type="pct"/>
            <w:shd w:val="clear" w:color="auto" w:fill="auto"/>
            <w:noWrap w:val="0"/>
            <w:vAlign w:val="center"/>
          </w:tcPr>
          <w:p w14:paraId="17D19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市州文化设施维修改造支持资金</w:t>
            </w:r>
          </w:p>
        </w:tc>
        <w:tc>
          <w:tcPr>
            <w:tcW w:w="830" w:type="pct"/>
            <w:shd w:val="clear" w:color="auto" w:fill="auto"/>
            <w:noWrap w:val="0"/>
            <w:vAlign w:val="center"/>
          </w:tcPr>
          <w:p w14:paraId="22178F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20万元-50万元</w:t>
            </w:r>
            <w:r>
              <w:rPr>
                <w:rFonts w:hint="default" w:ascii="Times New Roman" w:hAnsi="Times New Roman" w:eastAsia="仿宋_GB2312" w:cs="Times New Roman"/>
                <w:i w:val="0"/>
                <w:iCs w:val="0"/>
                <w:color w:val="auto"/>
                <w:kern w:val="0"/>
                <w:sz w:val="21"/>
                <w:szCs w:val="21"/>
                <w:highlight w:val="none"/>
                <w:u w:val="none"/>
                <w:lang w:val="en-US" w:eastAsia="zh-CN" w:bidi="ar"/>
              </w:rPr>
              <w:t>/个</w:t>
            </w:r>
          </w:p>
        </w:tc>
        <w:tc>
          <w:tcPr>
            <w:tcW w:w="842" w:type="pct"/>
            <w:shd w:val="clear" w:color="auto" w:fill="auto"/>
            <w:noWrap w:val="0"/>
            <w:vAlign w:val="center"/>
          </w:tcPr>
          <w:p w14:paraId="0F88CD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20万元-50万元</w:t>
            </w:r>
            <w:r>
              <w:rPr>
                <w:rFonts w:hint="default" w:cs="Times New Roman"/>
                <w:color w:val="auto"/>
                <w:kern w:val="0"/>
                <w:sz w:val="21"/>
                <w:szCs w:val="21"/>
                <w:highlight w:val="none"/>
                <w:u w:val="none"/>
                <w:lang w:val="en-US" w:eastAsia="zh-CN" w:bidi="ar"/>
              </w:rPr>
              <w:t>，21个；200万元，1个</w:t>
            </w:r>
          </w:p>
        </w:tc>
        <w:tc>
          <w:tcPr>
            <w:tcW w:w="842" w:type="pct"/>
            <w:gridSpan w:val="2"/>
            <w:noWrap w:val="0"/>
            <w:vAlign w:val="center"/>
          </w:tcPr>
          <w:p w14:paraId="77F08B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0"/>
              </w:rPr>
            </w:pPr>
            <w:r>
              <w:rPr>
                <w:rFonts w:hint="default" w:cs="Times New Roman"/>
                <w:i w:val="0"/>
                <w:iCs w:val="0"/>
                <w:color w:val="auto"/>
                <w:kern w:val="0"/>
                <w:sz w:val="21"/>
                <w:szCs w:val="21"/>
                <w:highlight w:val="none"/>
                <w:u w:val="none"/>
                <w:lang w:val="en-US" w:eastAsia="zh-CN" w:bidi="ar"/>
                <w:woUserID w:val="0"/>
              </w:rPr>
              <w:t>指标值设置不精准</w:t>
            </w:r>
          </w:p>
        </w:tc>
      </w:tr>
      <w:tr w14:paraId="2872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600B64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14CE51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080068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243847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省直单位文化设施维修改造支持资金</w:t>
            </w:r>
          </w:p>
        </w:tc>
        <w:tc>
          <w:tcPr>
            <w:tcW w:w="830" w:type="pct"/>
            <w:shd w:val="clear" w:color="auto" w:fill="auto"/>
            <w:noWrap w:val="0"/>
            <w:vAlign w:val="center"/>
          </w:tcPr>
          <w:p w14:paraId="1AE31E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120万元以上（含），3个；</w:t>
            </w:r>
            <w:r>
              <w:rPr>
                <w:rFonts w:hint="eastAsia" w:cs="Times New Roman"/>
                <w:color w:val="auto"/>
                <w:sz w:val="20"/>
                <w:szCs w:val="20"/>
                <w:highlight w:val="none"/>
                <w:lang w:val="en-US" w:eastAsia="zh-CN"/>
              </w:rPr>
              <w:t>50万—120万</w:t>
            </w:r>
            <w:r>
              <w:rPr>
                <w:rFonts w:hint="eastAsia" w:ascii="Times New Roman" w:hAnsi="Times New Roman" w:eastAsia="仿宋_GB2312" w:cs="Times New Roman"/>
                <w:color w:val="auto"/>
                <w:sz w:val="20"/>
                <w:szCs w:val="20"/>
                <w:highlight w:val="none"/>
                <w:lang w:val="en-US" w:eastAsia="zh-CN"/>
              </w:rPr>
              <w:t>元（不含），6个</w:t>
            </w:r>
          </w:p>
        </w:tc>
        <w:tc>
          <w:tcPr>
            <w:tcW w:w="842" w:type="pct"/>
            <w:shd w:val="clear" w:color="auto" w:fill="auto"/>
            <w:noWrap w:val="0"/>
            <w:vAlign w:val="center"/>
          </w:tcPr>
          <w:p w14:paraId="29211B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yellow"/>
                <w:u w:val="none"/>
                <w:lang w:val="en-US" w:eastAsia="zh-CN" w:bidi="ar"/>
              </w:rPr>
            </w:pPr>
            <w:r>
              <w:rPr>
                <w:rFonts w:hint="eastAsia" w:ascii="Times New Roman" w:hAnsi="Times New Roman" w:eastAsia="仿宋_GB2312" w:cs="Times New Roman"/>
                <w:color w:val="auto"/>
                <w:sz w:val="20"/>
                <w:szCs w:val="20"/>
                <w:highlight w:val="none"/>
                <w:lang w:val="en-US" w:eastAsia="zh-CN"/>
              </w:rPr>
              <w:t>120万元以上（含），</w:t>
            </w:r>
            <w:r>
              <w:rPr>
                <w:rFonts w:hint="eastAsia" w:cs="Times New Roman"/>
                <w:color w:val="auto"/>
                <w:sz w:val="20"/>
                <w:szCs w:val="20"/>
                <w:highlight w:val="none"/>
                <w:lang w:val="en-US" w:eastAsia="zh-CN"/>
              </w:rPr>
              <w:t>2</w:t>
            </w:r>
            <w:r>
              <w:rPr>
                <w:rFonts w:hint="eastAsia" w:ascii="Times New Roman" w:hAnsi="Times New Roman" w:eastAsia="仿宋_GB2312" w:cs="Times New Roman"/>
                <w:color w:val="auto"/>
                <w:sz w:val="20"/>
                <w:szCs w:val="20"/>
                <w:highlight w:val="none"/>
                <w:lang w:val="en-US" w:eastAsia="zh-CN"/>
              </w:rPr>
              <w:t>个；</w:t>
            </w:r>
            <w:r>
              <w:rPr>
                <w:rFonts w:hint="eastAsia" w:cs="Times New Roman"/>
                <w:color w:val="auto"/>
                <w:sz w:val="20"/>
                <w:szCs w:val="20"/>
                <w:highlight w:val="none"/>
                <w:lang w:val="en-US" w:eastAsia="zh-CN"/>
              </w:rPr>
              <w:t>50万—120万</w:t>
            </w:r>
            <w:r>
              <w:rPr>
                <w:rFonts w:hint="eastAsia" w:ascii="Times New Roman" w:hAnsi="Times New Roman" w:eastAsia="仿宋_GB2312" w:cs="Times New Roman"/>
                <w:color w:val="auto"/>
                <w:sz w:val="20"/>
                <w:szCs w:val="20"/>
                <w:highlight w:val="none"/>
                <w:lang w:val="en-US" w:eastAsia="zh-CN"/>
              </w:rPr>
              <w:t>元（不含），</w:t>
            </w:r>
            <w:r>
              <w:rPr>
                <w:rFonts w:hint="eastAsia" w:cs="Times New Roman"/>
                <w:color w:val="auto"/>
                <w:sz w:val="20"/>
                <w:szCs w:val="20"/>
                <w:highlight w:val="none"/>
                <w:lang w:val="en-US" w:eastAsia="zh-CN"/>
              </w:rPr>
              <w:t>5</w:t>
            </w:r>
            <w:r>
              <w:rPr>
                <w:rFonts w:hint="eastAsia" w:ascii="Times New Roman" w:hAnsi="Times New Roman" w:eastAsia="仿宋_GB2312" w:cs="Times New Roman"/>
                <w:color w:val="auto"/>
                <w:sz w:val="20"/>
                <w:szCs w:val="20"/>
                <w:highlight w:val="none"/>
                <w:lang w:val="en-US" w:eastAsia="zh-CN"/>
              </w:rPr>
              <w:t>个</w:t>
            </w:r>
          </w:p>
        </w:tc>
        <w:tc>
          <w:tcPr>
            <w:tcW w:w="842" w:type="pct"/>
            <w:gridSpan w:val="2"/>
            <w:noWrap w:val="0"/>
            <w:vAlign w:val="center"/>
          </w:tcPr>
          <w:p w14:paraId="52B07B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未完成，目标设定不准确</w:t>
            </w:r>
          </w:p>
        </w:tc>
      </w:tr>
      <w:tr w14:paraId="293C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727" w:hRule="atLeast"/>
          <w:jc w:val="center"/>
        </w:trPr>
        <w:tc>
          <w:tcPr>
            <w:tcW w:w="678" w:type="pct"/>
            <w:vMerge w:val="continue"/>
            <w:noWrap w:val="0"/>
            <w:vAlign w:val="center"/>
          </w:tcPr>
          <w:p w14:paraId="0ACFE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1936FF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noWrap w:val="0"/>
            <w:vAlign w:val="center"/>
          </w:tcPr>
          <w:p w14:paraId="487099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857" w:type="pct"/>
            <w:shd w:val="clear" w:color="auto" w:fill="auto"/>
            <w:noWrap w:val="0"/>
            <w:vAlign w:val="center"/>
          </w:tcPr>
          <w:p w14:paraId="30843E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因违规操作导致的重大安全事故</w:t>
            </w:r>
          </w:p>
        </w:tc>
        <w:tc>
          <w:tcPr>
            <w:tcW w:w="830" w:type="pct"/>
            <w:shd w:val="clear" w:color="auto" w:fill="auto"/>
            <w:noWrap w:val="0"/>
            <w:vAlign w:val="center"/>
          </w:tcPr>
          <w:p w14:paraId="3DE424C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eastAsia" w:ascii="Times New Roman" w:hAnsi="Times New Roman" w:cs="Times New Roman"/>
                <w:i w:val="0"/>
                <w:iCs w:val="0"/>
                <w:color w:val="auto"/>
                <w:kern w:val="0"/>
                <w:sz w:val="21"/>
                <w:szCs w:val="21"/>
                <w:highlight w:val="none"/>
                <w:u w:val="none"/>
                <w:lang w:val="en-US" w:eastAsia="zh-CN" w:bidi="ar"/>
              </w:rPr>
              <w:t>次</w:t>
            </w:r>
          </w:p>
        </w:tc>
        <w:tc>
          <w:tcPr>
            <w:tcW w:w="842" w:type="pct"/>
            <w:noWrap w:val="0"/>
            <w:vAlign w:val="center"/>
          </w:tcPr>
          <w:p w14:paraId="7A5860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0次</w:t>
            </w:r>
          </w:p>
        </w:tc>
        <w:tc>
          <w:tcPr>
            <w:tcW w:w="842" w:type="pct"/>
            <w:gridSpan w:val="2"/>
            <w:noWrap w:val="0"/>
            <w:vAlign w:val="center"/>
          </w:tcPr>
          <w:p w14:paraId="5E30CB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7660C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3E2921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327A9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noWrap w:val="0"/>
            <w:vAlign w:val="center"/>
          </w:tcPr>
          <w:p w14:paraId="4D6F2E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57" w:type="pct"/>
            <w:shd w:val="clear" w:color="auto" w:fill="auto"/>
            <w:noWrap w:val="0"/>
            <w:vAlign w:val="center"/>
          </w:tcPr>
          <w:p w14:paraId="5BA54AA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不占用永久基本农田和生态保护红线的零星民宿用地</w:t>
            </w:r>
          </w:p>
        </w:tc>
        <w:tc>
          <w:tcPr>
            <w:tcW w:w="830" w:type="pct"/>
            <w:shd w:val="clear" w:color="auto" w:fill="auto"/>
            <w:noWrap w:val="0"/>
            <w:vAlign w:val="center"/>
          </w:tcPr>
          <w:p w14:paraId="459722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r>
              <w:rPr>
                <w:rFonts w:hint="eastAsia" w:ascii="Times New Roman" w:hAnsi="Times New Roman" w:cs="Times New Roman"/>
                <w:i w:val="0"/>
                <w:iCs w:val="0"/>
                <w:color w:val="auto"/>
                <w:kern w:val="0"/>
                <w:sz w:val="21"/>
                <w:szCs w:val="21"/>
                <w:highlight w:val="none"/>
                <w:u w:val="none"/>
                <w:lang w:val="en-US" w:eastAsia="zh-CN" w:bidi="ar"/>
              </w:rPr>
              <w:t>平方米</w:t>
            </w:r>
          </w:p>
        </w:tc>
        <w:tc>
          <w:tcPr>
            <w:tcW w:w="842" w:type="pct"/>
            <w:noWrap w:val="0"/>
            <w:vAlign w:val="center"/>
          </w:tcPr>
          <w:p w14:paraId="009497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0</w:t>
            </w:r>
          </w:p>
        </w:tc>
        <w:tc>
          <w:tcPr>
            <w:tcW w:w="842" w:type="pct"/>
            <w:gridSpan w:val="2"/>
            <w:noWrap w:val="0"/>
            <w:vAlign w:val="center"/>
          </w:tcPr>
          <w:p w14:paraId="58AAE2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3C89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7332A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36408B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452" w:type="pct"/>
            <w:vMerge w:val="restart"/>
            <w:noWrap/>
            <w:vAlign w:val="center"/>
          </w:tcPr>
          <w:p w14:paraId="0226C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57" w:type="pct"/>
            <w:shd w:val="clear" w:color="auto" w:fill="auto"/>
            <w:noWrap w:val="0"/>
            <w:vAlign w:val="center"/>
          </w:tcPr>
          <w:p w14:paraId="78DD0B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全省文化场馆设施维修及设备购置</w:t>
            </w:r>
          </w:p>
        </w:tc>
        <w:tc>
          <w:tcPr>
            <w:tcW w:w="830" w:type="pct"/>
            <w:shd w:val="clear" w:color="auto" w:fill="auto"/>
            <w:noWrap w:val="0"/>
            <w:vAlign w:val="center"/>
          </w:tcPr>
          <w:p w14:paraId="015255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w:t>
            </w:r>
            <w:r>
              <w:rPr>
                <w:rFonts w:hint="eastAsia" w:ascii="Times New Roman" w:hAnsi="Times New Roman" w:cs="Times New Roman"/>
                <w:i w:val="0"/>
                <w:iCs w:val="0"/>
                <w:color w:val="auto"/>
                <w:kern w:val="0"/>
                <w:sz w:val="21"/>
                <w:szCs w:val="21"/>
                <w:highlight w:val="none"/>
                <w:u w:val="none"/>
                <w:lang w:val="en-US" w:eastAsia="zh-CN" w:bidi="ar"/>
              </w:rPr>
              <w:t>项</w:t>
            </w:r>
          </w:p>
        </w:tc>
        <w:tc>
          <w:tcPr>
            <w:tcW w:w="842" w:type="pct"/>
            <w:noWrap w:val="0"/>
            <w:vAlign w:val="center"/>
          </w:tcPr>
          <w:p w14:paraId="486A2E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29项</w:t>
            </w:r>
          </w:p>
        </w:tc>
        <w:tc>
          <w:tcPr>
            <w:tcW w:w="842" w:type="pct"/>
            <w:gridSpan w:val="2"/>
            <w:noWrap w:val="0"/>
            <w:vAlign w:val="center"/>
          </w:tcPr>
          <w:p w14:paraId="4C3EFD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0345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2F56D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14107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24D823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ign w:val="center"/>
          </w:tcPr>
          <w:p w14:paraId="0105FC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文旅基础设施提升涉及市州</w:t>
            </w:r>
          </w:p>
        </w:tc>
        <w:tc>
          <w:tcPr>
            <w:tcW w:w="830" w:type="pct"/>
            <w:shd w:val="clear" w:color="auto" w:fill="auto"/>
            <w:noWrap w:val="0"/>
            <w:vAlign w:val="center"/>
          </w:tcPr>
          <w:p w14:paraId="51EBD8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9</w:t>
            </w:r>
            <w:r>
              <w:rPr>
                <w:rFonts w:hint="eastAsia" w:ascii="Times New Roman" w:hAnsi="Times New Roman" w:cs="Times New Roman"/>
                <w:i w:val="0"/>
                <w:iCs w:val="0"/>
                <w:color w:val="auto"/>
                <w:kern w:val="0"/>
                <w:sz w:val="21"/>
                <w:szCs w:val="21"/>
                <w:highlight w:val="none"/>
                <w:u w:val="none"/>
                <w:lang w:val="en-US" w:eastAsia="zh-CN" w:bidi="ar"/>
              </w:rPr>
              <w:t>个市州</w:t>
            </w:r>
          </w:p>
        </w:tc>
        <w:tc>
          <w:tcPr>
            <w:tcW w:w="842" w:type="pct"/>
            <w:noWrap w:val="0"/>
            <w:vAlign w:val="center"/>
          </w:tcPr>
          <w:p w14:paraId="1CCFB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eastAsia" w:cs="Times New Roman"/>
                <w:i w:val="0"/>
                <w:iCs w:val="0"/>
                <w:color w:val="auto"/>
                <w:kern w:val="0"/>
                <w:sz w:val="21"/>
                <w:szCs w:val="21"/>
                <w:highlight w:val="none"/>
                <w:u w:val="none"/>
                <w:lang w:val="en-US" w:eastAsia="zh-CN" w:bidi="ar"/>
                <w:woUserID w:val="1"/>
              </w:rPr>
              <w:t>9个市州</w:t>
            </w:r>
          </w:p>
        </w:tc>
        <w:tc>
          <w:tcPr>
            <w:tcW w:w="842" w:type="pct"/>
            <w:gridSpan w:val="2"/>
            <w:noWrap w:val="0"/>
            <w:vAlign w:val="center"/>
          </w:tcPr>
          <w:p w14:paraId="190B5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7794C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241085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4D427B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ign w:val="center"/>
          </w:tcPr>
          <w:p w14:paraId="6319FC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57" w:type="pct"/>
            <w:shd w:val="clear" w:color="auto" w:fill="auto"/>
            <w:noWrap w:val="0"/>
            <w:vAlign w:val="center"/>
          </w:tcPr>
          <w:p w14:paraId="01A3F0E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项目验收合格率</w:t>
            </w:r>
          </w:p>
        </w:tc>
        <w:tc>
          <w:tcPr>
            <w:tcW w:w="830" w:type="pct"/>
            <w:shd w:val="clear" w:color="auto" w:fill="auto"/>
            <w:noWrap w:val="0"/>
            <w:vAlign w:val="center"/>
          </w:tcPr>
          <w:p w14:paraId="391ED5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noWrap w:val="0"/>
            <w:vAlign w:val="center"/>
          </w:tcPr>
          <w:p w14:paraId="0FF8FB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1ACD83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1"/>
              </w:rPr>
              <w:t>完成</w:t>
            </w:r>
          </w:p>
        </w:tc>
      </w:tr>
      <w:tr w14:paraId="1EE6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23053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597E55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15150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A9A30E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文化设施维修改造项目开工率</w:t>
            </w:r>
          </w:p>
        </w:tc>
        <w:tc>
          <w:tcPr>
            <w:tcW w:w="830" w:type="pct"/>
            <w:shd w:val="clear" w:color="auto" w:fill="auto"/>
            <w:noWrap w:val="0"/>
            <w:vAlign w:val="center"/>
          </w:tcPr>
          <w:p w14:paraId="14F70AD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noWrap w:val="0"/>
            <w:vAlign w:val="center"/>
          </w:tcPr>
          <w:p w14:paraId="19FE2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677D57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1"/>
              </w:rPr>
              <w:t>完成</w:t>
            </w:r>
          </w:p>
        </w:tc>
      </w:tr>
      <w:tr w14:paraId="56794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1DFFE0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770A7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5ADEA4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673AEE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文化设施购置设备合格率</w:t>
            </w:r>
          </w:p>
        </w:tc>
        <w:tc>
          <w:tcPr>
            <w:tcW w:w="830" w:type="pct"/>
            <w:shd w:val="clear" w:color="auto" w:fill="auto"/>
            <w:noWrap w:val="0"/>
            <w:vAlign w:val="center"/>
          </w:tcPr>
          <w:p w14:paraId="6EF79C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noWrap w:val="0"/>
            <w:vAlign w:val="center"/>
          </w:tcPr>
          <w:p w14:paraId="45DBAF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204C7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7E46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78" w:type="pct"/>
            <w:vMerge w:val="continue"/>
            <w:noWrap w:val="0"/>
            <w:vAlign w:val="center"/>
          </w:tcPr>
          <w:p w14:paraId="30D609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66A2EB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ign w:val="center"/>
          </w:tcPr>
          <w:p w14:paraId="35309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857" w:type="pct"/>
            <w:shd w:val="clear" w:color="auto" w:fill="auto"/>
            <w:noWrap w:val="0"/>
            <w:vAlign w:val="center"/>
          </w:tcPr>
          <w:p w14:paraId="50ED97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财政资金下拨时间</w:t>
            </w:r>
          </w:p>
        </w:tc>
        <w:tc>
          <w:tcPr>
            <w:tcW w:w="830" w:type="pct"/>
            <w:shd w:val="clear" w:color="auto" w:fill="auto"/>
            <w:noWrap w:val="0"/>
            <w:vAlign w:val="center"/>
          </w:tcPr>
          <w:p w14:paraId="74E73F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2025年9月底前全部拨付完成</w:t>
            </w:r>
          </w:p>
        </w:tc>
        <w:tc>
          <w:tcPr>
            <w:tcW w:w="1635" w:type="dxa"/>
            <w:gridSpan w:val="2"/>
            <w:shd w:val="clear" w:color="auto" w:fill="auto"/>
            <w:noWrap w:val="0"/>
            <w:vAlign w:val="center"/>
          </w:tcPr>
          <w:p w14:paraId="14F1AD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2025年</w:t>
            </w:r>
            <w:r>
              <w:rPr>
                <w:rFonts w:hint="eastAsia" w:ascii="Times New Roman" w:hAnsi="Times New Roman" w:eastAsia="仿宋_GB2312" w:cs="Times New Roman"/>
                <w:b w:val="0"/>
                <w:bCs w:val="0"/>
                <w:i w:val="0"/>
                <w:iCs w:val="0"/>
                <w:color w:val="auto"/>
                <w:kern w:val="0"/>
                <w:sz w:val="21"/>
                <w:szCs w:val="21"/>
                <w:highlight w:val="none"/>
                <w:u w:val="none"/>
                <w:lang w:val="en-US" w:eastAsia="zh-CN" w:bidi="ar"/>
              </w:rPr>
              <w:t>8月29日前全部拨付</w:t>
            </w:r>
          </w:p>
        </w:tc>
        <w:tc>
          <w:tcPr>
            <w:tcW w:w="842" w:type="pct"/>
            <w:gridSpan w:val="2"/>
            <w:noWrap w:val="0"/>
            <w:vAlign w:val="center"/>
          </w:tcPr>
          <w:p w14:paraId="7185C6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完成</w:t>
            </w:r>
          </w:p>
        </w:tc>
      </w:tr>
      <w:tr w14:paraId="765C4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77A96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5D1580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0F0B3C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016267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项目完成时间</w:t>
            </w:r>
          </w:p>
        </w:tc>
        <w:tc>
          <w:tcPr>
            <w:tcW w:w="830" w:type="pct"/>
            <w:shd w:val="clear" w:color="auto" w:fill="auto"/>
            <w:noWrap w:val="0"/>
            <w:vAlign w:val="center"/>
          </w:tcPr>
          <w:p w14:paraId="59812C0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2025年12月31日前</w:t>
            </w:r>
          </w:p>
        </w:tc>
        <w:tc>
          <w:tcPr>
            <w:tcW w:w="855" w:type="pct"/>
            <w:gridSpan w:val="2"/>
            <w:shd w:val="clear" w:color="auto" w:fill="auto"/>
            <w:noWrap w:val="0"/>
            <w:vAlign w:val="center"/>
          </w:tcPr>
          <w:p w14:paraId="11124E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eastAsia" w:ascii="Times New Roman" w:hAnsi="Times New Roman" w:eastAsia="仿宋_GB2312" w:cs="Times New Roman"/>
                <w:b w:val="0"/>
                <w:bCs w:val="0"/>
                <w:i w:val="0"/>
                <w:iCs w:val="0"/>
                <w:color w:val="auto"/>
                <w:kern w:val="0"/>
                <w:sz w:val="21"/>
                <w:szCs w:val="21"/>
                <w:highlight w:val="none"/>
                <w:u w:val="none"/>
                <w:lang w:val="en-US" w:eastAsia="zh-CN" w:bidi="ar"/>
              </w:rPr>
              <w:t>部分项目延期</w:t>
            </w:r>
          </w:p>
        </w:tc>
        <w:tc>
          <w:tcPr>
            <w:tcW w:w="842" w:type="pct"/>
            <w:gridSpan w:val="2"/>
            <w:noWrap w:val="0"/>
            <w:vAlign w:val="center"/>
          </w:tcPr>
          <w:p w14:paraId="4DDAC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1"/>
              </w:rPr>
              <w:t>部分完成</w:t>
            </w:r>
          </w:p>
        </w:tc>
      </w:tr>
      <w:tr w14:paraId="413FA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pct"/>
            <w:vMerge w:val="continue"/>
            <w:noWrap w:val="0"/>
            <w:vAlign w:val="center"/>
          </w:tcPr>
          <w:p w14:paraId="701E72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0C0317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38312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09131C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项目开工时间</w:t>
            </w:r>
          </w:p>
        </w:tc>
        <w:tc>
          <w:tcPr>
            <w:tcW w:w="830" w:type="pct"/>
            <w:shd w:val="clear" w:color="auto" w:fill="auto"/>
            <w:noWrap w:val="0"/>
            <w:vAlign w:val="center"/>
          </w:tcPr>
          <w:p w14:paraId="79F399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2025年6月30日前开工率达60%</w:t>
            </w:r>
          </w:p>
        </w:tc>
        <w:tc>
          <w:tcPr>
            <w:tcW w:w="855" w:type="pct"/>
            <w:gridSpan w:val="2"/>
            <w:shd w:val="clear" w:color="auto" w:fill="auto"/>
            <w:noWrap w:val="0"/>
            <w:vAlign w:val="center"/>
          </w:tcPr>
          <w:p w14:paraId="636D0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2025年6月30日前开工率达60%</w:t>
            </w:r>
          </w:p>
        </w:tc>
        <w:tc>
          <w:tcPr>
            <w:tcW w:w="842" w:type="pct"/>
            <w:gridSpan w:val="2"/>
            <w:noWrap w:val="0"/>
            <w:vAlign w:val="center"/>
          </w:tcPr>
          <w:p w14:paraId="03C01B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woUserID w:val="1"/>
              </w:rPr>
              <w:t>完成</w:t>
            </w:r>
          </w:p>
        </w:tc>
      </w:tr>
      <w:tr w14:paraId="47FD6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78" w:type="pct"/>
            <w:vMerge w:val="continue"/>
            <w:noWrap w:val="0"/>
            <w:vAlign w:val="center"/>
          </w:tcPr>
          <w:p w14:paraId="167EF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1D91E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4507D0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55104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项目验收时间</w:t>
            </w:r>
          </w:p>
        </w:tc>
        <w:tc>
          <w:tcPr>
            <w:tcW w:w="830" w:type="pct"/>
            <w:shd w:val="clear" w:color="auto" w:fill="auto"/>
            <w:noWrap w:val="0"/>
            <w:vAlign w:val="center"/>
          </w:tcPr>
          <w:p w14:paraId="2BBBD3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2026年6月底前</w:t>
            </w:r>
          </w:p>
        </w:tc>
        <w:tc>
          <w:tcPr>
            <w:tcW w:w="855" w:type="pct"/>
            <w:gridSpan w:val="2"/>
            <w:shd w:val="clear" w:color="auto" w:fill="auto"/>
            <w:noWrap w:val="0"/>
            <w:vAlign w:val="center"/>
          </w:tcPr>
          <w:p w14:paraId="413423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2026年6月底前</w:t>
            </w:r>
          </w:p>
        </w:tc>
        <w:tc>
          <w:tcPr>
            <w:tcW w:w="842" w:type="pct"/>
            <w:gridSpan w:val="2"/>
            <w:noWrap w:val="0"/>
            <w:vAlign w:val="center"/>
          </w:tcPr>
          <w:p w14:paraId="6B1AEA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1"/>
              </w:rPr>
              <w:t>完成</w:t>
            </w:r>
          </w:p>
        </w:tc>
      </w:tr>
      <w:tr w14:paraId="7ED6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78" w:type="pct"/>
            <w:vMerge w:val="continue"/>
            <w:noWrap w:val="0"/>
            <w:vAlign w:val="center"/>
          </w:tcPr>
          <w:p w14:paraId="5A0B37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3CBDC4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452" w:type="pct"/>
            <w:vMerge w:val="restart"/>
            <w:noWrap w:val="0"/>
            <w:vAlign w:val="center"/>
          </w:tcPr>
          <w:p w14:paraId="34CEA8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经济效益指标</w:t>
            </w:r>
          </w:p>
        </w:tc>
        <w:tc>
          <w:tcPr>
            <w:tcW w:w="857" w:type="pct"/>
            <w:shd w:val="clear" w:color="auto" w:fill="auto"/>
            <w:noWrap w:val="0"/>
            <w:vAlign w:val="center"/>
          </w:tcPr>
          <w:p w14:paraId="47FE4A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830" w:type="pct"/>
            <w:shd w:val="clear" w:color="auto" w:fill="auto"/>
            <w:noWrap w:val="0"/>
            <w:vAlign w:val="center"/>
          </w:tcPr>
          <w:p w14:paraId="35A7995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855" w:type="pct"/>
            <w:gridSpan w:val="2"/>
            <w:shd w:val="clear" w:color="auto" w:fill="auto"/>
            <w:noWrap w:val="0"/>
            <w:vAlign w:val="center"/>
          </w:tcPr>
          <w:p w14:paraId="340173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842" w:type="pct"/>
            <w:gridSpan w:val="2"/>
            <w:shd w:val="clear" w:color="auto" w:fill="auto"/>
            <w:noWrap w:val="0"/>
            <w:vAlign w:val="center"/>
          </w:tcPr>
          <w:p w14:paraId="2106B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5817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18685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1BC812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491455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55FB4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830" w:type="pct"/>
            <w:shd w:val="clear" w:color="auto" w:fill="auto"/>
            <w:noWrap w:val="0"/>
            <w:vAlign w:val="center"/>
          </w:tcPr>
          <w:p w14:paraId="2B984B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855" w:type="pct"/>
            <w:gridSpan w:val="2"/>
            <w:shd w:val="clear" w:color="auto" w:fill="auto"/>
            <w:noWrap w:val="0"/>
            <w:vAlign w:val="center"/>
          </w:tcPr>
          <w:p w14:paraId="3A8452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842" w:type="pct"/>
            <w:gridSpan w:val="2"/>
            <w:shd w:val="clear" w:color="auto" w:fill="auto"/>
            <w:noWrap w:val="0"/>
            <w:vAlign w:val="center"/>
          </w:tcPr>
          <w:p w14:paraId="509DA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rPr>
            </w:pPr>
            <w:r>
              <w:rPr>
                <w:rFonts w:hint="eastAsia" w:cs="Times New Roman"/>
                <w:i w:val="0"/>
                <w:iCs w:val="0"/>
                <w:color w:val="auto"/>
                <w:kern w:val="0"/>
                <w:sz w:val="21"/>
                <w:szCs w:val="21"/>
                <w:highlight w:val="none"/>
                <w:u w:val="none"/>
                <w:lang w:val="en-US" w:eastAsia="zh-CN" w:bidi="ar"/>
                <w:woUserID w:val="2"/>
              </w:rPr>
              <w:t>完成</w:t>
            </w:r>
          </w:p>
        </w:tc>
      </w:tr>
      <w:tr w14:paraId="4AD5E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32132A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62A187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25006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43A4E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830" w:type="pct"/>
            <w:shd w:val="clear" w:color="auto" w:fill="auto"/>
            <w:noWrap w:val="0"/>
            <w:vAlign w:val="center"/>
          </w:tcPr>
          <w:p w14:paraId="1DCB1E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855" w:type="pct"/>
            <w:gridSpan w:val="2"/>
            <w:shd w:val="clear" w:color="auto" w:fill="auto"/>
            <w:noWrap w:val="0"/>
            <w:vAlign w:val="center"/>
          </w:tcPr>
          <w:p w14:paraId="7CA679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842" w:type="pct"/>
            <w:gridSpan w:val="2"/>
            <w:shd w:val="clear" w:color="auto" w:fill="auto"/>
            <w:noWrap w:val="0"/>
            <w:vAlign w:val="center"/>
          </w:tcPr>
          <w:p w14:paraId="73ECE4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0F9A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78" w:type="pct"/>
            <w:vMerge w:val="continue"/>
            <w:noWrap w:val="0"/>
            <w:vAlign w:val="center"/>
          </w:tcPr>
          <w:p w14:paraId="31841B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6AF305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0"/>
            <w:vAlign w:val="center"/>
          </w:tcPr>
          <w:p w14:paraId="6545AC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社会效益指标</w:t>
            </w:r>
          </w:p>
        </w:tc>
        <w:tc>
          <w:tcPr>
            <w:tcW w:w="857" w:type="pct"/>
            <w:shd w:val="clear" w:color="auto" w:fill="auto"/>
            <w:noWrap w:val="0"/>
            <w:vAlign w:val="center"/>
          </w:tcPr>
          <w:p w14:paraId="3E198D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文化设施投入使用率</w:t>
            </w:r>
          </w:p>
        </w:tc>
        <w:tc>
          <w:tcPr>
            <w:tcW w:w="830" w:type="pct"/>
            <w:shd w:val="clear" w:color="auto" w:fill="auto"/>
            <w:noWrap w:val="0"/>
            <w:vAlign w:val="center"/>
          </w:tcPr>
          <w:p w14:paraId="00958A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855" w:type="pct"/>
            <w:gridSpan w:val="2"/>
            <w:shd w:val="clear" w:color="auto" w:fill="auto"/>
            <w:noWrap w:val="0"/>
            <w:vAlign w:val="center"/>
          </w:tcPr>
          <w:p w14:paraId="030C2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u w:val="none"/>
                <w:lang w:val="en-US" w:eastAsia="zh-CN" w:bidi="ar"/>
                <w:woUserID w:val="2"/>
              </w:rPr>
              <w:t>100%</w:t>
            </w:r>
          </w:p>
        </w:tc>
        <w:tc>
          <w:tcPr>
            <w:tcW w:w="842" w:type="pct"/>
            <w:gridSpan w:val="2"/>
            <w:shd w:val="clear" w:color="auto" w:fill="auto"/>
            <w:noWrap w:val="0"/>
            <w:vAlign w:val="center"/>
          </w:tcPr>
          <w:p w14:paraId="3FA7CE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42A8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0094C2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239D2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2A879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57" w:type="pct"/>
            <w:shd w:val="clear" w:color="auto" w:fill="auto"/>
            <w:noWrap w:val="0"/>
            <w:vAlign w:val="center"/>
          </w:tcPr>
          <w:p w14:paraId="0156E7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文旅志愿服务活动受益人群</w:t>
            </w:r>
          </w:p>
        </w:tc>
        <w:tc>
          <w:tcPr>
            <w:tcW w:w="830" w:type="pct"/>
            <w:shd w:val="clear" w:color="auto" w:fill="auto"/>
            <w:noWrap/>
            <w:vAlign w:val="center"/>
          </w:tcPr>
          <w:p w14:paraId="092855B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eastAsia" w:ascii="Times New Roman" w:hAnsi="Times New Roman" w:cs="Times New Roman"/>
                <w:i w:val="0"/>
                <w:iCs w:val="0"/>
                <w:color w:val="auto"/>
                <w:kern w:val="0"/>
                <w:sz w:val="21"/>
                <w:szCs w:val="21"/>
                <w:highlight w:val="none"/>
                <w:u w:val="none"/>
                <w:lang w:val="en-US" w:eastAsia="zh-CN" w:bidi="ar"/>
              </w:rPr>
              <w:t>万人次</w:t>
            </w:r>
          </w:p>
        </w:tc>
        <w:tc>
          <w:tcPr>
            <w:tcW w:w="855" w:type="pct"/>
            <w:gridSpan w:val="2"/>
            <w:noWrap/>
            <w:vAlign w:val="center"/>
          </w:tcPr>
          <w:p w14:paraId="5F399B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2380万人次</w:t>
            </w:r>
          </w:p>
        </w:tc>
        <w:tc>
          <w:tcPr>
            <w:tcW w:w="842" w:type="pct"/>
            <w:gridSpan w:val="2"/>
            <w:noWrap/>
            <w:vAlign w:val="center"/>
          </w:tcPr>
          <w:p w14:paraId="09282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完成</w:t>
            </w:r>
          </w:p>
        </w:tc>
      </w:tr>
      <w:tr w14:paraId="7489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78700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524ACB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vMerge w:val="continue"/>
            <w:noWrap w:val="0"/>
            <w:vAlign w:val="center"/>
          </w:tcPr>
          <w:p w14:paraId="5C8E13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857" w:type="pct"/>
            <w:shd w:val="clear" w:color="auto" w:fill="auto"/>
            <w:noWrap w:val="0"/>
            <w:vAlign w:val="center"/>
          </w:tcPr>
          <w:p w14:paraId="074B46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游客接待能力和服务水平</w:t>
            </w:r>
          </w:p>
        </w:tc>
        <w:tc>
          <w:tcPr>
            <w:tcW w:w="830" w:type="pct"/>
            <w:shd w:val="clear" w:color="auto" w:fill="auto"/>
            <w:noWrap w:val="0"/>
            <w:vAlign w:val="center"/>
          </w:tcPr>
          <w:p w14:paraId="0AEF1DA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55" w:type="pct"/>
            <w:gridSpan w:val="2"/>
            <w:shd w:val="clear" w:color="auto" w:fill="auto"/>
            <w:noWrap w:val="0"/>
            <w:vAlign w:val="center"/>
          </w:tcPr>
          <w:p w14:paraId="5D0E742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42" w:type="pct"/>
            <w:gridSpan w:val="2"/>
            <w:noWrap w:val="0"/>
            <w:vAlign w:val="center"/>
          </w:tcPr>
          <w:p w14:paraId="4536FD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2"/>
              </w:rPr>
              <w:t>完成</w:t>
            </w:r>
          </w:p>
        </w:tc>
      </w:tr>
      <w:tr w14:paraId="35B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0119D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2ACEDC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noWrap w:val="0"/>
            <w:vAlign w:val="center"/>
          </w:tcPr>
          <w:p w14:paraId="673A00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生态效益指标</w:t>
            </w:r>
          </w:p>
        </w:tc>
        <w:tc>
          <w:tcPr>
            <w:tcW w:w="857" w:type="pct"/>
            <w:noWrap w:val="0"/>
            <w:vAlign w:val="center"/>
          </w:tcPr>
          <w:p w14:paraId="08B7C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项目对旅游地生态环境影响</w:t>
            </w:r>
          </w:p>
        </w:tc>
        <w:tc>
          <w:tcPr>
            <w:tcW w:w="830" w:type="pct"/>
            <w:noWrap/>
            <w:vAlign w:val="center"/>
          </w:tcPr>
          <w:p w14:paraId="67F7F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55" w:type="pct"/>
            <w:gridSpan w:val="2"/>
            <w:shd w:val="clear" w:color="auto" w:fill="auto"/>
            <w:noWrap/>
            <w:vAlign w:val="center"/>
          </w:tcPr>
          <w:p w14:paraId="5DEA4E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42" w:type="pct"/>
            <w:gridSpan w:val="2"/>
            <w:noWrap/>
            <w:vAlign w:val="center"/>
          </w:tcPr>
          <w:p w14:paraId="1D4CC6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2"/>
              </w:rPr>
              <w:t>完成</w:t>
            </w:r>
          </w:p>
        </w:tc>
      </w:tr>
      <w:tr w14:paraId="4C88F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8" w:type="pct"/>
            <w:vMerge w:val="continue"/>
            <w:noWrap w:val="0"/>
            <w:vAlign w:val="center"/>
          </w:tcPr>
          <w:p w14:paraId="37CA6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2AA0C0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noWrap w:val="0"/>
            <w:vAlign w:val="center"/>
          </w:tcPr>
          <w:p w14:paraId="736286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可持续影响指标</w:t>
            </w:r>
          </w:p>
        </w:tc>
        <w:tc>
          <w:tcPr>
            <w:tcW w:w="857" w:type="pct"/>
            <w:shd w:val="clear" w:color="auto" w:fill="auto"/>
            <w:noWrap w:val="0"/>
            <w:vAlign w:val="center"/>
          </w:tcPr>
          <w:p w14:paraId="5EE967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公共文化服务体系</w:t>
            </w:r>
          </w:p>
        </w:tc>
        <w:tc>
          <w:tcPr>
            <w:tcW w:w="830" w:type="pct"/>
            <w:shd w:val="clear" w:color="auto" w:fill="auto"/>
            <w:noWrap w:val="0"/>
            <w:vAlign w:val="center"/>
          </w:tcPr>
          <w:p w14:paraId="611A74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55" w:type="pct"/>
            <w:gridSpan w:val="2"/>
            <w:shd w:val="clear" w:color="auto" w:fill="auto"/>
            <w:noWrap w:val="0"/>
            <w:vAlign w:val="center"/>
          </w:tcPr>
          <w:p w14:paraId="3F0A18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42" w:type="pct"/>
            <w:gridSpan w:val="2"/>
            <w:noWrap w:val="0"/>
            <w:vAlign w:val="center"/>
          </w:tcPr>
          <w:p w14:paraId="61257C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eastAsia" w:cs="Times New Roman"/>
                <w:i w:val="0"/>
                <w:iCs w:val="0"/>
                <w:color w:val="auto"/>
                <w:kern w:val="0"/>
                <w:sz w:val="21"/>
                <w:szCs w:val="21"/>
                <w:highlight w:val="none"/>
                <w:u w:val="none"/>
                <w:lang w:val="en-US" w:eastAsia="zh-CN" w:bidi="ar"/>
                <w:woUserID w:val="2"/>
              </w:rPr>
              <w:t>完成</w:t>
            </w:r>
          </w:p>
        </w:tc>
      </w:tr>
      <w:tr w14:paraId="11DE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pct"/>
            <w:vMerge w:val="continue"/>
            <w:noWrap w:val="0"/>
            <w:vAlign w:val="center"/>
          </w:tcPr>
          <w:p w14:paraId="40F11D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5198C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452" w:type="pct"/>
            <w:vMerge w:val="restart"/>
            <w:noWrap w:val="0"/>
            <w:vAlign w:val="center"/>
          </w:tcPr>
          <w:p w14:paraId="7171FB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57" w:type="pct"/>
            <w:noWrap w:val="0"/>
            <w:vAlign w:val="center"/>
          </w:tcPr>
          <w:p w14:paraId="4D1C01A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游客满意度</w:t>
            </w:r>
          </w:p>
        </w:tc>
        <w:tc>
          <w:tcPr>
            <w:tcW w:w="830" w:type="pct"/>
            <w:shd w:val="clear" w:color="auto" w:fill="auto"/>
            <w:noWrap w:val="0"/>
            <w:vAlign w:val="center"/>
          </w:tcPr>
          <w:p w14:paraId="5D03AD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eastAsia" w:ascii="Times New Roman" w:hAnsi="Times New Roman" w:cs="Times New Roman"/>
                <w:i w:val="0"/>
                <w:iCs w:val="0"/>
                <w:color w:val="auto"/>
                <w:kern w:val="0"/>
                <w:sz w:val="21"/>
                <w:szCs w:val="21"/>
                <w:highlight w:val="none"/>
                <w:u w:val="none"/>
                <w:lang w:val="en-US" w:eastAsia="zh-CN" w:bidi="ar"/>
              </w:rPr>
              <w:t>%</w:t>
            </w:r>
          </w:p>
        </w:tc>
        <w:tc>
          <w:tcPr>
            <w:tcW w:w="855" w:type="pct"/>
            <w:gridSpan w:val="2"/>
            <w:noWrap w:val="0"/>
            <w:vAlign w:val="center"/>
          </w:tcPr>
          <w:p w14:paraId="3336BD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95.6%</w:t>
            </w:r>
          </w:p>
        </w:tc>
        <w:tc>
          <w:tcPr>
            <w:tcW w:w="842" w:type="pct"/>
            <w:gridSpan w:val="2"/>
            <w:noWrap w:val="0"/>
            <w:vAlign w:val="center"/>
          </w:tcPr>
          <w:p w14:paraId="17EC91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1"/>
              </w:rPr>
              <w:t>完成</w:t>
            </w:r>
          </w:p>
        </w:tc>
      </w:tr>
      <w:tr w14:paraId="0DA4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78" w:type="pct"/>
            <w:vMerge w:val="continue"/>
            <w:noWrap w:val="0"/>
            <w:vAlign w:val="center"/>
          </w:tcPr>
          <w:p w14:paraId="5CD18E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26E274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181D4B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57" w:type="pct"/>
            <w:noWrap w:val="0"/>
            <w:vAlign w:val="center"/>
          </w:tcPr>
          <w:p w14:paraId="6670530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当地群众满意度</w:t>
            </w:r>
          </w:p>
        </w:tc>
        <w:tc>
          <w:tcPr>
            <w:tcW w:w="830" w:type="pct"/>
            <w:shd w:val="clear" w:color="auto" w:fill="auto"/>
            <w:noWrap w:val="0"/>
            <w:vAlign w:val="center"/>
          </w:tcPr>
          <w:p w14:paraId="3F4EB3B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cs="Times New Roman"/>
                <w:i w:val="0"/>
                <w:iCs w:val="0"/>
                <w:color w:val="auto"/>
                <w:kern w:val="0"/>
                <w:sz w:val="21"/>
                <w:szCs w:val="21"/>
                <w:highlight w:val="none"/>
                <w:u w:val="none"/>
                <w:lang w:val="en-US" w:eastAsia="zh-CN" w:bidi="ar"/>
              </w:rPr>
              <w:t>%</w:t>
            </w:r>
          </w:p>
        </w:tc>
        <w:tc>
          <w:tcPr>
            <w:tcW w:w="855" w:type="pct"/>
            <w:gridSpan w:val="2"/>
            <w:noWrap w:val="0"/>
            <w:vAlign w:val="center"/>
          </w:tcPr>
          <w:p w14:paraId="1359E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90.34%</w:t>
            </w:r>
          </w:p>
        </w:tc>
        <w:tc>
          <w:tcPr>
            <w:tcW w:w="842" w:type="pct"/>
            <w:gridSpan w:val="2"/>
            <w:noWrap w:val="0"/>
            <w:vAlign w:val="center"/>
          </w:tcPr>
          <w:p w14:paraId="29894C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eastAsia" w:cs="Times New Roman"/>
                <w:i w:val="0"/>
                <w:iCs w:val="0"/>
                <w:color w:val="auto"/>
                <w:kern w:val="0"/>
                <w:sz w:val="21"/>
                <w:szCs w:val="21"/>
                <w:highlight w:val="none"/>
                <w:u w:val="none"/>
                <w:lang w:val="en-US" w:eastAsia="zh-CN" w:bidi="ar"/>
                <w:woUserID w:val="1"/>
              </w:rPr>
              <w:t>完成</w:t>
            </w:r>
          </w:p>
        </w:tc>
      </w:tr>
    </w:tbl>
    <w:p w14:paraId="7B6E5B89">
      <w:pPr>
        <w:ind w:left="0" w:leftChars="0" w:firstLine="0" w:firstLineChars="0"/>
        <w:rPr>
          <w:rStyle w:val="29"/>
          <w:rFonts w:hint="default" w:ascii="Times New Roman" w:hAnsi="Times New Roman" w:eastAsia="方正小标宋_GBK" w:cs="Times New Roman"/>
          <w:color w:val="auto"/>
          <w:highlight w:val="none"/>
        </w:rPr>
      </w:pPr>
      <w:r>
        <w:rPr>
          <w:rStyle w:val="29"/>
          <w:rFonts w:hint="default" w:ascii="Times New Roman" w:hAnsi="Times New Roman" w:eastAsia="方正小标宋_GBK" w:cs="Times New Roman"/>
          <w:color w:val="auto"/>
          <w:highlight w:val="none"/>
        </w:rPr>
        <w:br w:type="page"/>
      </w:r>
    </w:p>
    <w:p w14:paraId="595DCE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189" w:name="_Toc14647"/>
      <w:r>
        <w:rPr>
          <w:rFonts w:hint="default" w:ascii="Times New Roman" w:hAnsi="Times New Roman" w:eastAsia="方正小标宋_GBK" w:cs="Times New Roman"/>
          <w:color w:val="000000"/>
          <w:kern w:val="0"/>
          <w:sz w:val="36"/>
          <w:szCs w:val="36"/>
          <w:lang w:val="en-US" w:eastAsia="zh-CN"/>
        </w:rPr>
        <w:t>202</w:t>
      </w:r>
      <w:r>
        <w:rPr>
          <w:rFonts w:hint="eastAsia"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189"/>
    </w:p>
    <w:p w14:paraId="46CBE4B5">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16"/>
        <w:tblW w:w="5333" w:type="pct"/>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2"/>
        <w:gridCol w:w="1090"/>
        <w:gridCol w:w="1377"/>
        <w:gridCol w:w="1730"/>
        <w:gridCol w:w="1522"/>
        <w:gridCol w:w="1522"/>
        <w:gridCol w:w="1563"/>
      </w:tblGrid>
      <w:tr w14:paraId="1B629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56" w:type="pct"/>
            <w:noWrap w:val="0"/>
            <w:vAlign w:val="center"/>
          </w:tcPr>
          <w:p w14:paraId="0318D1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支出方向</w:t>
            </w:r>
          </w:p>
        </w:tc>
        <w:tc>
          <w:tcPr>
            <w:tcW w:w="1245" w:type="pct"/>
            <w:gridSpan w:val="2"/>
            <w:noWrap w:val="0"/>
            <w:vAlign w:val="center"/>
          </w:tcPr>
          <w:p w14:paraId="7CA28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文艺人才振兴工程</w:t>
            </w:r>
          </w:p>
        </w:tc>
        <w:tc>
          <w:tcPr>
            <w:tcW w:w="873" w:type="pct"/>
            <w:noWrap w:val="0"/>
            <w:vAlign w:val="center"/>
          </w:tcPr>
          <w:p w14:paraId="6F4D5A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所属专项</w:t>
            </w:r>
          </w:p>
        </w:tc>
        <w:tc>
          <w:tcPr>
            <w:tcW w:w="2325" w:type="pct"/>
            <w:gridSpan w:val="3"/>
            <w:noWrap w:val="0"/>
            <w:vAlign w:val="center"/>
          </w:tcPr>
          <w:p w14:paraId="371B7D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6EF80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56" w:type="pct"/>
            <w:noWrap w:val="0"/>
            <w:vAlign w:val="center"/>
          </w:tcPr>
          <w:p w14:paraId="5C17E2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省级主管部门</w:t>
            </w:r>
          </w:p>
        </w:tc>
        <w:tc>
          <w:tcPr>
            <w:tcW w:w="4443" w:type="pct"/>
            <w:gridSpan w:val="6"/>
            <w:noWrap w:val="0"/>
            <w:vAlign w:val="center"/>
          </w:tcPr>
          <w:p w14:paraId="33D78C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湖南省文化和旅游厅</w:t>
            </w:r>
          </w:p>
        </w:tc>
      </w:tr>
      <w:tr w14:paraId="7CD2F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56" w:type="pct"/>
            <w:vMerge w:val="restart"/>
            <w:noWrap w:val="0"/>
            <w:vAlign w:val="center"/>
          </w:tcPr>
          <w:p w14:paraId="5731D0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default" w:ascii="Times New Roman" w:hAnsi="Times New Roman" w:eastAsia="仿宋_GB2312" w:cs="Times New Roman"/>
                <w:color w:val="auto"/>
                <w:sz w:val="21"/>
                <w:szCs w:val="21"/>
                <w:lang w:val="en-US" w:eastAsia="zh-CN" w:bidi="ar"/>
              </w:rPr>
              <w:t>资金拨付情况</w:t>
            </w:r>
          </w:p>
        </w:tc>
        <w:tc>
          <w:tcPr>
            <w:tcW w:w="1245" w:type="pct"/>
            <w:gridSpan w:val="2"/>
            <w:noWrap w:val="0"/>
            <w:vAlign w:val="center"/>
          </w:tcPr>
          <w:p w14:paraId="3501A4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default" w:ascii="Times New Roman" w:hAnsi="Times New Roman" w:eastAsia="仿宋_GB2312" w:cs="Times New Roman"/>
                <w:color w:val="auto"/>
                <w:sz w:val="21"/>
                <w:szCs w:val="21"/>
                <w:lang w:val="en-US" w:eastAsia="zh-CN" w:bidi="ar"/>
              </w:rPr>
              <w:t>预算数</w:t>
            </w:r>
          </w:p>
        </w:tc>
        <w:tc>
          <w:tcPr>
            <w:tcW w:w="873" w:type="pct"/>
            <w:noWrap w:val="0"/>
            <w:vAlign w:val="center"/>
          </w:tcPr>
          <w:p w14:paraId="75C8C9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default" w:ascii="Times New Roman" w:hAnsi="Times New Roman" w:eastAsia="仿宋_GB2312" w:cs="Times New Roman"/>
                <w:color w:val="auto"/>
                <w:sz w:val="21"/>
                <w:szCs w:val="21"/>
                <w:lang w:val="en-US" w:eastAsia="zh-CN" w:bidi="ar"/>
              </w:rPr>
              <w:t>完成数</w:t>
            </w:r>
          </w:p>
        </w:tc>
        <w:tc>
          <w:tcPr>
            <w:tcW w:w="2325" w:type="pct"/>
            <w:gridSpan w:val="3"/>
            <w:noWrap w:val="0"/>
            <w:vAlign w:val="center"/>
          </w:tcPr>
          <w:p w14:paraId="65CCCB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default" w:ascii="Times New Roman" w:hAnsi="Times New Roman" w:eastAsia="仿宋_GB2312" w:cs="Times New Roman"/>
                <w:color w:val="auto"/>
                <w:sz w:val="21"/>
                <w:szCs w:val="21"/>
                <w:lang w:val="en-US" w:eastAsia="zh-CN" w:bidi="ar"/>
              </w:rPr>
              <w:t>执行率</w:t>
            </w:r>
          </w:p>
        </w:tc>
      </w:tr>
      <w:tr w14:paraId="5F87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56" w:type="pct"/>
            <w:vMerge w:val="continue"/>
            <w:noWrap w:val="0"/>
            <w:vAlign w:val="center"/>
          </w:tcPr>
          <w:p w14:paraId="25A86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p>
        </w:tc>
        <w:tc>
          <w:tcPr>
            <w:tcW w:w="1245" w:type="pct"/>
            <w:gridSpan w:val="2"/>
            <w:noWrap w:val="0"/>
            <w:vAlign w:val="center"/>
          </w:tcPr>
          <w:p w14:paraId="2A3AC6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eastAsia" w:cs="Times New Roman"/>
                <w:color w:val="auto"/>
                <w:sz w:val="21"/>
                <w:szCs w:val="21"/>
                <w:lang w:val="en-US" w:eastAsia="zh-CN" w:bidi="ar"/>
              </w:rPr>
              <w:t>6269</w:t>
            </w:r>
          </w:p>
        </w:tc>
        <w:tc>
          <w:tcPr>
            <w:tcW w:w="873" w:type="pct"/>
            <w:noWrap w:val="0"/>
            <w:vAlign w:val="center"/>
          </w:tcPr>
          <w:p w14:paraId="76644E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eastAsia" w:cs="Times New Roman"/>
                <w:color w:val="auto"/>
                <w:sz w:val="21"/>
                <w:szCs w:val="21"/>
                <w:lang w:val="en-US" w:eastAsia="zh-CN" w:bidi="ar"/>
              </w:rPr>
              <w:t>6269</w:t>
            </w:r>
          </w:p>
        </w:tc>
        <w:tc>
          <w:tcPr>
            <w:tcW w:w="2325" w:type="pct"/>
            <w:gridSpan w:val="3"/>
            <w:noWrap w:val="0"/>
            <w:vAlign w:val="center"/>
          </w:tcPr>
          <w:p w14:paraId="7C111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rPr>
            </w:pPr>
            <w:r>
              <w:rPr>
                <w:rStyle w:val="32"/>
                <w:rFonts w:hint="eastAsia" w:cs="Times New Roman"/>
                <w:color w:val="auto"/>
                <w:sz w:val="21"/>
                <w:szCs w:val="21"/>
                <w:lang w:val="en-US" w:eastAsia="zh-CN" w:bidi="ar"/>
              </w:rPr>
              <w:t>100%</w:t>
            </w:r>
          </w:p>
        </w:tc>
      </w:tr>
      <w:tr w14:paraId="4CD4D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556" w:type="pct"/>
            <w:noWrap w:val="0"/>
            <w:vAlign w:val="center"/>
          </w:tcPr>
          <w:p w14:paraId="057A8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年度绩效目标</w:t>
            </w:r>
          </w:p>
        </w:tc>
        <w:tc>
          <w:tcPr>
            <w:tcW w:w="4443" w:type="pct"/>
            <w:gridSpan w:val="6"/>
            <w:shd w:val="clear" w:color="auto" w:fill="auto"/>
            <w:noWrap w:val="0"/>
            <w:vAlign w:val="center"/>
          </w:tcPr>
          <w:p w14:paraId="50E0B39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全年创作、编排、复排、演出专业口大戏</w:t>
            </w:r>
            <w:r>
              <w:rPr>
                <w:rFonts w:hint="eastAsia" w:ascii="Times New Roman" w:hAnsi="Times New Roman" w:eastAsia="仿宋_GB2312" w:cs="Times New Roman"/>
                <w:i w:val="0"/>
                <w:iCs w:val="0"/>
                <w:color w:val="auto"/>
                <w:kern w:val="0"/>
                <w:sz w:val="21"/>
                <w:szCs w:val="21"/>
                <w:highlight w:val="none"/>
                <w:u w:val="none"/>
                <w:lang w:val="en-US" w:eastAsia="zh-CN" w:bidi="ar"/>
              </w:rPr>
              <w:t>11</w:t>
            </w:r>
            <w:r>
              <w:rPr>
                <w:rFonts w:hint="default" w:ascii="Times New Roman" w:hAnsi="Times New Roman" w:eastAsia="仿宋_GB2312" w:cs="Times New Roman"/>
                <w:i w:val="0"/>
                <w:iCs w:val="0"/>
                <w:color w:val="auto"/>
                <w:kern w:val="0"/>
                <w:sz w:val="21"/>
                <w:szCs w:val="21"/>
                <w:highlight w:val="none"/>
                <w:u w:val="none"/>
                <w:lang w:val="en-US" w:eastAsia="zh-CN" w:bidi="ar"/>
              </w:rPr>
              <w:t>个；专业口小型戏曲、戏剧、音乐、舞蹈、曲艺等30个</w:t>
            </w:r>
            <w:r>
              <w:rPr>
                <w:rFonts w:hint="eastAsia" w:ascii="Times New Roman" w:hAnsi="Times New Roman" w:eastAsia="仿宋_GB2312" w:cs="Times New Roman"/>
                <w:i w:val="0"/>
                <w:iCs w:val="0"/>
                <w:color w:val="auto"/>
                <w:kern w:val="0"/>
                <w:sz w:val="21"/>
                <w:szCs w:val="21"/>
                <w:highlight w:val="none"/>
                <w:u w:val="none"/>
                <w:lang w:val="en-US" w:eastAsia="zh-CN" w:bidi="ar"/>
              </w:rPr>
              <w:t>左右</w:t>
            </w: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；重大美术（书法、摄影）主题展1</w:t>
            </w:r>
            <w:r>
              <w:rPr>
                <w:rFonts w:hint="eastAsia"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eastAsia="仿宋_GB2312" w:cs="Times New Roman"/>
                <w:i w:val="0"/>
                <w:iCs w:val="0"/>
                <w:color w:val="auto"/>
                <w:kern w:val="0"/>
                <w:sz w:val="21"/>
                <w:szCs w:val="21"/>
                <w:highlight w:val="none"/>
                <w:u w:val="none"/>
                <w:lang w:val="en-US" w:eastAsia="zh-CN" w:bidi="ar"/>
              </w:rPr>
              <w:t>个；群文口小型戏曲、戏剧、音乐、舞蹈、曲艺等4</w:t>
            </w:r>
            <w:r>
              <w:rPr>
                <w:rFonts w:hint="eastAsia" w:ascii="Times New Roman" w:hAnsi="Times New Roman" w:eastAsia="仿宋_GB2312" w:cs="Times New Roman"/>
                <w:i w:val="0"/>
                <w:iCs w:val="0"/>
                <w:color w:val="auto"/>
                <w:kern w:val="0"/>
                <w:sz w:val="21"/>
                <w:szCs w:val="21"/>
                <w:highlight w:val="none"/>
                <w:u w:val="none"/>
                <w:lang w:val="en-US" w:eastAsia="zh-CN" w:bidi="ar"/>
              </w:rPr>
              <w:t>8</w:t>
            </w:r>
            <w:r>
              <w:rPr>
                <w:rFonts w:hint="default" w:ascii="Times New Roman" w:hAnsi="Times New Roman" w:eastAsia="仿宋_GB2312" w:cs="Times New Roman"/>
                <w:i w:val="0"/>
                <w:iCs w:val="0"/>
                <w:color w:val="auto"/>
                <w:kern w:val="0"/>
                <w:sz w:val="21"/>
                <w:szCs w:val="21"/>
                <w:highlight w:val="none"/>
                <w:u w:val="none"/>
                <w:lang w:val="en-US" w:eastAsia="zh-CN" w:bidi="ar"/>
              </w:rPr>
              <w:t>个；实施演艺惠民演出（戏曲进乡村）</w:t>
            </w:r>
            <w:r>
              <w:rPr>
                <w:rFonts w:hint="eastAsia" w:ascii="Times New Roman" w:hAnsi="Times New Roman" w:eastAsia="仿宋_GB2312" w:cs="Times New Roman"/>
                <w:i w:val="0"/>
                <w:iCs w:val="0"/>
                <w:color w:val="auto"/>
                <w:kern w:val="0"/>
                <w:sz w:val="21"/>
                <w:szCs w:val="21"/>
                <w:highlight w:val="none"/>
                <w:u w:val="none"/>
                <w:lang w:val="en-US" w:eastAsia="zh-CN" w:bidi="ar"/>
              </w:rPr>
              <w:t>15</w:t>
            </w:r>
            <w:r>
              <w:rPr>
                <w:rFonts w:hint="default" w:ascii="Times New Roman" w:hAnsi="Times New Roman" w:eastAsia="仿宋_GB2312" w:cs="Times New Roman"/>
                <w:i w:val="0"/>
                <w:iCs w:val="0"/>
                <w:color w:val="auto"/>
                <w:kern w:val="0"/>
                <w:sz w:val="21"/>
                <w:szCs w:val="21"/>
                <w:highlight w:val="none"/>
                <w:u w:val="none"/>
                <w:lang w:val="en-US" w:eastAsia="zh-CN" w:bidi="ar"/>
              </w:rPr>
              <w:t>场以上，有效改善文化环境，增强群众文化素养，以文启智，传播先进思想和观念，滋养传承和弘扬中华优秀传统文化的土壤和良好生态。</w:t>
            </w:r>
          </w:p>
        </w:tc>
      </w:tr>
      <w:tr w14:paraId="3EB06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556" w:type="pct"/>
            <w:noWrap w:val="0"/>
            <w:vAlign w:val="center"/>
          </w:tcPr>
          <w:p w14:paraId="003ED70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443" w:type="pct"/>
            <w:gridSpan w:val="6"/>
            <w:noWrap w:val="0"/>
            <w:vAlign w:val="center"/>
          </w:tcPr>
          <w:p w14:paraId="5973B21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本年度，完成各项艺术创作与文化惠民目标。全年创作、编排、复排、演出专业大戏</w:t>
            </w:r>
            <w:r>
              <w:rPr>
                <w:rFonts w:hint="default" w:cs="Times New Roman"/>
                <w:i w:val="0"/>
                <w:iCs w:val="0"/>
                <w:color w:val="auto"/>
                <w:kern w:val="0"/>
                <w:sz w:val="21"/>
                <w:szCs w:val="21"/>
                <w:highlight w:val="none"/>
                <w:u w:val="none"/>
                <w:lang w:val="en-US" w:eastAsia="zh-CN" w:bidi="ar"/>
              </w:rPr>
              <w:t>22</w:t>
            </w:r>
            <w:r>
              <w:rPr>
                <w:rFonts w:hint="default" w:ascii="Times New Roman" w:hAnsi="Times New Roman" w:eastAsia="仿宋_GB2312" w:cs="Times New Roman"/>
                <w:i w:val="0"/>
                <w:iCs w:val="0"/>
                <w:color w:val="auto"/>
                <w:kern w:val="0"/>
                <w:sz w:val="21"/>
                <w:szCs w:val="21"/>
                <w:highlight w:val="none"/>
                <w:u w:val="none"/>
                <w:lang w:val="en-US" w:eastAsia="zh-CN" w:bidi="ar"/>
              </w:rPr>
              <w:t>个，专业口小型戏曲、戏剧、音乐、舞蹈、曲艺等作品</w:t>
            </w:r>
            <w:r>
              <w:rPr>
                <w:rFonts w:hint="default" w:cs="Times New Roman"/>
                <w:i w:val="0"/>
                <w:iCs w:val="0"/>
                <w:color w:val="auto"/>
                <w:kern w:val="0"/>
                <w:sz w:val="21"/>
                <w:szCs w:val="21"/>
                <w:highlight w:val="none"/>
                <w:u w:val="none"/>
                <w:lang w:val="en-US" w:eastAsia="zh-CN" w:bidi="ar"/>
              </w:rPr>
              <w:t>28个</w:t>
            </w:r>
            <w:r>
              <w:rPr>
                <w:rFonts w:hint="default" w:ascii="Times New Roman" w:hAnsi="Times New Roman" w:eastAsia="仿宋_GB2312" w:cs="Times New Roman"/>
                <w:i w:val="0"/>
                <w:iCs w:val="0"/>
                <w:color w:val="auto"/>
                <w:kern w:val="0"/>
                <w:sz w:val="21"/>
                <w:szCs w:val="21"/>
                <w:highlight w:val="none"/>
                <w:u w:val="none"/>
                <w:lang w:val="en-US" w:eastAsia="zh-CN" w:bidi="ar"/>
              </w:rPr>
              <w:t>；举办重大美术（书法、摄影）主题展1</w:t>
            </w:r>
            <w:r>
              <w:rPr>
                <w:rFonts w:hint="default" w:cs="Times New Roman"/>
                <w:i w:val="0"/>
                <w:iCs w:val="0"/>
                <w:color w:val="auto"/>
                <w:kern w:val="0"/>
                <w:sz w:val="21"/>
                <w:szCs w:val="21"/>
                <w:highlight w:val="none"/>
                <w:u w:val="none"/>
                <w:lang w:val="en-US" w:eastAsia="zh-CN" w:bidi="ar"/>
              </w:rPr>
              <w:t>5</w:t>
            </w:r>
            <w:r>
              <w:rPr>
                <w:rFonts w:hint="default" w:ascii="Times New Roman" w:hAnsi="Times New Roman" w:eastAsia="仿宋_GB2312" w:cs="Times New Roman"/>
                <w:i w:val="0"/>
                <w:iCs w:val="0"/>
                <w:color w:val="auto"/>
                <w:kern w:val="0"/>
                <w:sz w:val="21"/>
                <w:szCs w:val="21"/>
                <w:highlight w:val="none"/>
                <w:u w:val="none"/>
                <w:lang w:val="en-US" w:eastAsia="zh-CN" w:bidi="ar"/>
              </w:rPr>
              <w:t>个，超额完成年度任务；群文口小型戏曲、戏剧、音乐、舞蹈、曲艺等作品完成</w:t>
            </w:r>
            <w:r>
              <w:rPr>
                <w:rFonts w:hint="default" w:cs="Times New Roman"/>
                <w:i w:val="0"/>
                <w:iCs w:val="0"/>
                <w:color w:val="auto"/>
                <w:kern w:val="0"/>
                <w:sz w:val="21"/>
                <w:szCs w:val="21"/>
                <w:highlight w:val="none"/>
                <w:u w:val="none"/>
                <w:lang w:val="en-US" w:eastAsia="zh-CN" w:bidi="ar"/>
              </w:rPr>
              <w:t>60</w:t>
            </w:r>
            <w:r>
              <w:rPr>
                <w:rFonts w:hint="default" w:ascii="Times New Roman" w:hAnsi="Times New Roman" w:eastAsia="仿宋_GB2312" w:cs="Times New Roman"/>
                <w:i w:val="0"/>
                <w:iCs w:val="0"/>
                <w:color w:val="auto"/>
                <w:kern w:val="0"/>
                <w:sz w:val="21"/>
                <w:szCs w:val="21"/>
                <w:highlight w:val="none"/>
                <w:u w:val="none"/>
                <w:lang w:val="en-US" w:eastAsia="zh-CN" w:bidi="ar"/>
              </w:rPr>
              <w:t>个，按计划落地实施；开展演艺惠民演出（戏曲进乡村）</w:t>
            </w:r>
            <w:r>
              <w:rPr>
                <w:rFonts w:hint="default" w:cs="Times New Roman"/>
                <w:i w:val="0"/>
                <w:iCs w:val="0"/>
                <w:color w:val="auto"/>
                <w:kern w:val="0"/>
                <w:sz w:val="21"/>
                <w:szCs w:val="21"/>
                <w:highlight w:val="none"/>
                <w:u w:val="none"/>
                <w:lang w:val="en-US" w:eastAsia="zh-CN" w:bidi="ar"/>
              </w:rPr>
              <w:t>44</w:t>
            </w:r>
            <w:r>
              <w:rPr>
                <w:rFonts w:hint="default" w:ascii="Times New Roman" w:hAnsi="Times New Roman" w:eastAsia="仿宋_GB2312" w:cs="Times New Roman"/>
                <w:i w:val="0"/>
                <w:iCs w:val="0"/>
                <w:color w:val="auto"/>
                <w:kern w:val="0"/>
                <w:sz w:val="21"/>
                <w:szCs w:val="21"/>
                <w:highlight w:val="none"/>
                <w:u w:val="none"/>
                <w:lang w:val="en-US" w:eastAsia="zh-CN" w:bidi="ar"/>
              </w:rPr>
              <w:t>场，超额完成</w:t>
            </w:r>
            <w:r>
              <w:rPr>
                <w:rFonts w:hint="default" w:cs="Times New Roman"/>
                <w:i w:val="0"/>
                <w:iCs w:val="0"/>
                <w:color w:val="auto"/>
                <w:kern w:val="0"/>
                <w:sz w:val="21"/>
                <w:szCs w:val="21"/>
                <w:highlight w:val="none"/>
                <w:u w:val="none"/>
                <w:lang w:val="en-US" w:eastAsia="zh-CN" w:bidi="ar"/>
              </w:rPr>
              <w:t>29</w:t>
            </w:r>
            <w:r>
              <w:rPr>
                <w:rFonts w:hint="default" w:ascii="Times New Roman" w:hAnsi="Times New Roman" w:eastAsia="仿宋_GB2312" w:cs="Times New Roman"/>
                <w:i w:val="0"/>
                <w:iCs w:val="0"/>
                <w:color w:val="auto"/>
                <w:kern w:val="0"/>
                <w:sz w:val="21"/>
                <w:szCs w:val="21"/>
                <w:highlight w:val="none"/>
                <w:u w:val="none"/>
                <w:lang w:val="en-US" w:eastAsia="zh-CN" w:bidi="ar"/>
              </w:rPr>
              <w:t>场的目标。系列活动有效改善了城乡文化环境，提升了群众文化素养，实现了以文启智、传播先进思想、传承弘扬中华优秀传统文化的预期成效，年度各项绩效目标均高质量完成。</w:t>
            </w:r>
          </w:p>
        </w:tc>
      </w:tr>
      <w:tr w14:paraId="0981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6" w:type="pct"/>
            <w:vMerge w:val="restart"/>
            <w:noWrap w:val="0"/>
            <w:vAlign w:val="center"/>
          </w:tcPr>
          <w:p w14:paraId="7ACF9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2"/>
                <w:rFonts w:hint="default" w:ascii="Times New Roman" w:hAnsi="Times New Roman" w:eastAsia="仿宋_GB2312" w:cs="Times New Roman"/>
                <w:color w:val="auto"/>
                <w:sz w:val="21"/>
                <w:szCs w:val="21"/>
                <w:lang w:val="en-US" w:eastAsia="zh-CN" w:bidi="ar"/>
              </w:rPr>
              <w:t>本年度绩效指标</w:t>
            </w:r>
          </w:p>
        </w:tc>
        <w:tc>
          <w:tcPr>
            <w:tcW w:w="550" w:type="pct"/>
            <w:noWrap w:val="0"/>
            <w:vAlign w:val="center"/>
          </w:tcPr>
          <w:p w14:paraId="0BE2DDE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color w:val="auto"/>
                <w:sz w:val="21"/>
                <w:szCs w:val="21"/>
                <w:highlight w:val="none"/>
                <w:lang w:val="en-US" w:eastAsia="zh-CN" w:bidi="ar"/>
              </w:rPr>
              <w:t>一级指标</w:t>
            </w:r>
          </w:p>
        </w:tc>
        <w:tc>
          <w:tcPr>
            <w:tcW w:w="695" w:type="pct"/>
            <w:noWrap w:val="0"/>
            <w:vAlign w:val="center"/>
          </w:tcPr>
          <w:p w14:paraId="332B73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73" w:type="pct"/>
            <w:noWrap w:val="0"/>
            <w:vAlign w:val="center"/>
          </w:tcPr>
          <w:p w14:paraId="6ED6DC9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color w:val="auto"/>
                <w:sz w:val="21"/>
                <w:szCs w:val="21"/>
                <w:highlight w:val="none"/>
                <w:lang w:val="en-US" w:eastAsia="zh-CN" w:bidi="ar"/>
              </w:rPr>
              <w:t>三级指标</w:t>
            </w:r>
          </w:p>
        </w:tc>
        <w:tc>
          <w:tcPr>
            <w:tcW w:w="768" w:type="pct"/>
            <w:noWrap w:val="0"/>
            <w:vAlign w:val="center"/>
          </w:tcPr>
          <w:p w14:paraId="4EBC55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color w:val="auto"/>
                <w:sz w:val="21"/>
                <w:szCs w:val="21"/>
                <w:highlight w:val="none"/>
                <w:lang w:val="en-US" w:eastAsia="zh-CN" w:bidi="ar"/>
              </w:rPr>
              <w:t>指标值及单位</w:t>
            </w:r>
          </w:p>
        </w:tc>
        <w:tc>
          <w:tcPr>
            <w:tcW w:w="768" w:type="pct"/>
            <w:shd w:val="clear" w:color="auto" w:fill="auto"/>
            <w:noWrap w:val="0"/>
            <w:vAlign w:val="center"/>
          </w:tcPr>
          <w:p w14:paraId="5CAB3C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788" w:type="pct"/>
            <w:shd w:val="clear" w:color="auto" w:fill="auto"/>
            <w:noWrap w:val="0"/>
            <w:vAlign w:val="center"/>
          </w:tcPr>
          <w:p w14:paraId="5D6FDA6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3135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556" w:type="pct"/>
            <w:vMerge w:val="continue"/>
            <w:noWrap w:val="0"/>
            <w:vAlign w:val="center"/>
          </w:tcPr>
          <w:p w14:paraId="446AF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055C1C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695" w:type="pct"/>
            <w:vMerge w:val="restart"/>
            <w:noWrap w:val="0"/>
            <w:vAlign w:val="center"/>
          </w:tcPr>
          <w:p w14:paraId="6443BE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873" w:type="pct"/>
            <w:shd w:val="clear" w:color="auto" w:fill="auto"/>
            <w:noWrap w:val="0"/>
            <w:vAlign w:val="center"/>
          </w:tcPr>
          <w:p w14:paraId="47EFA7D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专业口大戏支持资金</w:t>
            </w:r>
          </w:p>
        </w:tc>
        <w:tc>
          <w:tcPr>
            <w:tcW w:w="768" w:type="pct"/>
            <w:shd w:val="clear" w:color="auto" w:fill="auto"/>
            <w:noWrap w:val="0"/>
            <w:vAlign w:val="center"/>
          </w:tcPr>
          <w:p w14:paraId="073FEDD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500万元，1个；400万元，1个；230万元，1个；220万元，1个；180万元，1个；80万元，1个；50万元，2个；30万元，3个；20万元，3个；10万元，4个</w:t>
            </w:r>
          </w:p>
        </w:tc>
        <w:tc>
          <w:tcPr>
            <w:tcW w:w="768" w:type="pct"/>
            <w:shd w:val="clear" w:color="auto" w:fill="auto"/>
            <w:noWrap w:val="0"/>
            <w:vAlign w:val="center"/>
          </w:tcPr>
          <w:p w14:paraId="27F6348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color w:val="auto"/>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500万元，1个；400万元，1个；</w:t>
            </w:r>
          </w:p>
          <w:p w14:paraId="5BD586BF">
            <w:pPr>
              <w:keepNext w:val="0"/>
              <w:keepLines w:val="0"/>
              <w:widowControl/>
              <w:suppressLineNumbers w:val="0"/>
              <w:adjustRightInd w:val="0"/>
              <w:snapToGrid w:val="0"/>
              <w:spacing w:before="0" w:beforeAutospacing="0" w:after="0" w:afterAutospacing="0" w:line="240" w:lineRule="exact"/>
              <w:ind w:left="0" w:right="0"/>
              <w:jc w:val="left"/>
              <w:textAlignment w:val="center"/>
              <w:rPr>
                <w:rFonts w:hint="default" w:ascii="Times New Roman" w:hAnsi="Times New Roman" w:eastAsia="仿宋_GB2312" w:cs="Times New Roman"/>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300万元，1个；</w:t>
            </w:r>
          </w:p>
          <w:p w14:paraId="33761B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color w:val="auto"/>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230万元，1个；220万元，1个；180万元，1个；</w:t>
            </w:r>
          </w:p>
          <w:p w14:paraId="18DA330E">
            <w:pPr>
              <w:keepNext w:val="0"/>
              <w:keepLines w:val="0"/>
              <w:widowControl/>
              <w:suppressLineNumbers w:val="0"/>
              <w:adjustRightInd w:val="0"/>
              <w:snapToGrid w:val="0"/>
              <w:spacing w:before="0" w:beforeAutospacing="0" w:after="0" w:afterAutospacing="0" w:line="240" w:lineRule="exact"/>
              <w:ind w:left="0" w:right="0"/>
              <w:jc w:val="left"/>
              <w:textAlignment w:val="center"/>
              <w:rPr>
                <w:rFonts w:hint="default" w:cs="Times New Roman"/>
                <w:color w:val="auto"/>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150万元，1个；</w:t>
            </w:r>
          </w:p>
          <w:p w14:paraId="308E748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80万元，1个；50万元，2个；30万元，3个；20万元，3个；10万元，</w:t>
            </w:r>
            <w:r>
              <w:rPr>
                <w:rFonts w:hint="default" w:cs="Times New Roman"/>
                <w:color w:val="auto"/>
                <w:sz w:val="21"/>
                <w:szCs w:val="21"/>
                <w:highlight w:val="none"/>
                <w:u w:val="none"/>
                <w:lang w:val="en-US" w:eastAsia="zh-CN" w:bidi="ar"/>
              </w:rPr>
              <w:t>5</w:t>
            </w:r>
            <w:r>
              <w:rPr>
                <w:rFonts w:hint="default" w:ascii="Times New Roman" w:hAnsi="Times New Roman" w:eastAsia="仿宋_GB2312" w:cs="Times New Roman"/>
                <w:color w:val="auto"/>
                <w:sz w:val="21"/>
                <w:szCs w:val="21"/>
                <w:highlight w:val="none"/>
                <w:u w:val="none"/>
                <w:lang w:val="en-US" w:eastAsia="zh-CN" w:bidi="ar"/>
              </w:rPr>
              <w:t>个</w:t>
            </w:r>
          </w:p>
        </w:tc>
        <w:tc>
          <w:tcPr>
            <w:tcW w:w="788" w:type="pct"/>
            <w:noWrap w:val="0"/>
            <w:vAlign w:val="center"/>
          </w:tcPr>
          <w:p w14:paraId="06D962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cs="Times New Roman"/>
                <w:i w:val="0"/>
                <w:iCs w:val="0"/>
                <w:color w:val="auto"/>
                <w:kern w:val="0"/>
                <w:sz w:val="21"/>
                <w:szCs w:val="21"/>
                <w:highlight w:val="none"/>
                <w:u w:val="none"/>
                <w:lang w:val="en-US" w:eastAsia="zh-CN" w:bidi="ar"/>
                <w:woUserID w:val="0"/>
              </w:rPr>
            </w:pPr>
            <w:r>
              <w:rPr>
                <w:rFonts w:hint="default" w:ascii="Times New Roman" w:hAnsi="Times New Roman" w:cs="Times New Roman"/>
                <w:i w:val="0"/>
                <w:iCs w:val="0"/>
                <w:color w:val="auto"/>
                <w:kern w:val="0"/>
                <w:sz w:val="21"/>
                <w:szCs w:val="21"/>
                <w:highlight w:val="none"/>
                <w:u w:val="none"/>
                <w:lang w:val="en-US" w:eastAsia="zh-CN" w:bidi="ar"/>
                <w:woUserID w:val="0"/>
              </w:rPr>
              <w:t>完成</w:t>
            </w:r>
          </w:p>
        </w:tc>
      </w:tr>
      <w:tr w14:paraId="55F6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56" w:type="pct"/>
            <w:vMerge w:val="continue"/>
            <w:noWrap w:val="0"/>
            <w:vAlign w:val="center"/>
          </w:tcPr>
          <w:p w14:paraId="770C39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64CBEA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p>
        </w:tc>
        <w:tc>
          <w:tcPr>
            <w:tcW w:w="695" w:type="pct"/>
            <w:vMerge w:val="continue"/>
            <w:noWrap w:val="0"/>
            <w:vAlign w:val="center"/>
          </w:tcPr>
          <w:p w14:paraId="3368432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p>
        </w:tc>
        <w:tc>
          <w:tcPr>
            <w:tcW w:w="873" w:type="pct"/>
            <w:shd w:val="clear" w:color="auto" w:fill="auto"/>
            <w:noWrap w:val="0"/>
            <w:vAlign w:val="center"/>
          </w:tcPr>
          <w:p w14:paraId="7DDA437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专业口小型戏曲、戏剧、音乐、舞蹈、曲艺等支持资金</w:t>
            </w:r>
          </w:p>
        </w:tc>
        <w:tc>
          <w:tcPr>
            <w:tcW w:w="768" w:type="pct"/>
            <w:shd w:val="clear" w:color="auto" w:fill="auto"/>
            <w:noWrap w:val="0"/>
            <w:vAlign w:val="center"/>
          </w:tcPr>
          <w:p w14:paraId="3B30B6E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10万元，16个；8万元，13个</w:t>
            </w:r>
          </w:p>
        </w:tc>
        <w:tc>
          <w:tcPr>
            <w:tcW w:w="768" w:type="pct"/>
            <w:shd w:val="clear" w:color="auto" w:fill="auto"/>
            <w:noWrap w:val="0"/>
            <w:vAlign w:val="center"/>
          </w:tcPr>
          <w:p w14:paraId="5567C69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10万元，1</w:t>
            </w:r>
            <w:r>
              <w:rPr>
                <w:rFonts w:hint="default" w:cs="Times New Roman"/>
                <w:color w:val="auto"/>
                <w:sz w:val="21"/>
                <w:szCs w:val="21"/>
                <w:highlight w:val="none"/>
                <w:u w:val="none"/>
                <w:lang w:val="en-US" w:eastAsia="zh-CN" w:bidi="ar"/>
              </w:rPr>
              <w:t>5</w:t>
            </w:r>
            <w:r>
              <w:rPr>
                <w:rFonts w:hint="default" w:ascii="Times New Roman" w:hAnsi="Times New Roman" w:eastAsia="仿宋_GB2312" w:cs="Times New Roman"/>
                <w:color w:val="auto"/>
                <w:sz w:val="21"/>
                <w:szCs w:val="21"/>
                <w:highlight w:val="none"/>
                <w:u w:val="none"/>
                <w:lang w:val="en-US" w:eastAsia="zh-CN" w:bidi="ar"/>
              </w:rPr>
              <w:t>个；8万元，13个</w:t>
            </w:r>
          </w:p>
        </w:tc>
        <w:tc>
          <w:tcPr>
            <w:tcW w:w="788" w:type="pct"/>
            <w:noWrap w:val="0"/>
            <w:vAlign w:val="center"/>
          </w:tcPr>
          <w:p w14:paraId="0E7B94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cs="Times New Roman"/>
                <w:i w:val="0"/>
                <w:iCs w:val="0"/>
                <w:color w:val="auto"/>
                <w:kern w:val="0"/>
                <w:sz w:val="21"/>
                <w:szCs w:val="21"/>
                <w:highlight w:val="none"/>
                <w:u w:val="none"/>
                <w:lang w:val="en-US" w:eastAsia="zh-CN" w:bidi="ar"/>
                <w:woUserID w:val="0"/>
              </w:rPr>
            </w:pPr>
            <w:r>
              <w:rPr>
                <w:rFonts w:hint="default" w:ascii="Times New Roman" w:hAnsi="Times New Roman" w:cs="Times New Roman"/>
                <w:i w:val="0"/>
                <w:iCs w:val="0"/>
                <w:color w:val="auto"/>
                <w:kern w:val="0"/>
                <w:sz w:val="21"/>
                <w:szCs w:val="21"/>
                <w:highlight w:val="none"/>
                <w:u w:val="none"/>
                <w:lang w:val="en-US" w:eastAsia="zh-CN" w:bidi="ar"/>
                <w:woUserID w:val="0"/>
              </w:rPr>
              <w:t>完成</w:t>
            </w:r>
          </w:p>
        </w:tc>
      </w:tr>
      <w:tr w14:paraId="766C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vMerge w:val="continue"/>
            <w:noWrap w:val="0"/>
            <w:vAlign w:val="center"/>
          </w:tcPr>
          <w:p w14:paraId="7C9E7B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5F0C04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p>
        </w:tc>
        <w:tc>
          <w:tcPr>
            <w:tcW w:w="695" w:type="pct"/>
            <w:vMerge w:val="continue"/>
            <w:noWrap w:val="0"/>
            <w:vAlign w:val="center"/>
          </w:tcPr>
          <w:p w14:paraId="6DF021D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sz w:val="21"/>
                <w:szCs w:val="21"/>
                <w:highlight w:val="none"/>
                <w:u w:val="none"/>
                <w:lang w:bidi="ar"/>
              </w:rPr>
            </w:pPr>
          </w:p>
        </w:tc>
        <w:tc>
          <w:tcPr>
            <w:tcW w:w="873" w:type="pct"/>
            <w:shd w:val="clear" w:color="auto" w:fill="auto"/>
            <w:noWrap w:val="0"/>
            <w:vAlign w:val="center"/>
          </w:tcPr>
          <w:p w14:paraId="0E3A50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重大美术（书法、摄影）主题展支持资金</w:t>
            </w:r>
          </w:p>
        </w:tc>
        <w:tc>
          <w:tcPr>
            <w:tcW w:w="768" w:type="pct"/>
            <w:shd w:val="clear" w:color="auto" w:fill="auto"/>
            <w:noWrap w:val="0"/>
            <w:vAlign w:val="center"/>
          </w:tcPr>
          <w:p w14:paraId="231FAEA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20万元，2个；10万元，10个</w:t>
            </w:r>
          </w:p>
        </w:tc>
        <w:tc>
          <w:tcPr>
            <w:tcW w:w="768" w:type="pct"/>
            <w:shd w:val="clear" w:color="auto" w:fill="auto"/>
            <w:noWrap w:val="0"/>
            <w:vAlign w:val="center"/>
          </w:tcPr>
          <w:p w14:paraId="2D917AC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cs="Times New Roman"/>
                <w:color w:val="auto"/>
                <w:sz w:val="21"/>
                <w:szCs w:val="21"/>
                <w:highlight w:val="none"/>
                <w:u w:val="none"/>
                <w:lang w:val="en-US" w:eastAsia="zh-CN" w:bidi="ar"/>
              </w:rPr>
            </w:pPr>
            <w:r>
              <w:rPr>
                <w:rFonts w:hint="default" w:ascii="Times New Roman" w:hAnsi="Times New Roman" w:eastAsia="仿宋_GB2312" w:cs="Times New Roman"/>
                <w:color w:val="auto"/>
                <w:sz w:val="21"/>
                <w:szCs w:val="21"/>
                <w:highlight w:val="none"/>
                <w:u w:val="none"/>
                <w:lang w:val="en-US" w:eastAsia="zh-CN" w:bidi="ar"/>
              </w:rPr>
              <w:t>20</w:t>
            </w:r>
            <w:r>
              <w:rPr>
                <w:rFonts w:hint="default" w:cs="Times New Roman"/>
                <w:color w:val="auto"/>
                <w:sz w:val="21"/>
                <w:szCs w:val="21"/>
                <w:highlight w:val="none"/>
                <w:u w:val="none"/>
                <w:lang w:val="en-US" w:eastAsia="zh-CN" w:bidi="ar"/>
              </w:rPr>
              <w:t>0</w:t>
            </w:r>
            <w:r>
              <w:rPr>
                <w:rFonts w:hint="default" w:ascii="Times New Roman" w:hAnsi="Times New Roman" w:eastAsia="仿宋_GB2312" w:cs="Times New Roman"/>
                <w:color w:val="auto"/>
                <w:sz w:val="21"/>
                <w:szCs w:val="21"/>
                <w:highlight w:val="none"/>
                <w:u w:val="none"/>
                <w:lang w:val="en-US" w:eastAsia="zh-CN" w:bidi="ar"/>
              </w:rPr>
              <w:t>万元，</w:t>
            </w:r>
            <w:r>
              <w:rPr>
                <w:rFonts w:hint="default" w:cs="Times New Roman"/>
                <w:color w:val="auto"/>
                <w:sz w:val="21"/>
                <w:szCs w:val="21"/>
                <w:highlight w:val="none"/>
                <w:u w:val="none"/>
                <w:lang w:val="en-US" w:eastAsia="zh-CN" w:bidi="ar"/>
              </w:rPr>
              <w:t>1</w:t>
            </w:r>
            <w:r>
              <w:rPr>
                <w:rFonts w:hint="default" w:ascii="Times New Roman" w:hAnsi="Times New Roman" w:eastAsia="仿宋_GB2312" w:cs="Times New Roman"/>
                <w:color w:val="auto"/>
                <w:sz w:val="21"/>
                <w:szCs w:val="21"/>
                <w:highlight w:val="none"/>
                <w:u w:val="none"/>
                <w:lang w:val="en-US" w:eastAsia="zh-CN" w:bidi="ar"/>
              </w:rPr>
              <w:t>个；1</w:t>
            </w:r>
            <w:r>
              <w:rPr>
                <w:rFonts w:hint="default" w:cs="Times New Roman"/>
                <w:color w:val="auto"/>
                <w:sz w:val="21"/>
                <w:szCs w:val="21"/>
                <w:highlight w:val="none"/>
                <w:u w:val="none"/>
                <w:lang w:val="en-US" w:eastAsia="zh-CN" w:bidi="ar"/>
              </w:rPr>
              <w:t>70</w:t>
            </w:r>
            <w:r>
              <w:rPr>
                <w:rFonts w:hint="default" w:ascii="Times New Roman" w:hAnsi="Times New Roman" w:eastAsia="仿宋_GB2312" w:cs="Times New Roman"/>
                <w:color w:val="auto"/>
                <w:sz w:val="21"/>
                <w:szCs w:val="21"/>
                <w:highlight w:val="none"/>
                <w:u w:val="none"/>
                <w:lang w:val="en-US" w:eastAsia="zh-CN" w:bidi="ar"/>
              </w:rPr>
              <w:t>万元，</w:t>
            </w:r>
            <w:r>
              <w:rPr>
                <w:rFonts w:hint="default" w:cs="Times New Roman"/>
                <w:color w:val="auto"/>
                <w:sz w:val="21"/>
                <w:szCs w:val="21"/>
                <w:highlight w:val="none"/>
                <w:u w:val="none"/>
                <w:lang w:val="en-US" w:eastAsia="zh-CN" w:bidi="ar"/>
              </w:rPr>
              <w:t>1</w:t>
            </w:r>
            <w:r>
              <w:rPr>
                <w:rFonts w:hint="default" w:ascii="Times New Roman" w:hAnsi="Times New Roman" w:eastAsia="仿宋_GB2312" w:cs="Times New Roman"/>
                <w:color w:val="auto"/>
                <w:sz w:val="21"/>
                <w:szCs w:val="21"/>
                <w:highlight w:val="none"/>
                <w:u w:val="none"/>
                <w:lang w:val="en-US" w:eastAsia="zh-CN" w:bidi="ar"/>
              </w:rPr>
              <w:t>个</w:t>
            </w:r>
            <w:r>
              <w:rPr>
                <w:rFonts w:hint="default" w:cs="Times New Roman"/>
                <w:color w:val="auto"/>
                <w:sz w:val="21"/>
                <w:szCs w:val="21"/>
                <w:highlight w:val="none"/>
                <w:u w:val="none"/>
                <w:lang w:val="en-US" w:eastAsia="zh-CN" w:bidi="ar"/>
              </w:rPr>
              <w:t>；</w:t>
            </w:r>
            <w:r>
              <w:rPr>
                <w:rFonts w:hint="default" w:ascii="Times New Roman" w:hAnsi="Times New Roman" w:eastAsia="仿宋_GB2312" w:cs="Times New Roman"/>
                <w:color w:val="auto"/>
                <w:sz w:val="21"/>
                <w:szCs w:val="21"/>
                <w:highlight w:val="none"/>
                <w:u w:val="none"/>
                <w:lang w:val="en-US" w:eastAsia="zh-CN" w:bidi="ar"/>
              </w:rPr>
              <w:t>10</w:t>
            </w:r>
            <w:r>
              <w:rPr>
                <w:rFonts w:hint="default" w:cs="Times New Roman"/>
                <w:color w:val="auto"/>
                <w:sz w:val="21"/>
                <w:szCs w:val="21"/>
                <w:highlight w:val="none"/>
                <w:u w:val="none"/>
                <w:lang w:val="en-US" w:eastAsia="zh-CN" w:bidi="ar"/>
              </w:rPr>
              <w:t>0</w:t>
            </w:r>
            <w:r>
              <w:rPr>
                <w:rFonts w:hint="default" w:ascii="Times New Roman" w:hAnsi="Times New Roman" w:eastAsia="仿宋_GB2312" w:cs="Times New Roman"/>
                <w:color w:val="auto"/>
                <w:sz w:val="21"/>
                <w:szCs w:val="21"/>
                <w:highlight w:val="none"/>
                <w:u w:val="none"/>
                <w:lang w:val="en-US" w:eastAsia="zh-CN" w:bidi="ar"/>
              </w:rPr>
              <w:t>万元，1个</w:t>
            </w:r>
            <w:r>
              <w:rPr>
                <w:rFonts w:hint="default" w:cs="Times New Roman"/>
                <w:color w:val="auto"/>
                <w:sz w:val="21"/>
                <w:szCs w:val="21"/>
                <w:highlight w:val="none"/>
                <w:u w:val="none"/>
                <w:lang w:val="en-US" w:eastAsia="zh-CN" w:bidi="ar"/>
              </w:rPr>
              <w:t>；</w:t>
            </w:r>
          </w:p>
          <w:p w14:paraId="20679C4B">
            <w:pPr>
              <w:keepNext w:val="0"/>
              <w:keepLines w:val="0"/>
              <w:widowControl/>
              <w:suppressLineNumbers w:val="0"/>
              <w:adjustRightInd w:val="0"/>
              <w:snapToGrid w:val="0"/>
              <w:spacing w:before="0" w:beforeAutospacing="0" w:after="0" w:afterAutospacing="0" w:line="240" w:lineRule="exact"/>
              <w:ind w:left="0" w:right="0"/>
              <w:jc w:val="left"/>
              <w:textAlignment w:val="center"/>
              <w:rPr>
                <w:rFonts w:hint="default" w:cs="Times New Roman"/>
                <w:color w:val="auto"/>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20万元，2个；10万元，10个</w:t>
            </w:r>
          </w:p>
        </w:tc>
        <w:tc>
          <w:tcPr>
            <w:tcW w:w="788" w:type="pct"/>
            <w:noWrap w:val="0"/>
            <w:vAlign w:val="center"/>
          </w:tcPr>
          <w:p w14:paraId="66F261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center"/>
              <w:rPr>
                <w:rFonts w:hint="default" w:ascii="Times New Roman" w:hAnsi="Times New Roman" w:cs="Times New Roman"/>
                <w:i w:val="0"/>
                <w:iCs w:val="0"/>
                <w:color w:val="auto"/>
                <w:kern w:val="0"/>
                <w:sz w:val="21"/>
                <w:szCs w:val="21"/>
                <w:highlight w:val="none"/>
                <w:u w:val="none"/>
                <w:lang w:val="en-US" w:eastAsia="zh-CN" w:bidi="ar"/>
                <w:woUserID w:val="0"/>
              </w:rPr>
            </w:pPr>
            <w:r>
              <w:rPr>
                <w:rFonts w:hint="default" w:ascii="Times New Roman" w:hAnsi="Times New Roman" w:cs="Times New Roman"/>
                <w:i w:val="0"/>
                <w:iCs w:val="0"/>
                <w:color w:val="auto"/>
                <w:kern w:val="0"/>
                <w:sz w:val="21"/>
                <w:szCs w:val="21"/>
                <w:highlight w:val="none"/>
                <w:u w:val="none"/>
                <w:lang w:val="en-US" w:eastAsia="zh-CN" w:bidi="ar"/>
                <w:woUserID w:val="0"/>
              </w:rPr>
              <w:t>完成</w:t>
            </w:r>
          </w:p>
        </w:tc>
      </w:tr>
      <w:tr w14:paraId="14F5D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556" w:type="pct"/>
            <w:vMerge w:val="continue"/>
            <w:noWrap w:val="0"/>
            <w:vAlign w:val="center"/>
          </w:tcPr>
          <w:p w14:paraId="277834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05D5BE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center"/>
          </w:tcPr>
          <w:p w14:paraId="1B7C7E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3" w:type="pct"/>
            <w:shd w:val="clear" w:color="auto" w:fill="auto"/>
            <w:noWrap w:val="0"/>
            <w:vAlign w:val="center"/>
          </w:tcPr>
          <w:p w14:paraId="7710868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群文口小型戏曲、戏剧、音乐、舞蹈、曲艺等支持资金</w:t>
            </w:r>
          </w:p>
        </w:tc>
        <w:tc>
          <w:tcPr>
            <w:tcW w:w="768" w:type="pct"/>
            <w:shd w:val="clear" w:color="auto" w:fill="auto"/>
            <w:noWrap w:val="0"/>
            <w:vAlign w:val="center"/>
          </w:tcPr>
          <w:p w14:paraId="245929A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32万元，1个；30万元，1个；20万元，7个；15万元，10个；8万元，41个</w:t>
            </w:r>
          </w:p>
        </w:tc>
        <w:tc>
          <w:tcPr>
            <w:tcW w:w="768" w:type="pct"/>
            <w:shd w:val="clear" w:color="auto" w:fill="auto"/>
            <w:noWrap w:val="0"/>
            <w:vAlign w:val="center"/>
          </w:tcPr>
          <w:p w14:paraId="2F0BBA0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i w:val="0"/>
                <w:iCs w:val="0"/>
                <w:color w:val="auto"/>
                <w:kern w:val="0"/>
                <w:sz w:val="20"/>
                <w:szCs w:val="20"/>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32万元，1个；30万元，1个；20万元，7个；15万元，10个；8万元，41个</w:t>
            </w:r>
          </w:p>
        </w:tc>
        <w:tc>
          <w:tcPr>
            <w:tcW w:w="788" w:type="pct"/>
            <w:noWrap w:val="0"/>
            <w:vAlign w:val="center"/>
          </w:tcPr>
          <w:p w14:paraId="76927E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cs="Times New Roman"/>
                <w:i w:val="0"/>
                <w:iCs w:val="0"/>
                <w:color w:val="auto"/>
                <w:kern w:val="0"/>
                <w:sz w:val="20"/>
                <w:szCs w:val="20"/>
                <w:highlight w:val="none"/>
                <w:u w:val="none"/>
                <w:lang w:val="en-US" w:eastAsia="zh-CN" w:bidi="ar"/>
                <w:woUserID w:val="0"/>
              </w:rPr>
            </w:pPr>
            <w:r>
              <w:rPr>
                <w:rFonts w:hint="eastAsia" w:ascii="Times New Roman" w:hAnsi="Times New Roman" w:cs="Times New Roman"/>
                <w:i w:val="0"/>
                <w:iCs w:val="0"/>
                <w:color w:val="auto"/>
                <w:kern w:val="0"/>
                <w:sz w:val="20"/>
                <w:szCs w:val="20"/>
                <w:highlight w:val="none"/>
                <w:u w:val="none"/>
                <w:lang w:val="en-US" w:eastAsia="zh-CN" w:bidi="ar"/>
                <w:woUserID w:val="0"/>
              </w:rPr>
              <w:t>完成</w:t>
            </w:r>
          </w:p>
        </w:tc>
      </w:tr>
      <w:tr w14:paraId="7C34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vMerge w:val="continue"/>
            <w:noWrap w:val="0"/>
            <w:vAlign w:val="center"/>
          </w:tcPr>
          <w:p w14:paraId="58F2C2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047258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center"/>
          </w:tcPr>
          <w:p w14:paraId="2068F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3" w:type="pct"/>
            <w:shd w:val="clear" w:color="auto" w:fill="auto"/>
            <w:noWrap w:val="0"/>
            <w:vAlign w:val="center"/>
          </w:tcPr>
          <w:p w14:paraId="118CFFE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惠民演出费用</w:t>
            </w:r>
          </w:p>
          <w:p w14:paraId="43A09B2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标准</w:t>
            </w:r>
          </w:p>
        </w:tc>
        <w:tc>
          <w:tcPr>
            <w:tcW w:w="768" w:type="pct"/>
            <w:shd w:val="clear" w:color="auto" w:fill="auto"/>
            <w:noWrap w:val="0"/>
            <w:vAlign w:val="center"/>
          </w:tcPr>
          <w:p w14:paraId="6C2701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color w:val="auto"/>
                <w:sz w:val="20"/>
                <w:szCs w:val="20"/>
                <w:highlight w:val="none"/>
                <w:lang w:val="en-US" w:eastAsia="zh-CN"/>
              </w:rPr>
              <w:t>100万元，1个；50万元，12个；30万元，1个；20万元，1个</w:t>
            </w:r>
          </w:p>
        </w:tc>
        <w:tc>
          <w:tcPr>
            <w:tcW w:w="768" w:type="pct"/>
            <w:shd w:val="clear" w:color="auto" w:fill="auto"/>
            <w:noWrap w:val="0"/>
            <w:vAlign w:val="center"/>
          </w:tcPr>
          <w:p w14:paraId="3C8CDC9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color w:val="auto"/>
                <w:sz w:val="20"/>
                <w:szCs w:val="20"/>
                <w:highlight w:val="none"/>
                <w:lang w:val="en-US" w:eastAsia="zh-CN"/>
              </w:rPr>
            </w:pPr>
            <w:r>
              <w:rPr>
                <w:rFonts w:hint="eastAsia" w:cs="Times New Roman"/>
                <w:color w:val="auto"/>
                <w:sz w:val="20"/>
                <w:szCs w:val="20"/>
                <w:highlight w:val="none"/>
                <w:lang w:val="en-US" w:eastAsia="zh-CN"/>
              </w:rPr>
              <w:t>180万元，1个；</w:t>
            </w:r>
          </w:p>
          <w:p w14:paraId="4094FBA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100万元，1个；</w:t>
            </w:r>
          </w:p>
          <w:p w14:paraId="2958C7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color w:val="auto"/>
                <w:sz w:val="20"/>
                <w:szCs w:val="20"/>
                <w:highlight w:val="none"/>
                <w:lang w:val="en-US" w:eastAsia="zh-CN"/>
              </w:rPr>
            </w:pPr>
            <w:r>
              <w:rPr>
                <w:rFonts w:hint="eastAsia" w:cs="Times New Roman"/>
                <w:color w:val="auto"/>
                <w:sz w:val="20"/>
                <w:szCs w:val="20"/>
                <w:highlight w:val="none"/>
                <w:lang w:val="en-US" w:eastAsia="zh-CN"/>
              </w:rPr>
              <w:t>80</w:t>
            </w:r>
            <w:r>
              <w:rPr>
                <w:rFonts w:hint="eastAsia" w:ascii="Times New Roman" w:hAnsi="Times New Roman" w:eastAsia="仿宋_GB2312" w:cs="Times New Roman"/>
                <w:color w:val="auto"/>
                <w:sz w:val="20"/>
                <w:szCs w:val="20"/>
                <w:highlight w:val="none"/>
                <w:lang w:val="en-US" w:eastAsia="zh-CN"/>
              </w:rPr>
              <w:t>万元，</w:t>
            </w:r>
            <w:r>
              <w:rPr>
                <w:rFonts w:hint="eastAsia" w:cs="Times New Roman"/>
                <w:color w:val="auto"/>
                <w:sz w:val="20"/>
                <w:szCs w:val="20"/>
                <w:highlight w:val="none"/>
                <w:lang w:val="en-US" w:eastAsia="zh-CN"/>
              </w:rPr>
              <w:t>2</w:t>
            </w:r>
            <w:r>
              <w:rPr>
                <w:rFonts w:hint="eastAsia" w:ascii="Times New Roman" w:hAnsi="Times New Roman" w:eastAsia="仿宋_GB2312" w:cs="Times New Roman"/>
                <w:color w:val="auto"/>
                <w:sz w:val="20"/>
                <w:szCs w:val="20"/>
                <w:highlight w:val="none"/>
                <w:lang w:val="en-US" w:eastAsia="zh-CN"/>
              </w:rPr>
              <w:t>个；</w:t>
            </w:r>
          </w:p>
          <w:p w14:paraId="12B1E6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color w:val="auto"/>
                <w:sz w:val="20"/>
                <w:szCs w:val="20"/>
                <w:highlight w:val="none"/>
                <w:lang w:val="en-US" w:eastAsia="zh-CN"/>
              </w:rPr>
            </w:pPr>
            <w:r>
              <w:rPr>
                <w:rFonts w:hint="eastAsia" w:cs="Times New Roman"/>
                <w:color w:val="auto"/>
                <w:sz w:val="20"/>
                <w:szCs w:val="20"/>
                <w:highlight w:val="none"/>
                <w:lang w:val="en-US" w:eastAsia="zh-CN"/>
              </w:rPr>
              <w:t>60</w:t>
            </w:r>
            <w:r>
              <w:rPr>
                <w:rFonts w:hint="eastAsia" w:ascii="Times New Roman" w:hAnsi="Times New Roman" w:eastAsia="仿宋_GB2312" w:cs="Times New Roman"/>
                <w:color w:val="auto"/>
                <w:sz w:val="20"/>
                <w:szCs w:val="20"/>
                <w:highlight w:val="none"/>
                <w:lang w:val="en-US" w:eastAsia="zh-CN"/>
              </w:rPr>
              <w:t>万元，1个；</w:t>
            </w:r>
          </w:p>
          <w:p w14:paraId="1BC5EF8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eastAsia="仿宋_GB2312"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50万元，1</w:t>
            </w:r>
            <w:r>
              <w:rPr>
                <w:rFonts w:hint="eastAsia" w:cs="Times New Roman"/>
                <w:color w:val="auto"/>
                <w:sz w:val="20"/>
                <w:szCs w:val="20"/>
                <w:highlight w:val="none"/>
                <w:lang w:val="en-US" w:eastAsia="zh-CN"/>
              </w:rPr>
              <w:t>3</w:t>
            </w:r>
            <w:r>
              <w:rPr>
                <w:rFonts w:hint="eastAsia" w:ascii="Times New Roman" w:hAnsi="Times New Roman" w:eastAsia="仿宋_GB2312" w:cs="Times New Roman"/>
                <w:color w:val="auto"/>
                <w:sz w:val="20"/>
                <w:szCs w:val="20"/>
                <w:highlight w:val="none"/>
                <w:lang w:val="en-US" w:eastAsia="zh-CN"/>
              </w:rPr>
              <w:t>个；3</w:t>
            </w:r>
            <w:r>
              <w:rPr>
                <w:rFonts w:hint="eastAsia" w:cs="Times New Roman"/>
                <w:color w:val="auto"/>
                <w:sz w:val="20"/>
                <w:szCs w:val="20"/>
                <w:highlight w:val="none"/>
                <w:lang w:val="en-US" w:eastAsia="zh-CN"/>
              </w:rPr>
              <w:t>1</w:t>
            </w:r>
            <w:r>
              <w:rPr>
                <w:rFonts w:hint="eastAsia" w:ascii="Times New Roman" w:hAnsi="Times New Roman" w:eastAsia="仿宋_GB2312" w:cs="Times New Roman"/>
                <w:color w:val="auto"/>
                <w:sz w:val="20"/>
                <w:szCs w:val="20"/>
                <w:highlight w:val="none"/>
                <w:lang w:val="en-US" w:eastAsia="zh-CN"/>
              </w:rPr>
              <w:t>万元，1个；</w:t>
            </w:r>
          </w:p>
          <w:p w14:paraId="693A6E81">
            <w:pPr>
              <w:keepNext w:val="0"/>
              <w:keepLines w:val="0"/>
              <w:widowControl/>
              <w:suppressLineNumbers w:val="0"/>
              <w:adjustRightInd w:val="0"/>
              <w:snapToGrid w:val="0"/>
              <w:spacing w:before="0" w:beforeAutospacing="0" w:after="0" w:afterAutospacing="0" w:line="240" w:lineRule="exact"/>
              <w:ind w:left="0" w:right="0"/>
              <w:jc w:val="center"/>
              <w:textAlignment w:val="center"/>
              <w:rPr>
                <w:rFonts w:hint="eastAsia"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30万元，1个；</w:t>
            </w:r>
          </w:p>
          <w:p w14:paraId="6E080FE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2</w:t>
            </w:r>
            <w:r>
              <w:rPr>
                <w:rFonts w:hint="eastAsia" w:cs="Times New Roman"/>
                <w:color w:val="auto"/>
                <w:sz w:val="20"/>
                <w:szCs w:val="20"/>
                <w:highlight w:val="none"/>
                <w:lang w:val="en-US" w:eastAsia="zh-CN"/>
              </w:rPr>
              <w:t>5</w:t>
            </w:r>
            <w:r>
              <w:rPr>
                <w:rFonts w:hint="eastAsia" w:ascii="Times New Roman" w:hAnsi="Times New Roman" w:eastAsia="仿宋_GB2312" w:cs="Times New Roman"/>
                <w:color w:val="auto"/>
                <w:sz w:val="20"/>
                <w:szCs w:val="20"/>
                <w:highlight w:val="none"/>
                <w:lang w:val="en-US" w:eastAsia="zh-CN"/>
              </w:rPr>
              <w:t>万元，1个</w:t>
            </w:r>
            <w:r>
              <w:rPr>
                <w:rFonts w:hint="eastAsia" w:cs="Times New Roman"/>
                <w:color w:val="auto"/>
                <w:sz w:val="20"/>
                <w:szCs w:val="20"/>
                <w:highlight w:val="none"/>
                <w:lang w:val="en-US" w:eastAsia="zh-CN"/>
              </w:rPr>
              <w:t>；</w:t>
            </w:r>
          </w:p>
          <w:p w14:paraId="70CC0BA2">
            <w:pPr>
              <w:keepNext w:val="0"/>
              <w:keepLines w:val="0"/>
              <w:widowControl/>
              <w:suppressLineNumbers w:val="0"/>
              <w:adjustRightInd w:val="0"/>
              <w:snapToGrid w:val="0"/>
              <w:spacing w:before="0" w:beforeAutospacing="0" w:after="0" w:afterAutospacing="0" w:line="240" w:lineRule="exact"/>
              <w:ind w:left="0" w:right="0"/>
              <w:jc w:val="center"/>
              <w:textAlignment w:val="center"/>
              <w:rPr>
                <w:rFonts w:hint="eastAsia" w:cs="Times New Roman"/>
                <w:color w:val="auto"/>
                <w:sz w:val="20"/>
                <w:szCs w:val="20"/>
                <w:highlight w:val="none"/>
                <w:lang w:val="en-US" w:eastAsia="zh-CN"/>
              </w:rPr>
            </w:pPr>
            <w:r>
              <w:rPr>
                <w:rFonts w:hint="eastAsia" w:ascii="Times New Roman" w:hAnsi="Times New Roman" w:eastAsia="仿宋_GB2312" w:cs="Times New Roman"/>
                <w:color w:val="auto"/>
                <w:sz w:val="20"/>
                <w:szCs w:val="20"/>
                <w:highlight w:val="none"/>
                <w:lang w:val="en-US" w:eastAsia="zh-CN"/>
              </w:rPr>
              <w:t>23万元，1个；20万元，1个</w:t>
            </w:r>
            <w:r>
              <w:rPr>
                <w:rFonts w:hint="eastAsia" w:cs="Times New Roman"/>
                <w:color w:val="auto"/>
                <w:sz w:val="20"/>
                <w:szCs w:val="20"/>
                <w:highlight w:val="none"/>
                <w:lang w:val="en-US" w:eastAsia="zh-CN"/>
              </w:rPr>
              <w:t>；</w:t>
            </w:r>
            <w:r>
              <w:rPr>
                <w:rFonts w:hint="eastAsia" w:ascii="Times New Roman" w:hAnsi="Times New Roman" w:eastAsia="仿宋_GB2312" w:cs="Times New Roman"/>
                <w:color w:val="auto"/>
                <w:kern w:val="0"/>
                <w:sz w:val="20"/>
                <w:szCs w:val="20"/>
                <w:highlight w:val="none"/>
                <w:lang w:val="en-US" w:eastAsia="zh-CN" w:bidi="ar-SA"/>
              </w:rPr>
              <w:t>20万元以下，17个</w:t>
            </w:r>
          </w:p>
          <w:p w14:paraId="44B2DDD2">
            <w:pPr>
              <w:keepNext w:val="0"/>
              <w:keepLines w:val="0"/>
              <w:widowControl/>
              <w:suppressLineNumbers w:val="0"/>
              <w:adjustRightInd w:val="0"/>
              <w:snapToGrid w:val="0"/>
              <w:spacing w:before="0" w:beforeAutospacing="0" w:after="0" w:afterAutospacing="0" w:line="240" w:lineRule="exact"/>
              <w:ind w:left="0" w:right="0" w:firstLine="0" w:firstLineChars="0"/>
              <w:jc w:val="center"/>
              <w:textAlignment w:val="center"/>
              <w:rPr>
                <w:rFonts w:hint="eastAsia" w:cs="Times New Roman"/>
                <w:color w:val="auto"/>
                <w:sz w:val="20"/>
                <w:szCs w:val="20"/>
                <w:highlight w:val="none"/>
                <w:lang w:val="en-US" w:eastAsia="zh-CN"/>
              </w:rPr>
            </w:pPr>
          </w:p>
        </w:tc>
        <w:tc>
          <w:tcPr>
            <w:tcW w:w="788" w:type="pct"/>
            <w:noWrap w:val="0"/>
            <w:vAlign w:val="center"/>
          </w:tcPr>
          <w:p w14:paraId="3739A7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eastAsia" w:ascii="Times New Roman" w:hAnsi="Times New Roman" w:cs="Times New Roman"/>
                <w:i w:val="0"/>
                <w:iCs w:val="0"/>
                <w:color w:val="auto"/>
                <w:kern w:val="0"/>
                <w:sz w:val="20"/>
                <w:szCs w:val="20"/>
                <w:highlight w:val="none"/>
                <w:u w:val="none"/>
                <w:lang w:val="en-US" w:eastAsia="zh-CN" w:bidi="ar"/>
                <w:woUserID w:val="0"/>
              </w:rPr>
            </w:pPr>
            <w:r>
              <w:rPr>
                <w:rFonts w:hint="eastAsia" w:ascii="Times New Roman" w:hAnsi="Times New Roman" w:cs="Times New Roman"/>
                <w:i w:val="0"/>
                <w:iCs w:val="0"/>
                <w:color w:val="auto"/>
                <w:kern w:val="0"/>
                <w:sz w:val="20"/>
                <w:szCs w:val="20"/>
                <w:highlight w:val="none"/>
                <w:u w:val="none"/>
                <w:lang w:val="en-US" w:eastAsia="zh-CN" w:bidi="ar"/>
                <w:woUserID w:val="0"/>
              </w:rPr>
              <w:t>完成</w:t>
            </w:r>
          </w:p>
        </w:tc>
      </w:tr>
      <w:tr w14:paraId="64E1E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46F2B8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59DA2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noWrap w:val="0"/>
            <w:vAlign w:val="center"/>
          </w:tcPr>
          <w:p w14:paraId="442C3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社会成本指标</w:t>
            </w:r>
          </w:p>
        </w:tc>
        <w:tc>
          <w:tcPr>
            <w:tcW w:w="873" w:type="pct"/>
            <w:shd w:val="clear" w:color="auto" w:fill="auto"/>
            <w:noWrap w:val="0"/>
            <w:vAlign w:val="center"/>
          </w:tcPr>
          <w:p w14:paraId="2A4ECD6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768" w:type="pct"/>
            <w:noWrap w:val="0"/>
            <w:vAlign w:val="center"/>
          </w:tcPr>
          <w:p w14:paraId="66DE0C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sz w:val="21"/>
                <w:szCs w:val="21"/>
                <w:u w:val="none"/>
                <w:lang w:val="en-US" w:eastAsia="zh-CN"/>
              </w:rPr>
            </w:pPr>
            <w:r>
              <w:rPr>
                <w:rFonts w:hint="eastAsia" w:cs="Times New Roman"/>
                <w:i w:val="0"/>
                <w:iCs w:val="0"/>
                <w:color w:val="auto"/>
                <w:sz w:val="21"/>
                <w:szCs w:val="21"/>
                <w:u w:val="none"/>
                <w:lang w:val="en-US" w:eastAsia="zh-CN"/>
              </w:rPr>
              <w:t>=0次</w:t>
            </w:r>
          </w:p>
        </w:tc>
        <w:tc>
          <w:tcPr>
            <w:tcW w:w="768" w:type="pct"/>
            <w:noWrap w:val="0"/>
            <w:vAlign w:val="center"/>
          </w:tcPr>
          <w:p w14:paraId="52B9C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1"/>
              </w:rPr>
            </w:pPr>
            <w:r>
              <w:rPr>
                <w:rFonts w:hint="eastAsia" w:cs="Times New Roman"/>
                <w:i w:val="0"/>
                <w:iCs w:val="0"/>
                <w:color w:val="auto"/>
                <w:kern w:val="0"/>
                <w:sz w:val="21"/>
                <w:szCs w:val="21"/>
                <w:u w:val="none"/>
                <w:lang w:val="en-US" w:eastAsia="zh-CN" w:bidi="ar"/>
                <w:woUserID w:val="1"/>
              </w:rPr>
              <w:t>0次</w:t>
            </w:r>
          </w:p>
        </w:tc>
        <w:tc>
          <w:tcPr>
            <w:tcW w:w="788" w:type="pct"/>
            <w:noWrap w:val="0"/>
            <w:vAlign w:val="center"/>
          </w:tcPr>
          <w:p w14:paraId="7C4BFF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23A0A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23A971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550" w:type="pct"/>
            <w:vMerge w:val="continue"/>
            <w:noWrap w:val="0"/>
            <w:vAlign w:val="center"/>
          </w:tcPr>
          <w:p w14:paraId="1E50D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695" w:type="pct"/>
            <w:noWrap w:val="0"/>
            <w:vAlign w:val="center"/>
          </w:tcPr>
          <w:p w14:paraId="5700C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生态环境成本指标</w:t>
            </w:r>
          </w:p>
        </w:tc>
        <w:tc>
          <w:tcPr>
            <w:tcW w:w="873" w:type="pct"/>
            <w:shd w:val="clear" w:color="auto" w:fill="auto"/>
            <w:noWrap w:val="0"/>
            <w:vAlign w:val="center"/>
          </w:tcPr>
          <w:p w14:paraId="3BBB7D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不占用永久基本农田和生态保护红线的零星民宿用地</w:t>
            </w:r>
          </w:p>
        </w:tc>
        <w:tc>
          <w:tcPr>
            <w:tcW w:w="768" w:type="pct"/>
            <w:shd w:val="clear" w:color="auto" w:fill="auto"/>
            <w:noWrap w:val="0"/>
            <w:vAlign w:val="center"/>
          </w:tcPr>
          <w:p w14:paraId="34E822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r>
              <w:rPr>
                <w:rFonts w:hint="eastAsia" w:ascii="Times New Roman" w:hAnsi="Times New Roman" w:cs="Times New Roman"/>
                <w:i w:val="0"/>
                <w:iCs w:val="0"/>
                <w:color w:val="auto"/>
                <w:kern w:val="0"/>
                <w:sz w:val="21"/>
                <w:szCs w:val="21"/>
                <w:highlight w:val="none"/>
                <w:u w:val="none"/>
                <w:lang w:val="en-US" w:eastAsia="zh-CN" w:bidi="ar"/>
              </w:rPr>
              <w:t>平方米</w:t>
            </w:r>
          </w:p>
        </w:tc>
        <w:tc>
          <w:tcPr>
            <w:tcW w:w="768" w:type="pct"/>
            <w:shd w:val="clear" w:color="auto" w:fill="auto"/>
            <w:noWrap w:val="0"/>
            <w:vAlign w:val="center"/>
          </w:tcPr>
          <w:p w14:paraId="4C56D4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cs="Times New Roman"/>
                <w:i w:val="0"/>
                <w:iCs w:val="0"/>
                <w:color w:val="auto"/>
                <w:kern w:val="0"/>
                <w:sz w:val="21"/>
                <w:szCs w:val="21"/>
                <w:highlight w:val="none"/>
                <w:u w:val="none"/>
                <w:lang w:val="en-US" w:eastAsia="zh-CN" w:bidi="ar"/>
                <w:woUserID w:val="1"/>
              </w:rPr>
              <w:t>0</w:t>
            </w:r>
          </w:p>
        </w:tc>
        <w:tc>
          <w:tcPr>
            <w:tcW w:w="788" w:type="pct"/>
            <w:shd w:val="clear" w:color="auto" w:fill="auto"/>
            <w:noWrap w:val="0"/>
            <w:vAlign w:val="center"/>
          </w:tcPr>
          <w:p w14:paraId="4201E9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66C6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556" w:type="pct"/>
            <w:vMerge w:val="continue"/>
            <w:noWrap w:val="0"/>
            <w:vAlign w:val="center"/>
          </w:tcPr>
          <w:p w14:paraId="31D9D9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restart"/>
            <w:noWrap w:val="0"/>
            <w:vAlign w:val="center"/>
          </w:tcPr>
          <w:p w14:paraId="2E9912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产出指标</w:t>
            </w:r>
          </w:p>
        </w:tc>
        <w:tc>
          <w:tcPr>
            <w:tcW w:w="695" w:type="pct"/>
            <w:vMerge w:val="restart"/>
            <w:noWrap w:val="0"/>
            <w:vAlign w:val="center"/>
          </w:tcPr>
          <w:p w14:paraId="70F30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数量指标</w:t>
            </w:r>
          </w:p>
        </w:tc>
        <w:tc>
          <w:tcPr>
            <w:tcW w:w="873" w:type="pct"/>
            <w:shd w:val="clear" w:color="auto" w:fill="auto"/>
            <w:noWrap w:val="0"/>
            <w:vAlign w:val="center"/>
          </w:tcPr>
          <w:p w14:paraId="264C8E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专业口大戏</w:t>
            </w:r>
          </w:p>
        </w:tc>
        <w:tc>
          <w:tcPr>
            <w:tcW w:w="768" w:type="pct"/>
            <w:shd w:val="clear" w:color="auto" w:fill="auto"/>
            <w:noWrap w:val="0"/>
            <w:vAlign w:val="center"/>
          </w:tcPr>
          <w:p w14:paraId="06E8DB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11</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68" w:type="pct"/>
            <w:shd w:val="clear" w:color="auto" w:fill="auto"/>
            <w:noWrap w:val="0"/>
            <w:vAlign w:val="center"/>
          </w:tcPr>
          <w:p w14:paraId="281807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color w:val="auto"/>
                <w:kern w:val="0"/>
                <w:sz w:val="21"/>
                <w:szCs w:val="21"/>
                <w:highlight w:val="none"/>
                <w:u w:val="none"/>
                <w:lang w:val="en-US" w:eastAsia="zh-CN" w:bidi="ar"/>
                <w:woUserID w:val="1"/>
              </w:rPr>
              <w:t>22个</w:t>
            </w:r>
          </w:p>
        </w:tc>
        <w:tc>
          <w:tcPr>
            <w:tcW w:w="788" w:type="pct"/>
            <w:noWrap w:val="0"/>
            <w:vAlign w:val="center"/>
          </w:tcPr>
          <w:p w14:paraId="4BBEBE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0F61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596420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center"/>
          </w:tcPr>
          <w:p w14:paraId="308D8F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5" w:type="pct"/>
            <w:vMerge w:val="continue"/>
            <w:noWrap w:val="0"/>
            <w:vAlign w:val="center"/>
          </w:tcPr>
          <w:p w14:paraId="2AC704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1"/>
              </w:rPr>
            </w:pPr>
          </w:p>
        </w:tc>
        <w:tc>
          <w:tcPr>
            <w:tcW w:w="873" w:type="pct"/>
            <w:shd w:val="clear" w:color="auto" w:fill="auto"/>
            <w:noWrap w:val="0"/>
            <w:vAlign w:val="center"/>
          </w:tcPr>
          <w:p w14:paraId="4C81B75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专业口小型戏曲、戏剧、音乐、舞蹈、曲艺等</w:t>
            </w:r>
          </w:p>
        </w:tc>
        <w:tc>
          <w:tcPr>
            <w:tcW w:w="768" w:type="pct"/>
            <w:shd w:val="clear" w:color="auto" w:fill="auto"/>
            <w:noWrap w:val="0"/>
            <w:vAlign w:val="center"/>
          </w:tcPr>
          <w:p w14:paraId="2D9DD33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30</w:t>
            </w:r>
            <w:r>
              <w:rPr>
                <w:rFonts w:hint="eastAsia" w:ascii="Times New Roman" w:hAnsi="Times New Roman" w:cs="Times New Roman"/>
                <w:i w:val="0"/>
                <w:iCs w:val="0"/>
                <w:color w:val="auto"/>
                <w:kern w:val="0"/>
                <w:sz w:val="21"/>
                <w:szCs w:val="21"/>
                <w:highlight w:val="none"/>
                <w:u w:val="none"/>
                <w:lang w:val="en-US" w:eastAsia="zh-CN" w:bidi="ar"/>
              </w:rPr>
              <w:t>个左右</w:t>
            </w:r>
          </w:p>
        </w:tc>
        <w:tc>
          <w:tcPr>
            <w:tcW w:w="768" w:type="pct"/>
            <w:shd w:val="clear" w:color="auto" w:fill="auto"/>
            <w:noWrap w:val="0"/>
            <w:vAlign w:val="center"/>
          </w:tcPr>
          <w:p w14:paraId="4C2F0D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cs="Times New Roman"/>
                <w:i w:val="0"/>
                <w:iCs w:val="0"/>
                <w:color w:val="auto"/>
                <w:kern w:val="0"/>
                <w:sz w:val="21"/>
                <w:szCs w:val="21"/>
                <w:highlight w:val="none"/>
                <w:u w:val="none"/>
                <w:lang w:val="en-US" w:eastAsia="zh-CN" w:bidi="ar"/>
                <w:woUserID w:val="1"/>
              </w:rPr>
              <w:t>28</w:t>
            </w:r>
            <w:r>
              <w:rPr>
                <w:rFonts w:hint="default" w:ascii="Times New Roman" w:hAnsi="Times New Roman" w:cs="Times New Roman"/>
                <w:i w:val="0"/>
                <w:iCs w:val="0"/>
                <w:color w:val="auto"/>
                <w:kern w:val="0"/>
                <w:sz w:val="21"/>
                <w:szCs w:val="21"/>
                <w:highlight w:val="none"/>
                <w:u w:val="none"/>
                <w:lang w:val="en-US" w:eastAsia="zh-CN" w:bidi="ar"/>
                <w:woUserID w:val="1"/>
              </w:rPr>
              <w:t>个</w:t>
            </w:r>
          </w:p>
        </w:tc>
        <w:tc>
          <w:tcPr>
            <w:tcW w:w="788" w:type="pct"/>
            <w:noWrap w:val="0"/>
            <w:vAlign w:val="center"/>
          </w:tcPr>
          <w:p w14:paraId="6908F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0BA30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B4DF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30CB90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21A865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098A981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w:t>
            </w:r>
          </w:p>
        </w:tc>
        <w:tc>
          <w:tcPr>
            <w:tcW w:w="768" w:type="pct"/>
            <w:shd w:val="clear" w:color="auto" w:fill="auto"/>
            <w:noWrap w:val="0"/>
            <w:vAlign w:val="center"/>
          </w:tcPr>
          <w:p w14:paraId="2965B24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12</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68" w:type="pct"/>
            <w:shd w:val="clear" w:color="auto" w:fill="auto"/>
            <w:noWrap w:val="0"/>
            <w:vAlign w:val="center"/>
          </w:tcPr>
          <w:p w14:paraId="048D0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cs="Times New Roman"/>
                <w:i w:val="0"/>
                <w:iCs w:val="0"/>
                <w:color w:val="auto"/>
                <w:kern w:val="0"/>
                <w:sz w:val="21"/>
                <w:szCs w:val="21"/>
                <w:highlight w:val="none"/>
                <w:u w:val="none"/>
                <w:lang w:val="en-US" w:eastAsia="zh-CN" w:bidi="ar"/>
                <w:woUserID w:val="1"/>
              </w:rPr>
              <w:t>15个</w:t>
            </w:r>
          </w:p>
        </w:tc>
        <w:tc>
          <w:tcPr>
            <w:tcW w:w="788" w:type="pct"/>
            <w:noWrap w:val="0"/>
            <w:vAlign w:val="center"/>
          </w:tcPr>
          <w:p w14:paraId="47AB44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1D237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E4115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0BCF0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5FB1B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22A251A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群文口小型戏曲、戏剧、音乐、舞蹈、曲艺等</w:t>
            </w:r>
          </w:p>
        </w:tc>
        <w:tc>
          <w:tcPr>
            <w:tcW w:w="768" w:type="pct"/>
            <w:shd w:val="clear" w:color="auto" w:fill="auto"/>
            <w:noWrap w:val="0"/>
            <w:vAlign w:val="center"/>
          </w:tcPr>
          <w:p w14:paraId="317A9C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w:t>
            </w:r>
            <w:r>
              <w:rPr>
                <w:rFonts w:hint="eastAsia" w:ascii="Times New Roman" w:hAnsi="Times New Roman" w:eastAsia="仿宋_GB2312" w:cs="Times New Roman"/>
                <w:i w:val="0"/>
                <w:iCs w:val="0"/>
                <w:color w:val="auto"/>
                <w:kern w:val="0"/>
                <w:sz w:val="21"/>
                <w:szCs w:val="21"/>
                <w:highlight w:val="none"/>
                <w:u w:val="none"/>
                <w:lang w:val="en-US" w:eastAsia="zh-CN" w:bidi="ar"/>
              </w:rPr>
              <w:t>8</w:t>
            </w:r>
            <w:r>
              <w:rPr>
                <w:rFonts w:hint="eastAsia" w:ascii="Times New Roman" w:hAnsi="Times New Roman" w:cs="Times New Roman"/>
                <w:i w:val="0"/>
                <w:iCs w:val="0"/>
                <w:color w:val="auto"/>
                <w:kern w:val="0"/>
                <w:sz w:val="21"/>
                <w:szCs w:val="21"/>
                <w:highlight w:val="none"/>
                <w:u w:val="none"/>
                <w:lang w:val="en-US" w:eastAsia="zh-CN" w:bidi="ar"/>
              </w:rPr>
              <w:t>个</w:t>
            </w:r>
          </w:p>
        </w:tc>
        <w:tc>
          <w:tcPr>
            <w:tcW w:w="768" w:type="pct"/>
            <w:shd w:val="clear" w:color="auto" w:fill="auto"/>
            <w:noWrap w:val="0"/>
            <w:vAlign w:val="center"/>
          </w:tcPr>
          <w:p w14:paraId="09FBF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cs="Times New Roman"/>
                <w:i w:val="0"/>
                <w:iCs w:val="0"/>
                <w:color w:val="auto"/>
                <w:kern w:val="0"/>
                <w:sz w:val="21"/>
                <w:szCs w:val="21"/>
                <w:highlight w:val="none"/>
                <w:u w:val="none"/>
                <w:lang w:val="en-US" w:eastAsia="zh-CN" w:bidi="ar"/>
                <w:woUserID w:val="1"/>
              </w:rPr>
              <w:t>60个</w:t>
            </w:r>
          </w:p>
        </w:tc>
        <w:tc>
          <w:tcPr>
            <w:tcW w:w="788" w:type="pct"/>
            <w:noWrap w:val="0"/>
            <w:vAlign w:val="center"/>
          </w:tcPr>
          <w:p w14:paraId="030906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2555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F46CD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C790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358FEF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10F88CD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演艺惠民（戏曲进乡村）活动</w:t>
            </w:r>
          </w:p>
        </w:tc>
        <w:tc>
          <w:tcPr>
            <w:tcW w:w="768" w:type="pct"/>
            <w:shd w:val="clear" w:color="auto" w:fill="auto"/>
            <w:noWrap w:val="0"/>
            <w:vAlign w:val="center"/>
          </w:tcPr>
          <w:p w14:paraId="19E510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eastAsia" w:ascii="Times New Roman" w:hAnsi="Times New Roman" w:eastAsia="仿宋_GB2312" w:cs="Times New Roman"/>
                <w:i w:val="0"/>
                <w:iCs w:val="0"/>
                <w:color w:val="auto"/>
                <w:kern w:val="0"/>
                <w:sz w:val="21"/>
                <w:szCs w:val="21"/>
                <w:highlight w:val="none"/>
                <w:u w:val="none"/>
                <w:lang w:val="en-US" w:eastAsia="zh-CN" w:bidi="ar"/>
              </w:rPr>
              <w:t>15</w:t>
            </w:r>
            <w:r>
              <w:rPr>
                <w:rFonts w:hint="eastAsia" w:ascii="Times New Roman" w:hAnsi="Times New Roman" w:cs="Times New Roman"/>
                <w:i w:val="0"/>
                <w:iCs w:val="0"/>
                <w:color w:val="auto"/>
                <w:kern w:val="0"/>
                <w:sz w:val="21"/>
                <w:szCs w:val="21"/>
                <w:highlight w:val="none"/>
                <w:u w:val="none"/>
                <w:lang w:val="en-US" w:eastAsia="zh-CN" w:bidi="ar"/>
              </w:rPr>
              <w:t>场</w:t>
            </w:r>
          </w:p>
        </w:tc>
        <w:tc>
          <w:tcPr>
            <w:tcW w:w="768" w:type="pct"/>
            <w:shd w:val="clear" w:color="auto" w:fill="auto"/>
            <w:noWrap w:val="0"/>
            <w:vAlign w:val="center"/>
          </w:tcPr>
          <w:p w14:paraId="7AE01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cs="Times New Roman"/>
                <w:i w:val="0"/>
                <w:iCs w:val="0"/>
                <w:color w:val="auto"/>
                <w:kern w:val="0"/>
                <w:sz w:val="21"/>
                <w:szCs w:val="21"/>
                <w:highlight w:val="none"/>
                <w:u w:val="none"/>
                <w:lang w:val="en-US" w:eastAsia="zh-CN" w:bidi="ar"/>
                <w:woUserID w:val="1"/>
              </w:rPr>
              <w:t>44场</w:t>
            </w:r>
          </w:p>
        </w:tc>
        <w:tc>
          <w:tcPr>
            <w:tcW w:w="788" w:type="pct"/>
            <w:noWrap w:val="0"/>
            <w:vAlign w:val="center"/>
          </w:tcPr>
          <w:p w14:paraId="0D7999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1D0DC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90D0A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DA522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restart"/>
            <w:noWrap w:val="0"/>
            <w:vAlign w:val="center"/>
          </w:tcPr>
          <w:p w14:paraId="212E2D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质量指标</w:t>
            </w:r>
          </w:p>
        </w:tc>
        <w:tc>
          <w:tcPr>
            <w:tcW w:w="873" w:type="pct"/>
            <w:shd w:val="clear" w:color="auto" w:fill="auto"/>
            <w:noWrap w:val="0"/>
            <w:vAlign w:val="center"/>
          </w:tcPr>
          <w:p w14:paraId="566EF9E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文创产品代表性</w:t>
            </w:r>
          </w:p>
        </w:tc>
        <w:tc>
          <w:tcPr>
            <w:tcW w:w="768" w:type="pct"/>
            <w:shd w:val="clear" w:color="auto" w:fill="auto"/>
            <w:noWrap w:val="0"/>
            <w:vAlign w:val="center"/>
          </w:tcPr>
          <w:p w14:paraId="4CEF6B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eastAsia="仿宋_GB2312" w:cs="Times New Roman"/>
                <w:i w:val="0"/>
                <w:iCs w:val="0"/>
                <w:color w:val="auto"/>
                <w:kern w:val="0"/>
                <w:sz w:val="21"/>
                <w:szCs w:val="21"/>
                <w:highlight w:val="none"/>
                <w:u w:val="none"/>
                <w:lang w:val="en-US" w:eastAsia="zh-CN" w:bidi="ar"/>
              </w:rPr>
              <w:t>场</w:t>
            </w:r>
          </w:p>
        </w:tc>
        <w:tc>
          <w:tcPr>
            <w:tcW w:w="768" w:type="pct"/>
            <w:noWrap w:val="0"/>
            <w:vAlign w:val="center"/>
          </w:tcPr>
          <w:p w14:paraId="5160A3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90场</w:t>
            </w:r>
          </w:p>
        </w:tc>
        <w:tc>
          <w:tcPr>
            <w:tcW w:w="788" w:type="pct"/>
            <w:noWrap w:val="0"/>
            <w:vAlign w:val="center"/>
          </w:tcPr>
          <w:p w14:paraId="448DCC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21D4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15283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2FF05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2A648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0ABDB72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艺术精品创作项目优良率</w:t>
            </w:r>
          </w:p>
        </w:tc>
        <w:tc>
          <w:tcPr>
            <w:tcW w:w="768" w:type="pct"/>
            <w:shd w:val="clear" w:color="auto" w:fill="auto"/>
            <w:noWrap w:val="0"/>
            <w:vAlign w:val="center"/>
          </w:tcPr>
          <w:p w14:paraId="747C42E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768" w:type="pct"/>
            <w:noWrap w:val="0"/>
            <w:vAlign w:val="center"/>
          </w:tcPr>
          <w:p w14:paraId="5B7305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98%</w:t>
            </w:r>
          </w:p>
        </w:tc>
        <w:tc>
          <w:tcPr>
            <w:tcW w:w="788" w:type="pct"/>
            <w:noWrap w:val="0"/>
            <w:vAlign w:val="center"/>
          </w:tcPr>
          <w:p w14:paraId="726F8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407F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1A77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383EB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4DE02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2A649EB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市州覆盖率</w:t>
            </w:r>
          </w:p>
        </w:tc>
        <w:tc>
          <w:tcPr>
            <w:tcW w:w="768" w:type="pct"/>
            <w:shd w:val="clear" w:color="auto" w:fill="auto"/>
            <w:noWrap w:val="0"/>
            <w:vAlign w:val="center"/>
          </w:tcPr>
          <w:p w14:paraId="616C8F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768" w:type="pct"/>
            <w:noWrap w:val="0"/>
            <w:vAlign w:val="center"/>
          </w:tcPr>
          <w:p w14:paraId="1DFD3A9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100%</w:t>
            </w:r>
          </w:p>
        </w:tc>
        <w:tc>
          <w:tcPr>
            <w:tcW w:w="788" w:type="pct"/>
            <w:noWrap w:val="0"/>
            <w:vAlign w:val="center"/>
          </w:tcPr>
          <w:p w14:paraId="6E395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2C6A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14442D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19308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5145CE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1EAAE51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惠民演出优质率</w:t>
            </w:r>
          </w:p>
        </w:tc>
        <w:tc>
          <w:tcPr>
            <w:tcW w:w="768" w:type="pct"/>
            <w:shd w:val="clear" w:color="auto" w:fill="auto"/>
            <w:noWrap w:val="0"/>
            <w:vAlign w:val="center"/>
          </w:tcPr>
          <w:p w14:paraId="25A48DE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eastAsia" w:ascii="Times New Roman" w:hAnsi="Times New Roman" w:eastAsia="仿宋_GB2312" w:cs="Times New Roman"/>
                <w:i w:val="0"/>
                <w:iCs w:val="0"/>
                <w:color w:val="auto"/>
                <w:kern w:val="0"/>
                <w:sz w:val="21"/>
                <w:szCs w:val="21"/>
                <w:highlight w:val="none"/>
                <w:u w:val="none"/>
                <w:lang w:val="en-US" w:eastAsia="zh-CN" w:bidi="ar"/>
              </w:rPr>
              <w:t>%</w:t>
            </w:r>
          </w:p>
        </w:tc>
        <w:tc>
          <w:tcPr>
            <w:tcW w:w="768" w:type="pct"/>
            <w:noWrap w:val="0"/>
            <w:vAlign w:val="center"/>
          </w:tcPr>
          <w:p w14:paraId="43104AC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98%</w:t>
            </w:r>
          </w:p>
        </w:tc>
        <w:tc>
          <w:tcPr>
            <w:tcW w:w="788" w:type="pct"/>
            <w:noWrap w:val="0"/>
            <w:vAlign w:val="center"/>
          </w:tcPr>
          <w:p w14:paraId="694B39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332D6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52F7A0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44CE42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1B7DD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20A0402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“送演出送书画”活动书画家参与人数</w:t>
            </w:r>
          </w:p>
        </w:tc>
        <w:tc>
          <w:tcPr>
            <w:tcW w:w="768" w:type="pct"/>
            <w:shd w:val="clear" w:color="auto" w:fill="auto"/>
            <w:noWrap w:val="0"/>
            <w:vAlign w:val="center"/>
          </w:tcPr>
          <w:p w14:paraId="6284065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eastAsia" w:ascii="Times New Roman" w:hAnsi="Times New Roman" w:cs="Times New Roman"/>
                <w:i w:val="0"/>
                <w:iCs w:val="0"/>
                <w:color w:val="auto"/>
                <w:kern w:val="0"/>
                <w:sz w:val="21"/>
                <w:szCs w:val="21"/>
                <w:highlight w:val="none"/>
                <w:u w:val="none"/>
                <w:lang w:val="en-US" w:eastAsia="zh-CN" w:bidi="ar"/>
              </w:rPr>
              <w:t>人/场</w:t>
            </w:r>
          </w:p>
        </w:tc>
        <w:tc>
          <w:tcPr>
            <w:tcW w:w="768" w:type="pct"/>
            <w:noWrap w:val="0"/>
            <w:vAlign w:val="center"/>
          </w:tcPr>
          <w:p w14:paraId="532C44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eastAsia" w:ascii="Times New Roman" w:hAnsi="Times New Roman" w:cs="Times New Roman"/>
                <w:i w:val="0"/>
                <w:iCs w:val="0"/>
                <w:color w:val="auto"/>
                <w:kern w:val="0"/>
                <w:sz w:val="21"/>
                <w:szCs w:val="21"/>
                <w:highlight w:val="none"/>
                <w:u w:val="none"/>
                <w:lang w:val="en-US" w:eastAsia="zh-CN" w:bidi="ar"/>
              </w:rPr>
              <w:t>人/场</w:t>
            </w:r>
          </w:p>
        </w:tc>
        <w:tc>
          <w:tcPr>
            <w:tcW w:w="788" w:type="pct"/>
            <w:noWrap w:val="0"/>
            <w:vAlign w:val="center"/>
          </w:tcPr>
          <w:p w14:paraId="285DD1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7961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40FDC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37606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7E0EAF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617996C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“送戏曲进校园”“送演出送书画”活动演出时长</w:t>
            </w:r>
          </w:p>
        </w:tc>
        <w:tc>
          <w:tcPr>
            <w:tcW w:w="768" w:type="pct"/>
            <w:shd w:val="clear" w:color="auto" w:fill="auto"/>
            <w:noWrap w:val="0"/>
            <w:vAlign w:val="center"/>
          </w:tcPr>
          <w:p w14:paraId="4F92C8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≥70</w:t>
            </w:r>
            <w:r>
              <w:rPr>
                <w:rFonts w:hint="eastAsia" w:ascii="Times New Roman" w:hAnsi="Times New Roman" w:cs="Times New Roman"/>
                <w:i w:val="0"/>
                <w:iCs w:val="0"/>
                <w:color w:val="auto"/>
                <w:kern w:val="0"/>
                <w:sz w:val="21"/>
                <w:szCs w:val="21"/>
                <w:highlight w:val="none"/>
                <w:u w:val="none"/>
                <w:lang w:val="en-US" w:eastAsia="zh-CN" w:bidi="ar"/>
              </w:rPr>
              <w:t>分钟/场</w:t>
            </w:r>
          </w:p>
        </w:tc>
        <w:tc>
          <w:tcPr>
            <w:tcW w:w="768" w:type="pct"/>
            <w:noWrap w:val="0"/>
            <w:vAlign w:val="center"/>
          </w:tcPr>
          <w:p w14:paraId="66959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70</w:t>
            </w:r>
            <w:r>
              <w:rPr>
                <w:rFonts w:hint="eastAsia" w:ascii="Times New Roman" w:hAnsi="Times New Roman" w:cs="Times New Roman"/>
                <w:i w:val="0"/>
                <w:iCs w:val="0"/>
                <w:color w:val="auto"/>
                <w:kern w:val="0"/>
                <w:sz w:val="21"/>
                <w:szCs w:val="21"/>
                <w:highlight w:val="none"/>
                <w:u w:val="none"/>
                <w:lang w:val="en-US" w:eastAsia="zh-CN" w:bidi="ar"/>
              </w:rPr>
              <w:t>分钟/场</w:t>
            </w:r>
          </w:p>
        </w:tc>
        <w:tc>
          <w:tcPr>
            <w:tcW w:w="788" w:type="pct"/>
            <w:noWrap w:val="0"/>
            <w:vAlign w:val="center"/>
          </w:tcPr>
          <w:p w14:paraId="0AB624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5148A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C394D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CFB48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restart"/>
            <w:noWrap w:val="0"/>
            <w:vAlign w:val="center"/>
          </w:tcPr>
          <w:p w14:paraId="4A9B2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时效指标</w:t>
            </w:r>
          </w:p>
        </w:tc>
        <w:tc>
          <w:tcPr>
            <w:tcW w:w="873" w:type="pct"/>
            <w:shd w:val="clear" w:color="auto" w:fill="auto"/>
            <w:noWrap w:val="0"/>
            <w:vAlign w:val="center"/>
          </w:tcPr>
          <w:p w14:paraId="761CA59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艺术创作及展览项目启动时间</w:t>
            </w:r>
          </w:p>
        </w:tc>
        <w:tc>
          <w:tcPr>
            <w:tcW w:w="768" w:type="pct"/>
            <w:shd w:val="clear" w:color="auto" w:fill="auto"/>
            <w:noWrap w:val="0"/>
            <w:vAlign w:val="center"/>
          </w:tcPr>
          <w:p w14:paraId="5DE62F3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68" w:type="pct"/>
            <w:shd w:val="clear" w:color="auto" w:fill="auto"/>
            <w:noWrap w:val="0"/>
            <w:vAlign w:val="center"/>
          </w:tcPr>
          <w:p w14:paraId="365F497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88" w:type="pct"/>
            <w:noWrap w:val="0"/>
            <w:vAlign w:val="center"/>
          </w:tcPr>
          <w:p w14:paraId="238C9E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175F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5E687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35EC8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3A980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520BE2E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768" w:type="pct"/>
            <w:shd w:val="clear" w:color="auto" w:fill="auto"/>
            <w:noWrap w:val="0"/>
            <w:vAlign w:val="center"/>
          </w:tcPr>
          <w:p w14:paraId="40944A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768" w:type="pct"/>
            <w:shd w:val="clear" w:color="auto" w:fill="auto"/>
            <w:noWrap w:val="0"/>
            <w:vAlign w:val="center"/>
          </w:tcPr>
          <w:p w14:paraId="5EEA3C8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788" w:type="pct"/>
            <w:noWrap w:val="0"/>
            <w:vAlign w:val="center"/>
          </w:tcPr>
          <w:p w14:paraId="56E882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715A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2CC1F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DA905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0CDC5E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2DCB79D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演出启动时间</w:t>
            </w:r>
          </w:p>
        </w:tc>
        <w:tc>
          <w:tcPr>
            <w:tcW w:w="768" w:type="pct"/>
            <w:shd w:val="clear" w:color="auto" w:fill="auto"/>
            <w:noWrap w:val="0"/>
            <w:vAlign w:val="center"/>
          </w:tcPr>
          <w:p w14:paraId="0CFA63F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68" w:type="pct"/>
            <w:shd w:val="clear" w:color="auto" w:fill="auto"/>
            <w:noWrap w:val="0"/>
            <w:vAlign w:val="center"/>
          </w:tcPr>
          <w:p w14:paraId="598662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88" w:type="pct"/>
            <w:noWrap w:val="0"/>
            <w:vAlign w:val="center"/>
          </w:tcPr>
          <w:p w14:paraId="67C22F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34CEC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BCC1E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68F7D5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2D7F53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2F677BC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768" w:type="pct"/>
            <w:shd w:val="clear" w:color="auto" w:fill="auto"/>
            <w:noWrap w:val="0"/>
            <w:vAlign w:val="center"/>
          </w:tcPr>
          <w:p w14:paraId="35356F9E">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68" w:type="pct"/>
            <w:shd w:val="clear" w:color="auto" w:fill="auto"/>
            <w:noWrap w:val="0"/>
            <w:vAlign w:val="center"/>
          </w:tcPr>
          <w:p w14:paraId="5A788D8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eastAsia" w:ascii="Times New Roman" w:hAnsi="Times New Roman" w:cs="Times New Roman"/>
                <w:i w:val="0"/>
                <w:iCs w:val="0"/>
                <w:color w:val="auto"/>
                <w:kern w:val="0"/>
                <w:sz w:val="21"/>
                <w:szCs w:val="21"/>
                <w:highlight w:val="none"/>
                <w:u w:val="none"/>
                <w:lang w:val="en-US" w:eastAsia="zh-CN" w:bidi="ar"/>
              </w:rPr>
              <w:t>%</w:t>
            </w:r>
          </w:p>
        </w:tc>
        <w:tc>
          <w:tcPr>
            <w:tcW w:w="788" w:type="pct"/>
            <w:noWrap w:val="0"/>
            <w:vAlign w:val="center"/>
          </w:tcPr>
          <w:p w14:paraId="252B2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0F641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7C6A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2E696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效益指标</w:t>
            </w:r>
          </w:p>
        </w:tc>
        <w:tc>
          <w:tcPr>
            <w:tcW w:w="695" w:type="pct"/>
            <w:vMerge w:val="restart"/>
            <w:noWrap w:val="0"/>
            <w:vAlign w:val="center"/>
          </w:tcPr>
          <w:p w14:paraId="7FA76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经济效益</w:t>
            </w:r>
            <w:r>
              <w:rPr>
                <w:rFonts w:hint="default" w:ascii="Times New Roman" w:hAnsi="Times New Roman" w:eastAsia="仿宋_GB2312" w:cs="Times New Roman"/>
                <w:i w:val="0"/>
                <w:iCs w:val="0"/>
                <w:color w:val="auto"/>
                <w:kern w:val="0"/>
                <w:sz w:val="21"/>
                <w:szCs w:val="21"/>
                <w:u w:val="none"/>
                <w:lang w:val="en-US" w:eastAsia="zh-CN" w:bidi="ar"/>
              </w:rPr>
              <w:br w:type="textWrapping"/>
            </w:r>
            <w:r>
              <w:rPr>
                <w:rFonts w:hint="default" w:ascii="Times New Roman" w:hAnsi="Times New Roman" w:eastAsia="仿宋_GB2312" w:cs="Times New Roman"/>
                <w:i w:val="0"/>
                <w:iCs w:val="0"/>
                <w:color w:val="auto"/>
                <w:kern w:val="0"/>
                <w:sz w:val="21"/>
                <w:szCs w:val="21"/>
                <w:u w:val="none"/>
                <w:lang w:val="en-US" w:eastAsia="zh-CN" w:bidi="ar"/>
              </w:rPr>
              <w:t>指标</w:t>
            </w:r>
          </w:p>
        </w:tc>
        <w:tc>
          <w:tcPr>
            <w:tcW w:w="873" w:type="pct"/>
            <w:shd w:val="clear" w:color="auto" w:fill="auto"/>
            <w:noWrap w:val="0"/>
            <w:vAlign w:val="center"/>
          </w:tcPr>
          <w:p w14:paraId="2DD757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768" w:type="pct"/>
            <w:shd w:val="clear" w:color="auto" w:fill="auto"/>
            <w:noWrap w:val="0"/>
            <w:vAlign w:val="center"/>
          </w:tcPr>
          <w:p w14:paraId="4A0F15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768" w:type="pct"/>
            <w:shd w:val="clear" w:color="auto" w:fill="auto"/>
            <w:noWrap w:val="0"/>
            <w:vAlign w:val="center"/>
          </w:tcPr>
          <w:p w14:paraId="16F186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ascii="Times New Roman" w:hAnsi="Times New Roman" w:eastAsia="仿宋_GB2312" w:cs="Times New Roman"/>
                <w:i w:val="0"/>
                <w:iCs w:val="0"/>
                <w:color w:val="auto"/>
                <w:kern w:val="0"/>
                <w:sz w:val="21"/>
                <w:szCs w:val="21"/>
                <w:highlight w:val="none"/>
                <w:u w:val="none"/>
                <w:lang w:val="en-US" w:eastAsia="zh-CN" w:bidi="ar"/>
              </w:rPr>
              <w:t>9.02%</w:t>
            </w:r>
          </w:p>
        </w:tc>
        <w:tc>
          <w:tcPr>
            <w:tcW w:w="788" w:type="pct"/>
            <w:shd w:val="clear" w:color="auto" w:fill="auto"/>
            <w:noWrap w:val="0"/>
            <w:vAlign w:val="center"/>
          </w:tcPr>
          <w:p w14:paraId="0AC90A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57EE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1AE976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9340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15E48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45D926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768" w:type="pct"/>
            <w:shd w:val="clear" w:color="auto" w:fill="auto"/>
            <w:noWrap w:val="0"/>
            <w:vAlign w:val="center"/>
          </w:tcPr>
          <w:p w14:paraId="5A9CE3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eastAsia" w:ascii="Times New Roman" w:hAnsi="Times New Roman" w:cs="Times New Roman"/>
                <w:i w:val="0"/>
                <w:iCs w:val="0"/>
                <w:color w:val="auto"/>
                <w:kern w:val="0"/>
                <w:sz w:val="21"/>
                <w:szCs w:val="21"/>
                <w:highlight w:val="none"/>
                <w:u w:val="none"/>
                <w:lang w:val="en-US" w:eastAsia="zh-CN" w:bidi="ar"/>
              </w:rPr>
              <w:t>亿元</w:t>
            </w:r>
          </w:p>
        </w:tc>
        <w:tc>
          <w:tcPr>
            <w:tcW w:w="768" w:type="pct"/>
            <w:shd w:val="clear" w:color="auto" w:fill="auto"/>
            <w:noWrap w:val="0"/>
            <w:vAlign w:val="center"/>
          </w:tcPr>
          <w:p w14:paraId="32C5DB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3388.79</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788" w:type="pct"/>
            <w:shd w:val="clear" w:color="auto" w:fill="auto"/>
            <w:noWrap w:val="0"/>
            <w:vAlign w:val="center"/>
          </w:tcPr>
          <w:p w14:paraId="79B87E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77F8E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E2F8C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41B5C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2219C4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33B5BD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768" w:type="pct"/>
            <w:shd w:val="clear" w:color="auto" w:fill="auto"/>
            <w:noWrap w:val="0"/>
            <w:vAlign w:val="center"/>
          </w:tcPr>
          <w:p w14:paraId="64F01E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eastAsia" w:ascii="Times New Roman" w:hAnsi="Times New Roman" w:cs="Times New Roman"/>
                <w:i w:val="0"/>
                <w:iCs w:val="0"/>
                <w:color w:val="auto"/>
                <w:kern w:val="0"/>
                <w:sz w:val="21"/>
                <w:szCs w:val="21"/>
                <w:highlight w:val="none"/>
                <w:u w:val="none"/>
                <w:lang w:val="en-US" w:eastAsia="zh-CN" w:bidi="ar"/>
              </w:rPr>
              <w:t>%</w:t>
            </w:r>
          </w:p>
        </w:tc>
        <w:tc>
          <w:tcPr>
            <w:tcW w:w="768" w:type="pct"/>
            <w:shd w:val="clear" w:color="auto" w:fill="auto"/>
            <w:noWrap w:val="0"/>
            <w:vAlign w:val="center"/>
          </w:tcPr>
          <w:p w14:paraId="594C8A8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788" w:type="pct"/>
            <w:shd w:val="clear" w:color="auto" w:fill="auto"/>
            <w:noWrap w:val="0"/>
            <w:vAlign w:val="center"/>
          </w:tcPr>
          <w:p w14:paraId="6A6B32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4BB2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671A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C60B4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restart"/>
            <w:noWrap w:val="0"/>
            <w:vAlign w:val="center"/>
          </w:tcPr>
          <w:p w14:paraId="546297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社会效益指标</w:t>
            </w:r>
          </w:p>
        </w:tc>
        <w:tc>
          <w:tcPr>
            <w:tcW w:w="873" w:type="pct"/>
            <w:shd w:val="clear" w:color="auto" w:fill="auto"/>
            <w:noWrap w:val="0"/>
            <w:vAlign w:val="center"/>
          </w:tcPr>
          <w:p w14:paraId="2E22801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768" w:type="pct"/>
            <w:shd w:val="clear" w:color="auto" w:fill="auto"/>
            <w:noWrap w:val="0"/>
            <w:vAlign w:val="center"/>
          </w:tcPr>
          <w:p w14:paraId="2EA049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≥2000万人次</w:t>
            </w:r>
          </w:p>
        </w:tc>
        <w:tc>
          <w:tcPr>
            <w:tcW w:w="768" w:type="pct"/>
            <w:shd w:val="clear" w:color="auto" w:fill="auto"/>
            <w:noWrap w:val="0"/>
            <w:vAlign w:val="center"/>
          </w:tcPr>
          <w:p w14:paraId="1ED67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2380万人次</w:t>
            </w:r>
          </w:p>
        </w:tc>
        <w:tc>
          <w:tcPr>
            <w:tcW w:w="788" w:type="pct"/>
            <w:shd w:val="clear" w:color="auto" w:fill="auto"/>
            <w:noWrap w:val="0"/>
            <w:vAlign w:val="center"/>
          </w:tcPr>
          <w:p w14:paraId="07ED8E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4278A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DFB76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481305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76D5B2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1837EE8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传统文化传播与弘扬</w:t>
            </w:r>
          </w:p>
        </w:tc>
        <w:tc>
          <w:tcPr>
            <w:tcW w:w="768" w:type="pct"/>
            <w:shd w:val="clear" w:color="auto" w:fill="auto"/>
            <w:noWrap w:val="0"/>
            <w:vAlign w:val="center"/>
          </w:tcPr>
          <w:p w14:paraId="2FA178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768" w:type="pct"/>
            <w:shd w:val="clear" w:color="auto" w:fill="auto"/>
            <w:noWrap w:val="0"/>
            <w:vAlign w:val="center"/>
          </w:tcPr>
          <w:p w14:paraId="3D7D9FA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788" w:type="pct"/>
            <w:noWrap w:val="0"/>
            <w:vAlign w:val="center"/>
          </w:tcPr>
          <w:p w14:paraId="300F6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5844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62E35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00D82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5" w:type="pct"/>
            <w:noWrap w:val="0"/>
            <w:vAlign w:val="center"/>
          </w:tcPr>
          <w:p w14:paraId="07365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生态效益指标</w:t>
            </w:r>
          </w:p>
        </w:tc>
        <w:tc>
          <w:tcPr>
            <w:tcW w:w="873" w:type="pct"/>
            <w:shd w:val="clear" w:color="auto" w:fill="auto"/>
            <w:noWrap w:val="0"/>
            <w:vAlign w:val="center"/>
          </w:tcPr>
          <w:p w14:paraId="501A74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768" w:type="pct"/>
            <w:noWrap w:val="0"/>
            <w:vAlign w:val="center"/>
          </w:tcPr>
          <w:p w14:paraId="5A3E76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68" w:type="pct"/>
            <w:noWrap w:val="0"/>
            <w:vAlign w:val="center"/>
          </w:tcPr>
          <w:p w14:paraId="20122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2"/>
                <w:rFonts w:hint="default" w:ascii="Times New Roman" w:hAnsi="Times New Roman" w:eastAsia="仿宋_GB2312" w:cs="Times New Roman"/>
                <w:color w:val="auto"/>
                <w:sz w:val="21"/>
                <w:szCs w:val="21"/>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88" w:type="pct"/>
            <w:noWrap w:val="0"/>
            <w:vAlign w:val="center"/>
          </w:tcPr>
          <w:p w14:paraId="3CF0BF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73D0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BB025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742499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5" w:type="pct"/>
            <w:vMerge w:val="restart"/>
            <w:noWrap w:val="0"/>
            <w:vAlign w:val="center"/>
          </w:tcPr>
          <w:p w14:paraId="735DB0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可持续影响指标</w:t>
            </w:r>
          </w:p>
        </w:tc>
        <w:tc>
          <w:tcPr>
            <w:tcW w:w="873" w:type="pct"/>
            <w:shd w:val="clear" w:color="auto" w:fill="auto"/>
            <w:noWrap w:val="0"/>
            <w:vAlign w:val="center"/>
          </w:tcPr>
          <w:p w14:paraId="37DF7D3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艺术创作水平</w:t>
            </w:r>
          </w:p>
        </w:tc>
        <w:tc>
          <w:tcPr>
            <w:tcW w:w="768" w:type="pct"/>
            <w:shd w:val="clear" w:color="auto" w:fill="auto"/>
            <w:noWrap w:val="0"/>
            <w:vAlign w:val="center"/>
          </w:tcPr>
          <w:p w14:paraId="16BC87E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68" w:type="pct"/>
            <w:shd w:val="clear" w:color="auto" w:fill="auto"/>
            <w:noWrap w:val="0"/>
            <w:vAlign w:val="center"/>
          </w:tcPr>
          <w:p w14:paraId="19A8A03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8" w:type="pct"/>
            <w:noWrap w:val="0"/>
            <w:vAlign w:val="center"/>
          </w:tcPr>
          <w:p w14:paraId="0C1726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35349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1B443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27C8C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5" w:type="pct"/>
            <w:vMerge w:val="continue"/>
            <w:noWrap w:val="0"/>
            <w:vAlign w:val="center"/>
          </w:tcPr>
          <w:p w14:paraId="1440C4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873" w:type="pct"/>
            <w:shd w:val="clear" w:color="auto" w:fill="auto"/>
            <w:noWrap w:val="0"/>
            <w:vAlign w:val="center"/>
          </w:tcPr>
          <w:p w14:paraId="4CCD7EF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w:t>
            </w:r>
          </w:p>
          <w:p w14:paraId="2FDFEDD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体系</w:t>
            </w:r>
          </w:p>
        </w:tc>
        <w:tc>
          <w:tcPr>
            <w:tcW w:w="768" w:type="pct"/>
            <w:shd w:val="clear" w:color="auto" w:fill="auto"/>
            <w:noWrap w:val="0"/>
            <w:vAlign w:val="center"/>
          </w:tcPr>
          <w:p w14:paraId="67AAA3B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768" w:type="pct"/>
            <w:shd w:val="clear" w:color="auto" w:fill="auto"/>
            <w:noWrap w:val="0"/>
            <w:vAlign w:val="center"/>
          </w:tcPr>
          <w:p w14:paraId="61F00D7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788" w:type="pct"/>
            <w:noWrap w:val="0"/>
            <w:vAlign w:val="center"/>
          </w:tcPr>
          <w:p w14:paraId="5593E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3940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89C39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4272E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满意度指标</w:t>
            </w:r>
          </w:p>
        </w:tc>
        <w:tc>
          <w:tcPr>
            <w:tcW w:w="695" w:type="pct"/>
            <w:vMerge w:val="restart"/>
            <w:noWrap w:val="0"/>
            <w:vAlign w:val="center"/>
          </w:tcPr>
          <w:p w14:paraId="3BCF1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社会公众或服务对象满意度指标</w:t>
            </w:r>
          </w:p>
        </w:tc>
        <w:tc>
          <w:tcPr>
            <w:tcW w:w="873" w:type="pct"/>
            <w:shd w:val="clear" w:color="auto" w:fill="auto"/>
            <w:noWrap w:val="0"/>
            <w:vAlign w:val="center"/>
          </w:tcPr>
          <w:p w14:paraId="42D685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768" w:type="pct"/>
            <w:shd w:val="clear" w:color="auto" w:fill="auto"/>
            <w:noWrap w:val="0"/>
            <w:vAlign w:val="center"/>
          </w:tcPr>
          <w:p w14:paraId="690D54E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p>
        </w:tc>
        <w:tc>
          <w:tcPr>
            <w:tcW w:w="768" w:type="pct"/>
            <w:noWrap w:val="0"/>
            <w:vAlign w:val="center"/>
          </w:tcPr>
          <w:p w14:paraId="4BDCA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eastAsia" w:cs="Times New Roman"/>
                <w:i w:val="0"/>
                <w:iCs w:val="0"/>
                <w:color w:val="auto"/>
                <w:kern w:val="0"/>
                <w:sz w:val="21"/>
                <w:szCs w:val="21"/>
                <w:highlight w:val="none"/>
                <w:u w:val="none"/>
                <w:lang w:val="en-US" w:eastAsia="zh-CN" w:bidi="ar"/>
                <w:woUserID w:val="2"/>
              </w:rPr>
              <w:t>90.34%</w:t>
            </w:r>
          </w:p>
        </w:tc>
        <w:tc>
          <w:tcPr>
            <w:tcW w:w="788" w:type="pct"/>
            <w:noWrap w:val="0"/>
            <w:vAlign w:val="center"/>
          </w:tcPr>
          <w:p w14:paraId="6808DA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244C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9157D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AE73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57637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538582E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768" w:type="pct"/>
            <w:shd w:val="clear" w:color="auto" w:fill="auto"/>
            <w:noWrap w:val="0"/>
            <w:vAlign w:val="center"/>
          </w:tcPr>
          <w:p w14:paraId="702A9E60">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768" w:type="pct"/>
            <w:noWrap w:val="0"/>
            <w:vAlign w:val="center"/>
          </w:tcPr>
          <w:p w14:paraId="1C0B9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95.6%</w:t>
            </w:r>
          </w:p>
        </w:tc>
        <w:tc>
          <w:tcPr>
            <w:tcW w:w="788" w:type="pct"/>
            <w:noWrap w:val="0"/>
            <w:vAlign w:val="center"/>
          </w:tcPr>
          <w:p w14:paraId="24B4B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eastAsia" w:ascii="Times New Roman" w:hAnsi="Times New Roman" w:cs="Times New Roman"/>
                <w:i w:val="0"/>
                <w:iCs w:val="0"/>
                <w:color w:val="auto"/>
                <w:kern w:val="0"/>
                <w:sz w:val="21"/>
                <w:szCs w:val="21"/>
                <w:u w:val="none"/>
                <w:lang w:val="en-US" w:eastAsia="zh-CN"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r w14:paraId="7E1C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AF44D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1786BA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5" w:type="pct"/>
            <w:vMerge w:val="continue"/>
            <w:noWrap w:val="0"/>
            <w:vAlign w:val="top"/>
          </w:tcPr>
          <w:p w14:paraId="22156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3" w:type="pct"/>
            <w:shd w:val="clear" w:color="auto" w:fill="auto"/>
            <w:noWrap w:val="0"/>
            <w:vAlign w:val="center"/>
          </w:tcPr>
          <w:p w14:paraId="3C8B3F4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艺术创作者满意度</w:t>
            </w:r>
          </w:p>
        </w:tc>
        <w:tc>
          <w:tcPr>
            <w:tcW w:w="768" w:type="pct"/>
            <w:shd w:val="clear" w:color="auto" w:fill="auto"/>
            <w:noWrap w:val="0"/>
            <w:vAlign w:val="center"/>
          </w:tcPr>
          <w:p w14:paraId="5D342D5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p>
        </w:tc>
        <w:tc>
          <w:tcPr>
            <w:tcW w:w="768" w:type="pct"/>
            <w:noWrap w:val="0"/>
            <w:vAlign w:val="center"/>
          </w:tcPr>
          <w:p w14:paraId="2D43B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eastAsia" w:cs="Times New Roman"/>
                <w:i w:val="0"/>
                <w:iCs w:val="0"/>
                <w:color w:val="auto"/>
                <w:kern w:val="0"/>
                <w:sz w:val="21"/>
                <w:szCs w:val="21"/>
                <w:highlight w:val="none"/>
                <w:u w:val="none"/>
                <w:lang w:val="en-US" w:eastAsia="zh-CN" w:bidi="ar"/>
                <w:woUserID w:val="2"/>
              </w:rPr>
              <w:t>92.8%</w:t>
            </w:r>
          </w:p>
        </w:tc>
        <w:tc>
          <w:tcPr>
            <w:tcW w:w="788" w:type="pct"/>
            <w:noWrap w:val="0"/>
            <w:vAlign w:val="center"/>
          </w:tcPr>
          <w:p w14:paraId="2BA300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eastAsia" w:ascii="Times New Roman" w:hAnsi="Times New Roman" w:cs="Times New Roman"/>
                <w:i w:val="0"/>
                <w:iCs w:val="0"/>
                <w:color w:val="auto"/>
                <w:kern w:val="0"/>
                <w:sz w:val="21"/>
                <w:szCs w:val="21"/>
                <w:u w:val="none"/>
                <w:lang w:val="en-US" w:eastAsia="zh-CN" w:bidi="ar"/>
                <w:woUserID w:val="2"/>
              </w:rPr>
              <w:t>完成</w:t>
            </w:r>
          </w:p>
        </w:tc>
      </w:tr>
    </w:tbl>
    <w:p w14:paraId="268C6695">
      <w:pPr>
        <w:rPr>
          <w:rStyle w:val="29"/>
          <w:rFonts w:hint="default" w:ascii="Times New Roman" w:hAnsi="Times New Roman" w:eastAsia="方正小标宋_GBK" w:cs="Times New Roman"/>
          <w:color w:val="auto"/>
          <w:highlight w:val="none"/>
        </w:rPr>
      </w:pPr>
    </w:p>
    <w:p w14:paraId="180D2EB6">
      <w:pPr>
        <w:ind w:firstLine="0" w:firstLineChars="0"/>
        <w:rPr>
          <w:rStyle w:val="29"/>
          <w:rFonts w:hint="default" w:ascii="Times New Roman" w:hAnsi="Times New Roman" w:eastAsia="方正小标宋_GBK" w:cs="Times New Roman"/>
          <w:color w:val="auto"/>
          <w:highlight w:val="none"/>
        </w:rPr>
      </w:pPr>
      <w:r>
        <w:rPr>
          <w:rStyle w:val="29"/>
          <w:rFonts w:hint="default" w:ascii="Times New Roman" w:hAnsi="Times New Roman" w:eastAsia="方正小标宋_GBK" w:cs="Times New Roman"/>
          <w:color w:val="auto"/>
          <w:highlight w:val="none"/>
        </w:rPr>
        <w:br w:type="page"/>
      </w:r>
    </w:p>
    <w:p w14:paraId="45E21C9F">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lang w:val="en-US" w:eastAsia="zh-CN"/>
        </w:rPr>
        <w:sectPr>
          <w:footerReference r:id="rId9" w:type="default"/>
          <w:pgSz w:w="11905" w:h="16838"/>
          <w:pgMar w:top="1440" w:right="1417" w:bottom="1440" w:left="1417" w:header="850" w:footer="992" w:gutter="0"/>
          <w:pgNumType w:fmt="decimal"/>
          <w:cols w:space="0" w:num="1"/>
          <w:rtlGutter w:val="0"/>
          <w:docGrid w:type="lines" w:linePitch="436" w:charSpace="0"/>
        </w:sectPr>
      </w:pPr>
    </w:p>
    <w:p w14:paraId="648095A4">
      <w:pPr>
        <w:pStyle w:val="26"/>
        <w:pageBreakBefore w:val="0"/>
        <w:kinsoku/>
        <w:wordWrap/>
        <w:topLinePunct w:val="0"/>
        <w:autoSpaceDE/>
        <w:autoSpaceDN/>
        <w:bidi w:val="0"/>
        <w:spacing w:line="560" w:lineRule="exact"/>
        <w:rPr>
          <w:rFonts w:hint="default" w:ascii="Times New Roman" w:hAnsi="Times New Roman" w:cs="Times New Roman"/>
          <w:sz w:val="32"/>
          <w:szCs w:val="32"/>
          <w:highlight w:val="none"/>
          <w:lang w:val="en-US" w:eastAsia="zh-CN"/>
        </w:rPr>
      </w:pPr>
      <w:r>
        <w:rPr>
          <w:rFonts w:hint="default" w:ascii="Times New Roman" w:hAnsi="Times New Roman" w:cs="Times New Roman"/>
          <w:sz w:val="32"/>
          <w:szCs w:val="32"/>
          <w:highlight w:val="none"/>
          <w:lang w:val="en-US" w:eastAsia="zh-CN"/>
        </w:rPr>
        <w:t>附件4</w:t>
      </w:r>
    </w:p>
    <w:p w14:paraId="337392D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2"/>
          <w:szCs w:val="32"/>
          <w:lang w:val="en-US" w:eastAsia="zh-CN"/>
        </w:rPr>
      </w:pPr>
      <w:bookmarkStart w:id="190" w:name="_Toc26700"/>
      <w:bookmarkStart w:id="191" w:name="_Toc29220"/>
      <w:r>
        <w:rPr>
          <w:rFonts w:hint="default" w:ascii="Times New Roman" w:hAnsi="Times New Roman" w:eastAsia="方正小标宋_GBK" w:cs="Times New Roman"/>
          <w:color w:val="000000"/>
          <w:kern w:val="0"/>
          <w:sz w:val="32"/>
          <w:szCs w:val="32"/>
          <w:lang w:val="en-US" w:eastAsia="zh-CN"/>
        </w:rPr>
        <w:t>202</w:t>
      </w:r>
      <w:r>
        <w:rPr>
          <w:rFonts w:hint="eastAsia" w:ascii="Times New Roman" w:hAnsi="Times New Roman" w:eastAsia="方正小标宋_GBK" w:cs="Times New Roman"/>
          <w:color w:val="000000"/>
          <w:kern w:val="0"/>
          <w:sz w:val="32"/>
          <w:szCs w:val="32"/>
          <w:lang w:val="en-US" w:eastAsia="zh-CN"/>
        </w:rPr>
        <w:t>5</w:t>
      </w:r>
      <w:r>
        <w:rPr>
          <w:rFonts w:hint="default" w:ascii="Times New Roman" w:hAnsi="Times New Roman" w:eastAsia="方正小标宋_GBK" w:cs="Times New Roman"/>
          <w:color w:val="000000"/>
          <w:kern w:val="0"/>
          <w:sz w:val="32"/>
          <w:szCs w:val="32"/>
          <w:lang w:val="en-US" w:eastAsia="zh-CN"/>
        </w:rPr>
        <w:t>年度省文化旅游发展专项资金绩效评价问题清单</w:t>
      </w:r>
      <w:bookmarkEnd w:id="190"/>
      <w:bookmarkEnd w:id="191"/>
    </w:p>
    <w:tbl>
      <w:tblPr>
        <w:tblStyle w:val="16"/>
        <w:tblW w:w="160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1"/>
        <w:gridCol w:w="1266"/>
        <w:gridCol w:w="1266"/>
        <w:gridCol w:w="1495"/>
        <w:gridCol w:w="1952"/>
        <w:gridCol w:w="1382"/>
        <w:gridCol w:w="793"/>
        <w:gridCol w:w="1315"/>
        <w:gridCol w:w="1381"/>
        <w:gridCol w:w="4515"/>
      </w:tblGrid>
      <w:tr w14:paraId="33519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C4B6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default"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序号</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29E0C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指标文号</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7BC69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市州</w:t>
            </w:r>
          </w:p>
        </w:tc>
        <w:tc>
          <w:tcPr>
            <w:tcW w:w="1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582F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项目单位</w:t>
            </w:r>
          </w:p>
        </w:tc>
        <w:tc>
          <w:tcPr>
            <w:tcW w:w="19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3A02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项目名称</w:t>
            </w:r>
          </w:p>
        </w:tc>
        <w:tc>
          <w:tcPr>
            <w:tcW w:w="1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4FE9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项目类别</w:t>
            </w:r>
          </w:p>
        </w:tc>
        <w:tc>
          <w:tcPr>
            <w:tcW w:w="7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7A3F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金额</w:t>
            </w:r>
          </w:p>
        </w:tc>
        <w:tc>
          <w:tcPr>
            <w:tcW w:w="1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DF825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问题大类</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41CC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问题小类</w:t>
            </w:r>
          </w:p>
        </w:tc>
        <w:tc>
          <w:tcPr>
            <w:tcW w:w="4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4F08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问题概述</w:t>
            </w:r>
          </w:p>
        </w:tc>
      </w:tr>
      <w:tr w14:paraId="70A3F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blHeader/>
          <w:jc w:val="center"/>
        </w:trPr>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C5F54">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14E29">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73B14">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B056F">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9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FF35F">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1292E">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7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DFA60">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91629">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061F6">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c>
          <w:tcPr>
            <w:tcW w:w="4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29B0C">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b/>
                <w:bCs/>
                <w:i w:val="0"/>
                <w:iCs w:val="0"/>
                <w:color w:val="000000"/>
                <w:sz w:val="20"/>
                <w:szCs w:val="20"/>
                <w:u w:val="none"/>
              </w:rPr>
            </w:pPr>
          </w:p>
        </w:tc>
      </w:tr>
      <w:tr w14:paraId="62DBC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8542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501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DB4A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38E5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FECC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专项整体</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2C5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DB89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0422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资金分配下达方面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9AC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资金拨付不及时</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E899A">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部分专项资金下达不及时，市县财政部门统筹管理资金，部分项目资金未根据指标文要求及时下达至项目单位，截至2025年12月31日，现场评价资金的到位率为67.33%。</w:t>
            </w:r>
          </w:p>
        </w:tc>
      </w:tr>
      <w:tr w14:paraId="63660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7C86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42E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C282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BCF5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624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专项整体</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8FF3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E68B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A91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C8B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资金执行率不高</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7C2E">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部分项目资金执行率低，截至2025年12月31日，已拨付到位的项目资金的执行率为79.53%。（附清单）</w:t>
            </w:r>
          </w:p>
        </w:tc>
      </w:tr>
      <w:tr w14:paraId="200C3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9BB5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9D58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9155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72C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浏阳市文化旅游广电体育局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C81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湖南围山云起民宿服务有限公司：高品质旅游住宿业奖补</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新评国家级甲级旅游民宿</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6749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省委省政府部署项目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8AA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404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50A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73AD">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专项资金使用记账凭证及原始凭证不完整，仅有银行回单及发票，无法有效确定资金使用方向。</w:t>
            </w:r>
          </w:p>
        </w:tc>
      </w:tr>
      <w:tr w14:paraId="73DB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DEE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7F6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4B41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79C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长沙市文化旅游广电局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8D7F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长沙歌舞剧院：音乐剧《她从长安来》</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145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DD4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E8E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C3E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06A6">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根据项目申报材料，该项目实施期间为2025年4月至12月。</w:t>
            </w:r>
            <w:r>
              <w:rPr>
                <w:rFonts w:hint="eastAsia" w:ascii="仿宋_GB2312" w:hAnsi="宋体" w:cs="仿宋_GB2312"/>
                <w:i w:val="0"/>
                <w:iCs w:val="0"/>
                <w:color w:val="000000"/>
                <w:kern w:val="0"/>
                <w:sz w:val="20"/>
                <w:szCs w:val="20"/>
                <w:u w:val="none"/>
                <w:lang w:val="en-US" w:eastAsia="zh-CN" w:bidi="ar"/>
              </w:rPr>
              <w:t>截至</w:t>
            </w:r>
            <w:r>
              <w:rPr>
                <w:rFonts w:hint="eastAsia" w:ascii="仿宋_GB2312" w:hAnsi="宋体" w:eastAsia="仿宋_GB2312" w:cs="仿宋_GB2312"/>
                <w:i w:val="0"/>
                <w:iCs w:val="0"/>
                <w:color w:val="000000"/>
                <w:kern w:val="0"/>
                <w:sz w:val="20"/>
                <w:szCs w:val="20"/>
                <w:u w:val="none"/>
                <w:lang w:val="en-US" w:eastAsia="zh-CN" w:bidi="ar"/>
              </w:rPr>
              <w:t>2026年5月，签订剧本创作协议。主要原因为资金未及时到位，目前只进行了前期工作。</w:t>
            </w:r>
          </w:p>
        </w:tc>
      </w:tr>
      <w:tr w14:paraId="01448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8C8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5AC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BC1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215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长沙市群众艺术馆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561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小品《撤回了啥？》</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DC9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8EE6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1A3C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1713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566A0">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项目申报书中，2025年度需完成在抖音、视频号等短视频平台展播，积极参加省内外各级小戏小品大赛及惠民演出。截至2025年12月31日，完成惠民演出1场</w:t>
            </w:r>
          </w:p>
        </w:tc>
      </w:tr>
      <w:tr w14:paraId="64D28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4236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6D1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33A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2AF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长沙市岳麓区文化馆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452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舞蹈《春晓依旧》</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0773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2E5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B485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58E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AFB5">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资金未执行，主要原因为专项资金下达时</w:t>
            </w:r>
            <w:r>
              <w:rPr>
                <w:rFonts w:hint="eastAsia" w:ascii="仿宋_GB2312" w:hAnsi="宋体" w:cs="仿宋_GB2312"/>
                <w:i w:val="0"/>
                <w:iCs w:val="0"/>
                <w:color w:val="000000"/>
                <w:kern w:val="0"/>
                <w:sz w:val="20"/>
                <w:szCs w:val="20"/>
                <w:u w:val="none"/>
                <w:lang w:val="en-US" w:eastAsia="zh-CN" w:bidi="ar"/>
              </w:rPr>
              <w:t>间为</w:t>
            </w:r>
            <w:r>
              <w:rPr>
                <w:rFonts w:hint="eastAsia" w:ascii="仿宋_GB2312" w:hAnsi="宋体" w:eastAsia="仿宋_GB2312" w:cs="仿宋_GB2312"/>
                <w:i w:val="0"/>
                <w:iCs w:val="0"/>
                <w:color w:val="000000"/>
                <w:kern w:val="0"/>
                <w:sz w:val="20"/>
                <w:szCs w:val="20"/>
                <w:u w:val="none"/>
                <w:lang w:val="en-US" w:eastAsia="zh-CN" w:bidi="ar"/>
              </w:rPr>
              <w:t>2025年11月26日，离年底财务关账时间较短，导致此项经费未在年底支付完成，计划用于2026年活动开展。</w:t>
            </w:r>
          </w:p>
        </w:tc>
      </w:tr>
      <w:tr w14:paraId="01324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D14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7</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2D904">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EB2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2DE9">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长沙市开福区文化馆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4D72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原创少儿舞蹈《鸡咯咯鸭嘎嘎》</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9046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5F70">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8C3B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项目实施管理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2D15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采购执行不规范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503D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采购流程欠规范：开福区文化馆与长沙市麓之星文化传媒有限公司签订委托服务合同，约定甲方委托乙方打造文艺作品《鸡咯咯鸭嘎嘎》，合同未约定具体金额。经了解，该采购事项属于单一来源采购，但未执行相应的采购流程。</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2.验收材料需完善：付款凭据中未见项目验收资料、项目执行过程记录资料等</w:t>
            </w:r>
          </w:p>
        </w:tc>
      </w:tr>
      <w:tr w14:paraId="79AA8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450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49B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B9E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CA9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长沙市开福区文化馆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163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长沙花鼓小戏《老街轶事》</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A92A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73BD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891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项目实施管理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8060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采购执行不规范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FE7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采购流程欠规范：开福区文化馆与长沙市湖安文化传播有限公司签订委托服务合同，约定甲方委托乙方打造文艺作品《老街轶事》，合同未约定具体金额。经了解，该采购事项属于单一来源采购，但未执行相应的采购流程。</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2.验收材料需完善：付款凭据中未见项目验收资料、项目执行过程记录资料等</w:t>
            </w:r>
          </w:p>
        </w:tc>
      </w:tr>
      <w:tr w14:paraId="64C10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12E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D11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3C6B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0F92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长沙市雨花区文化旅游体育局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725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长沙歌舞剧院：舞台剧《医圣·长沙方》</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526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BC3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928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3B1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E1BE">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项目进度滞后，根据项目申报材料，项目实施期间为2025年4月至12月，</w:t>
            </w:r>
            <w:r>
              <w:rPr>
                <w:rFonts w:hint="eastAsia" w:ascii="仿宋_GB2312" w:hAnsi="宋体" w:cs="仿宋_GB2312"/>
                <w:i w:val="0"/>
                <w:iCs w:val="0"/>
                <w:color w:val="000000"/>
                <w:kern w:val="0"/>
                <w:sz w:val="20"/>
                <w:szCs w:val="20"/>
                <w:u w:val="none"/>
                <w:lang w:val="en-US" w:eastAsia="zh-CN" w:bidi="ar"/>
              </w:rPr>
              <w:t>截至</w:t>
            </w:r>
            <w:r>
              <w:rPr>
                <w:rFonts w:hint="eastAsia" w:ascii="仿宋_GB2312" w:hAnsi="宋体" w:eastAsia="仿宋_GB2312" w:cs="仿宋_GB2312"/>
                <w:i w:val="0"/>
                <w:iCs w:val="0"/>
                <w:color w:val="000000"/>
                <w:kern w:val="0"/>
                <w:sz w:val="20"/>
                <w:szCs w:val="20"/>
                <w:u w:val="none"/>
                <w:lang w:val="en-US" w:eastAsia="zh-CN" w:bidi="ar"/>
              </w:rPr>
              <w:t>2026年4月30日，项目完成了第二次剧本朗读及剧目推进会。</w:t>
            </w:r>
            <w:r>
              <w:rPr>
                <w:rFonts w:hint="eastAsia" w:ascii="仿宋_GB2312" w:hAnsi="宋体" w:cs="仿宋_GB2312"/>
                <w:i w:val="0"/>
                <w:iCs w:val="0"/>
                <w:color w:val="000000"/>
                <w:kern w:val="0"/>
                <w:sz w:val="20"/>
                <w:szCs w:val="20"/>
                <w:u w:val="none"/>
                <w:lang w:val="en-US" w:eastAsia="zh-CN" w:bidi="ar"/>
              </w:rPr>
              <w:t>主要原因一是</w:t>
            </w:r>
            <w:r>
              <w:rPr>
                <w:rFonts w:hint="eastAsia" w:ascii="仿宋_GB2312" w:hAnsi="宋体" w:eastAsia="仿宋_GB2312" w:cs="仿宋_GB2312"/>
                <w:i w:val="0"/>
                <w:iCs w:val="0"/>
                <w:color w:val="000000"/>
                <w:kern w:val="0"/>
                <w:sz w:val="20"/>
                <w:szCs w:val="20"/>
                <w:u w:val="none"/>
                <w:lang w:val="en-US" w:eastAsia="zh-CN" w:bidi="ar"/>
              </w:rPr>
              <w:t>剧本创作难度超出预期，二是疫情后演艺市场复苏带来的资源竞争加剧，优质舞美制作团队档期紧张</w:t>
            </w:r>
          </w:p>
        </w:tc>
      </w:tr>
      <w:tr w14:paraId="2844D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16DB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78D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9FB0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315A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浏阳市小河乡人民政府</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2A5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小河乡客家非遗旅游示范项目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EFA4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A71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2D2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项目实施管理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642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采购执行不规范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6144">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该项目资金用于列宁图书馆旧址道路改造施工，该工程由邓*个人承包施工。根据建筑工程相关法律法规，道路改造工程，须由具备相应施工资质、独立法人资格的企业承接，严禁无资质个人承揽工程施工业务。本次工程由个人邓华直接承包施工，属于违规承包行为。</w:t>
            </w:r>
          </w:p>
        </w:tc>
      </w:tr>
      <w:tr w14:paraId="6D5F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63B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F611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FB6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334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长沙市博物馆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F60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长沙市博物馆“星城红韵”系列红色文化旅游产品开发</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F40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1BA4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6E1A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C71F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6241">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项目进度滞后，因前期调研复杂度高，项目整体进度滞后，资金结转至2026年使用</w:t>
            </w:r>
          </w:p>
        </w:tc>
      </w:tr>
      <w:tr w14:paraId="1C14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B5E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C08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A4A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0EB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杨开慧纪念馆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B7D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杨开慧纪念馆文化遗产资源活化利用与传播</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340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0279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60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FF2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01D7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7AA76">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项目进度滞后，根据项目申报材料，项目于2025年完成，因项目前期论证、方案编制等工作周期较长，工作顺延至2026年组织实施。</w:t>
            </w:r>
          </w:p>
        </w:tc>
      </w:tr>
      <w:tr w14:paraId="11D47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B949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645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56FA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长沙市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91F5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浏阳市博物馆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007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浏阳市博物馆文创产品开发</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9AE0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95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B34A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项目实施管理</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196C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采购执行不规范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B6175">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项目采取询比价方式采购文创产品（设计工作通过比赛征集方式完成），仅有中标单位提供商品明细数量，其他参与询价两家单位虽总体报价高于中标单位，但未</w:t>
            </w:r>
            <w:r>
              <w:rPr>
                <w:rFonts w:hint="eastAsia" w:ascii="仿宋_GB2312" w:hAnsi="宋体" w:cs="仿宋_GB2312"/>
                <w:i w:val="0"/>
                <w:iCs w:val="0"/>
                <w:color w:val="000000"/>
                <w:kern w:val="0"/>
                <w:sz w:val="20"/>
                <w:szCs w:val="20"/>
                <w:u w:val="none"/>
                <w:lang w:val="en-US" w:eastAsia="zh-CN" w:bidi="ar"/>
              </w:rPr>
              <w:t>提</w:t>
            </w:r>
            <w:r>
              <w:rPr>
                <w:rFonts w:hint="eastAsia" w:ascii="仿宋_GB2312" w:hAnsi="宋体" w:eastAsia="仿宋_GB2312" w:cs="仿宋_GB2312"/>
                <w:i w:val="0"/>
                <w:iCs w:val="0"/>
                <w:color w:val="000000"/>
                <w:kern w:val="0"/>
                <w:sz w:val="20"/>
                <w:szCs w:val="20"/>
                <w:u w:val="none"/>
                <w:lang w:val="en-US" w:eastAsia="zh-CN" w:bidi="ar"/>
              </w:rPr>
              <w:t>供商品明细数量，无法评判中标单位是否最优。</w:t>
            </w:r>
          </w:p>
        </w:tc>
      </w:tr>
      <w:tr w14:paraId="46225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B06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566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C5B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衡阳市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63E9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耒阳市考古研究和文物保护中心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186F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《雪域丰碑》红色微短剧展演项目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9E52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691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607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5BB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29F4">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根据项目申报材料，该项目的实施周期为2025年1月至2025年12月。截至2026年4月底，项目处于前期手续办理阶段，尚未开展正式演出，项目推进节奏偏慢。</w:t>
            </w:r>
          </w:p>
        </w:tc>
      </w:tr>
      <w:tr w14:paraId="7D59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E7E6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BA17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D50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2EC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岳阳市美术馆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8A64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极目楚天·第二届洞庭湖三年展</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2D7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6708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012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282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D24C1">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“极目楚天</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第二届洞庭湖三年展”项目资金于2025年9月29日到账，项目尚未启动，计划延期至2026年11月份开始筹备</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2026年12月开始实施。</w:t>
            </w:r>
          </w:p>
        </w:tc>
      </w:tr>
      <w:tr w14:paraId="7628B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A26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0782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3166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97C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岳阳县花鼓戏传承研究所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3493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花鼓小戏《请跟我来》</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9C6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898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EE3A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8F0A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71D1">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根据项目申报书，该项目计划于2025年3月启动，实际2026年3月开展，项目进度滞后的原因是专项资金下达时间较晚，与项目原计划创排周期错配。</w:t>
            </w:r>
          </w:p>
        </w:tc>
      </w:tr>
      <w:tr w14:paraId="121E0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27F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17</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16C3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0C6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E18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岳阳县文化馆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595E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花鼓小戏《桂花湾笑声》</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65A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727E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15</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552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E23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81B2C">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根据项目申报书，该项目计划于2025年开展惠民巡演、数字化宣传推广。截至2026年4月底，2025年度巡演与数字化宣传未完成。</w:t>
            </w:r>
          </w:p>
        </w:tc>
      </w:tr>
      <w:tr w14:paraId="7E8E2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1FF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18</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31F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8114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D2D5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岳阳县文化馆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B0A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花鼓小戏《黄马甲》</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ADA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46EC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15</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A933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4EF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C38B">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根据项目申报书，该项目计划于2025年完成剧目创排打磨，开展惠民巡演、数字化宣传推广。截至2026年4月底，2025年度巡演与数字化宣传未完成。</w:t>
            </w:r>
          </w:p>
        </w:tc>
      </w:tr>
      <w:tr w14:paraId="3486C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A08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174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F300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3BB2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怀化市民族歌舞剧团（怀化市鹤城区阳戏保护传承中心）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E504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现代阳戏小戏《审红包》</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BC1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E2A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215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0A9A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97C31">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根据项目申报书，该项目计划实施周期为2024年3月1日—2025年1月31日。截至2026年4月底，因专项资金未拨付到位，创排、打磨提升及演出比赛等工作未按计划开展。</w:t>
            </w:r>
          </w:p>
        </w:tc>
      </w:tr>
      <w:tr w14:paraId="46893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F2EE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309B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D73E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C43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怀化市文化旅游广电体育局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75B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怀化非遗文创开发</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5CE8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44D6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5D4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C31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268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计划完成时间是2025年12月19日前，完成实地调研20个非遗项目，设计60款原创文创产品（包含高端类、品质类、流量类形式的文创产品），制作60款实物产品样品，完成30套产品包装设计（相应产品包装盒、包装袋设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截至2026年4月底，</w:t>
            </w:r>
            <w:r>
              <w:rPr>
                <w:rFonts w:hint="eastAsia" w:ascii="仿宋_GB2312" w:hAnsi="宋体" w:cs="仿宋_GB2312"/>
                <w:i w:val="0"/>
                <w:iCs w:val="0"/>
                <w:color w:val="000000"/>
                <w:kern w:val="0"/>
                <w:sz w:val="20"/>
                <w:szCs w:val="20"/>
                <w:u w:val="none"/>
                <w:lang w:val="en-US" w:eastAsia="zh-CN" w:bidi="ar"/>
              </w:rPr>
              <w:t>已完成</w:t>
            </w:r>
            <w:r>
              <w:rPr>
                <w:rFonts w:hint="eastAsia" w:ascii="仿宋_GB2312" w:hAnsi="宋体" w:eastAsia="仿宋_GB2312" w:cs="仿宋_GB2312"/>
                <w:i w:val="0"/>
                <w:iCs w:val="0"/>
                <w:color w:val="000000"/>
                <w:kern w:val="0"/>
                <w:sz w:val="20"/>
                <w:szCs w:val="20"/>
                <w:u w:val="none"/>
                <w:lang w:val="en-US" w:eastAsia="zh-CN" w:bidi="ar"/>
              </w:rPr>
              <w:t>23个非遗项目调研，以及62款产品初步设计，正在根据初步筛选出的产品深化设计调整中。配套完成30款包装设计，以及26款产品打样。</w:t>
            </w:r>
          </w:p>
        </w:tc>
      </w:tr>
      <w:tr w14:paraId="37E02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FE9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5C8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B40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B3C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洪江市文化馆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FFDF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岩板上的瑶寨</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2A2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07A2">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CDCD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523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91B2">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1.项目实施停滞。截至2026年5月11日，本项目8万元省级专项资金未拨付到位，无法支付节目复排、演员劳务、场地租赁、设备运输等费用，30场惠民演出任务未开展，项目整体进度为零。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2.核心绩效目标未达成。项目原定的复排特色音乐作品、开展30场惠民演出、丰富群众精神文化生活、传承瑶族优秀文化等核心目标均未实现。仅完成的市级选送任务属于项目前期基础工作。</w:t>
            </w:r>
          </w:p>
        </w:tc>
      </w:tr>
      <w:tr w14:paraId="6DC37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A94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E93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4D0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C38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通道转兵纪念馆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341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通道转兵音乐党史课</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68B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AADE">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B90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ED09">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项目可持续效益需提升</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D83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1.项目宣传覆盖范围有局限，针对年轻群体的新媒体传播力度不足，部分外地游客对本项目的知晓度有待提升；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2.社会资本参与红色文旅项目的长效机制仍不完善，合作模式的灵活性有待进一步提升；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3.部分红色资源的当代价值阐释不够深入，展陈的互动</w:t>
            </w:r>
            <w:r>
              <w:rPr>
                <w:rFonts w:hint="eastAsia" w:ascii="仿宋_GB2312" w:hAnsi="宋体" w:cs="仿宋_GB2312"/>
                <w:i w:val="0"/>
                <w:iCs w:val="0"/>
                <w:color w:val="000000"/>
                <w:kern w:val="0"/>
                <w:sz w:val="20"/>
                <w:szCs w:val="20"/>
                <w:u w:val="none"/>
                <w:lang w:val="en-US" w:eastAsia="zh-CN" w:bidi="ar"/>
              </w:rPr>
              <w:t>性和</w:t>
            </w:r>
            <w:r>
              <w:rPr>
                <w:rFonts w:hint="eastAsia" w:ascii="仿宋_GB2312" w:hAnsi="宋体" w:eastAsia="仿宋_GB2312" w:cs="仿宋_GB2312"/>
                <w:i w:val="0"/>
                <w:iCs w:val="0"/>
                <w:color w:val="000000"/>
                <w:kern w:val="0"/>
                <w:sz w:val="20"/>
                <w:szCs w:val="20"/>
                <w:u w:val="none"/>
                <w:lang w:val="en-US" w:eastAsia="zh-CN" w:bidi="ar"/>
              </w:rPr>
              <w:t>体验性待提升空间。</w:t>
            </w:r>
          </w:p>
        </w:tc>
      </w:tr>
      <w:tr w14:paraId="2212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8C5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2F8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81F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034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怀化市文化遗产保护中心（市博物馆）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E77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怀化市博物馆馆藏资源活化利用与传播</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67A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B120">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160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888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0252">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0EF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根据项目申报书，该项目预计于2025年底完成，计划的实施内容包括文博研学系列课程研发及实施、文博实践教育活动策划及执行、文化遗产音视频制作与传播、文创设计制作、五溪文化主题小型展览活动等。</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截至2026年4月底，已完成项目招投标工作以及“湘见万年·探秘福地怀化”青少年文物文化主题展演社教活动，未达成预期目标。</w:t>
            </w:r>
          </w:p>
        </w:tc>
      </w:tr>
      <w:tr w14:paraId="6065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B28F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C5B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D08D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9107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麻阳苗族自治县博物馆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3D20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麻阳苗族自治县博物馆文创产品研发设计</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261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CE0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8D8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A11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7BD6B">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根据项目申请报告，该项目计划于2025年5月30日前完成100%的产品设计、打样。实际于2026年5月完成招投标，计划在4个月内完成所有项目的开发设计打样验收交付。项目实施进度不及预期。</w:t>
            </w:r>
          </w:p>
        </w:tc>
      </w:tr>
      <w:tr w14:paraId="22781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7CF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E905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F53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BBA0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洪江区文化旅游广电体育局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BDC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洪商文化博物馆“走读湖湘·探寻洪商魅力”研学、实践教育与展示传播系列活动项目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F64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文物保护利用项目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030D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F5CF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6C7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C638">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资金申报197万元，实际到位100万元，实际到位资金与申报资金预算存在较大差额，项目重新优化、调整方案，导致项目进度滞后，项目原计划2025年年度全面完成，现预计2026年12月完成；项目实施内容进行缩小，如：原计划策划执行25场文博实践教育活动，现在改为：策划执行20场文博实践教育活动等。</w:t>
            </w:r>
          </w:p>
        </w:tc>
      </w:tr>
      <w:tr w14:paraId="658C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5088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5B0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湘财文指〔2025〕48号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7B9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怀化市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5586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cs="仿宋_GB2312"/>
                <w:i w:val="0"/>
                <w:iCs w:val="0"/>
                <w:color w:val="000000"/>
                <w:kern w:val="0"/>
                <w:sz w:val="20"/>
                <w:szCs w:val="20"/>
                <w:u w:val="none"/>
                <w:lang w:val="en-US" w:eastAsia="zh-CN" w:bidi="ar"/>
              </w:rPr>
              <w:t>通道侗族自治县</w:t>
            </w:r>
            <w:r>
              <w:rPr>
                <w:rFonts w:hint="eastAsia" w:ascii="仿宋_GB2312" w:hAnsi="宋体" w:eastAsia="仿宋_GB2312" w:cs="仿宋_GB2312"/>
                <w:i w:val="0"/>
                <w:iCs w:val="0"/>
                <w:color w:val="000000"/>
                <w:kern w:val="0"/>
                <w:sz w:val="20"/>
                <w:szCs w:val="20"/>
                <w:u w:val="none"/>
                <w:lang w:val="en-US" w:eastAsia="zh-CN" w:bidi="ar"/>
              </w:rPr>
              <w:t>皇都村</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DE8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文旅基础设施灾后重建</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17D4">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文旅基础设施建设</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8318">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FAC3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CF0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项目可持续效益需提升</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2F50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cs="仿宋_GB2312"/>
                <w:i w:val="0"/>
                <w:iCs w:val="0"/>
                <w:color w:val="000000"/>
                <w:kern w:val="0"/>
                <w:sz w:val="20"/>
                <w:szCs w:val="20"/>
                <w:u w:val="none"/>
                <w:lang w:val="en-US" w:eastAsia="zh-CN" w:bidi="ar"/>
              </w:rPr>
              <w:t>1.</w:t>
            </w:r>
            <w:r>
              <w:rPr>
                <w:rFonts w:hint="eastAsia" w:ascii="仿宋_GB2312" w:hAnsi="宋体" w:eastAsia="仿宋_GB2312" w:cs="仿宋_GB2312"/>
                <w:i w:val="0"/>
                <w:iCs w:val="0"/>
                <w:color w:val="000000"/>
                <w:kern w:val="0"/>
                <w:sz w:val="20"/>
                <w:szCs w:val="20"/>
                <w:u w:val="none"/>
                <w:lang w:val="en-US" w:eastAsia="zh-CN" w:bidi="ar"/>
              </w:rPr>
              <w:t>部分专业设备运维需加强技术力量。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淡季设备利用率有待提升。</w:t>
            </w:r>
          </w:p>
        </w:tc>
      </w:tr>
      <w:tr w14:paraId="361B2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23BD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27</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187F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〔2024〕82号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05F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0BB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湖南省花鼓戏保护传承中心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487B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文旅版方言生活秀 《火宫殿》</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E096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重点项目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679C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158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87F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BAF42">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项目进度滞后，根据申报材料，项目实施期为2025年1月至10月，9-10月需将打磨完善的剧目深入省内高校、湖南各地进行演出。但截至2026年5月，尚在合同签订阶段。</w:t>
            </w:r>
          </w:p>
        </w:tc>
      </w:tr>
      <w:tr w14:paraId="1339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0CC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28</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123F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〔2024〕82号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897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99504">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湖南省木偶皮影艺术保护传承中心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8C1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文旅融合励志木偶剧《丑小鸭》</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454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重点项目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312D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F7CC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99D8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3C3C">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项目进度滞后，根据项目申报材料，2025年完成复排、小剧场改造，演出40场。项目于2026年5月19日确定主创团队，预计2026年10月31日完结项目。</w:t>
            </w:r>
          </w:p>
        </w:tc>
      </w:tr>
      <w:tr w14:paraId="3CB53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AE04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44BF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〔2024〕82号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5EB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342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湖南省京剧保护传承中心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8806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新编京剧《皿方罍》修改打磨及巡演</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A42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重点项目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815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150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6A1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6D0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BAEA3">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项目支付聘用的演员和演出辅助人员工资41.27万元，因支付月份这些人员集中参与该项目，但缺少排班表、签到表等佐证资料。</w:t>
            </w:r>
          </w:p>
        </w:tc>
      </w:tr>
      <w:tr w14:paraId="27C5C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C30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6B0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A40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8C2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湖南省文化和旅游厅导游服务中心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EEF5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湖南省导游人才振兴工程项目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748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文旅活动和行业管理项目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099E0">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1A3BA">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89B9">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B830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资金用于劳务人员工资：用项目资金支付政务中心坐班劳务派遣人员工资，劳务派遣人员主要处理政务中心日常工作，抽查发现金额合计39,450.27元；用项目资金支付兼职财务人员工资，抽查发现金额合计6,000.00元。</w:t>
            </w:r>
          </w:p>
        </w:tc>
      </w:tr>
      <w:tr w14:paraId="1F99C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B1B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CB1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A1A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2414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湖南省文化和旅游厅导游服务中心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49F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湖湘万年---“金牌导游说文博”旅游品牌系列活动</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90B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文旅活动和行业管理项目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133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7F1A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9F4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89BE">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项目资金用于兼职财务人员工资：存在用项目资金支付兼职财务人员工资的情况，抽查发现金额合计3,000.00元。</w:t>
            </w:r>
          </w:p>
        </w:tc>
      </w:tr>
      <w:tr w14:paraId="1394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5BE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38F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83F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C549">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湖南图书馆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8867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《湖南图书馆家谱数字化建设》（三期） 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6ED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23FE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130</w:t>
            </w:r>
          </w:p>
        </w:tc>
        <w:tc>
          <w:tcPr>
            <w:tcW w:w="1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1893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187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E0F3D">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项目进度滞后，由于资金2025年8月下达，资金下达后方启动项目，项目整体进度比计划推迟半年。</w:t>
            </w:r>
          </w:p>
        </w:tc>
      </w:tr>
      <w:tr w14:paraId="2F932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5CF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243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BE37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9D13">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湖南图书馆</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528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《湖南图书馆家谱数字化建设》（三期） 项目</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B94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AB7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AC3C7">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A8EA">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4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1E56">
            <w:pPr>
              <w:keepNext w:val="0"/>
              <w:keepLines w:val="0"/>
              <w:widowControl w:val="0"/>
              <w:suppressLineNumbers w:val="0"/>
              <w:spacing w:before="0" w:beforeAutospacing="0" w:after="0" w:afterAutospacing="0" w:line="240" w:lineRule="exact"/>
              <w:ind w:left="0" w:right="0"/>
              <w:jc w:val="both"/>
              <w:rPr>
                <w:rFonts w:hint="eastAsia" w:ascii="仿宋_GB2312" w:hAnsi="宋体" w:eastAsia="仿宋_GB2312" w:cs="仿宋_GB2312"/>
                <w:i w:val="0"/>
                <w:iCs w:val="0"/>
                <w:color w:val="000000"/>
                <w:sz w:val="20"/>
                <w:szCs w:val="20"/>
                <w:u w:val="none"/>
              </w:rPr>
            </w:pPr>
          </w:p>
        </w:tc>
      </w:tr>
      <w:tr w14:paraId="06999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DCAD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343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FE7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A772">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湖南省湘剧院</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6C3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湘剧《周南女中》（暂定名）</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7B0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99E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230</w:t>
            </w:r>
          </w:p>
        </w:tc>
        <w:tc>
          <w:tcPr>
            <w:tcW w:w="1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2D51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F3E4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831E2E">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项目进度滞后，根据项目材料，2025年需正式进行演出，对剧本进行最后的打磨提升，但截至2026年5月，项目尚在剧本创作阶段，主创团队尚在商定。</w:t>
            </w:r>
          </w:p>
        </w:tc>
      </w:tr>
      <w:tr w14:paraId="2B622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D71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C654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F238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CA30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湖南省湘剧院</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2E8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湘剧《周南女中》（暂定名）</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4DD8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612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220</w:t>
            </w:r>
          </w:p>
        </w:tc>
        <w:tc>
          <w:tcPr>
            <w:tcW w:w="1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A6BF1">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38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0FD6E">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4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F2F7B">
            <w:pPr>
              <w:keepNext w:val="0"/>
              <w:keepLines w:val="0"/>
              <w:widowControl w:val="0"/>
              <w:suppressLineNumbers w:val="0"/>
              <w:spacing w:before="0" w:beforeAutospacing="0" w:after="0" w:afterAutospacing="0" w:line="240" w:lineRule="exact"/>
              <w:ind w:left="0" w:right="0"/>
              <w:jc w:val="both"/>
              <w:rPr>
                <w:rFonts w:hint="eastAsia" w:ascii="仿宋_GB2312" w:hAnsi="宋体" w:eastAsia="仿宋_GB2312" w:cs="仿宋_GB2312"/>
                <w:i w:val="0"/>
                <w:iCs w:val="0"/>
                <w:color w:val="000000"/>
                <w:sz w:val="20"/>
                <w:szCs w:val="20"/>
                <w:u w:val="none"/>
              </w:rPr>
            </w:pPr>
          </w:p>
        </w:tc>
      </w:tr>
      <w:tr w14:paraId="08D51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8"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5F6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3A7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72B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AFE8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湖南省花鼓戏保护传承中心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6BB7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戏曲数字化科技展厅二期</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6CD84">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6888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0F5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A92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44A8">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根据项目申报材料和合同，项目计划</w:t>
            </w:r>
            <w:r>
              <w:rPr>
                <w:rFonts w:hint="eastAsia" w:ascii="仿宋_GB2312" w:hAnsi="宋体" w:eastAsia="仿宋_GB2312" w:cs="仿宋_GB2312"/>
                <w:i w:val="0"/>
                <w:iCs w:val="0"/>
                <w:color w:val="000000"/>
                <w:kern w:val="0"/>
                <w:sz w:val="21"/>
                <w:szCs w:val="21"/>
                <w:u w:val="none"/>
                <w:lang w:val="en-US" w:eastAsia="zh-CN" w:bidi="ar"/>
              </w:rPr>
              <w:t>竣工日期为2026年2月20日，但截至2026年5月，项目方完成主体工程，正在进行结算工作。</w:t>
            </w:r>
          </w:p>
        </w:tc>
      </w:tr>
      <w:tr w14:paraId="1C025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F982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37</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CCBC92">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D160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FBE7E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湖南省花鼓戏保护传承中心</w:t>
            </w:r>
          </w:p>
        </w:tc>
        <w:tc>
          <w:tcPr>
            <w:tcW w:w="19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3A2B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大型荒诞花鼓戏《桂宝轶事》</w:t>
            </w:r>
          </w:p>
        </w:tc>
        <w:tc>
          <w:tcPr>
            <w:tcW w:w="13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2B9D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2034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5CD1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D4E1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DDB9B">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存在《蔡坤山耕田》项目挪用《桂宝轶事》项目资金的情况：抽查《桂宝轶事》项目资金支付凭证发现，存在实际支付款项为《蔡坤山耕田》项目创作费、演出费的情况，抽查发现金额为50.46万元。</w:t>
            </w:r>
          </w:p>
        </w:tc>
      </w:tr>
      <w:tr w14:paraId="0FA94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8A263">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863DA">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2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766A2F">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4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22B3">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9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3435D">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3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02665">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79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16A33">
            <w:pPr>
              <w:keepNext w:val="0"/>
              <w:keepLines w:val="0"/>
              <w:widowControl w:val="0"/>
              <w:suppressLineNumbers w:val="0"/>
              <w:spacing w:before="0" w:beforeAutospacing="0" w:after="0" w:afterAutospacing="0" w:line="240" w:lineRule="exact"/>
              <w:ind w:left="0" w:right="0"/>
              <w:jc w:val="center"/>
              <w:rPr>
                <w:rFonts w:hint="eastAsia" w:ascii="仿宋_GB2312" w:hAnsi="宋体" w:eastAsia="仿宋_GB2312" w:cs="仿宋_GB2312"/>
                <w:i w:val="0"/>
                <w:iCs w:val="0"/>
                <w:color w:val="000000"/>
                <w:sz w:val="20"/>
                <w:szCs w:val="20"/>
                <w:u w:val="none"/>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D93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769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513B9">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项目进度滞后，根据项目申报材料，2025年项目需完成项目排练改进，但截至2025年12月31日，该项目仅完成建组。</w:t>
            </w:r>
          </w:p>
        </w:tc>
      </w:tr>
      <w:tr w14:paraId="61AC5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B1F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38</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C19F">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CC15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74F6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湖南省京剧保护传承中心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84A8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“湖湘京韵”数字化传承与创新发展</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B0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523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D77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F06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A0C7">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项目进度滞后，根据项目申报材料，项目建设周期10个月，但截至2026年5月，项目正在进行招标公示，因业务工作安排项目开展延后。</w:t>
            </w:r>
          </w:p>
        </w:tc>
      </w:tr>
      <w:tr w14:paraId="3EE02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F99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39</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32B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1283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668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湖南省木偶皮影艺术保护传承中心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09D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演艺新空间</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644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BBA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975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9F0B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701A7">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项目进度滞后，根据项目申报材料，2025年演绎新空间需投入使用。但项目于2026年5月方完工。</w:t>
            </w:r>
          </w:p>
        </w:tc>
      </w:tr>
      <w:tr w14:paraId="694FF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0C42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40</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089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8116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E24EB">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湖南省木偶皮影艺术保护传承中心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D2E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木偶剧《做一粒好种子》</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36A5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4FFA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80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014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CDD0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7DCB">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项目进度滞后，根据项目申报材料，2025年演需完成各部门细排、演出。截至2026年5月，项目尚处于排练阶段。</w:t>
            </w:r>
          </w:p>
        </w:tc>
      </w:tr>
      <w:tr w14:paraId="626AA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4DB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41</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6CF36">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CF88E">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1BF3C">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湖南省木偶皮影艺术保护传承中心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4DB0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皮影戏《拯救火焰山》</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498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03BBE">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180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442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资金使用管理方面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9359">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资金支出不规范</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17592">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部分款项佐证材料需完善：支付员工排练费，金额合计31.04万元，缺少排班表、考勤表等佐证资料。</w:t>
            </w:r>
          </w:p>
        </w:tc>
      </w:tr>
      <w:tr w14:paraId="74921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C985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42</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5D4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7081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湖南省文化和旅游厅</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9E3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湖南博物院（湖南省文物鉴定中心）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AA2F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互动体验《辛追夫人的秘密》</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82A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申报项目</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D1B20">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1175">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FEF1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8EDAA">
            <w:pPr>
              <w:keepNext w:val="0"/>
              <w:keepLines w:val="0"/>
              <w:widowControl w:val="0"/>
              <w:suppressLineNumbers w:val="0"/>
              <w:spacing w:before="0" w:beforeAutospacing="0" w:after="0" w:afterAutospacing="0" w:line="240" w:lineRule="exact"/>
              <w:ind w:left="0" w:right="0" w:firstLine="0" w:firstLineChars="0"/>
              <w:jc w:val="both"/>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项目进度滞后，2026年1月完成招标，项目正在执行中，计划2026年底前全部完成</w:t>
            </w:r>
          </w:p>
        </w:tc>
      </w:tr>
      <w:tr w14:paraId="38FB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3349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43</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32CA">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〔2024〕71号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4B7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B858">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岳阳市文化旅游广电体育局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6ECE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第四届湖南旅游发展大会专项经费——岳阳楼博物馆古琴交流中心项目前期经费</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E6A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湖南旅游发展大会</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250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50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CE82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资金分配下达方面</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E6A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预算分配不科学</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C9A45">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部分专项资金预算编制不科学，资金用途与项目实际实施周期、政策目标严重脱节。如本次旅发大会前期专项经费，其预算用途未明确区分法定边界，旅发大会闭幕即导致原资金使用场景消失，项目单位未按财政资金管理规定履行预算调整、资金收回或结转审批程序，自行决定暂缓后续工程实施，造成资金闲置、预算执行率偏低，存在资金使用合规性风险。</w:t>
            </w:r>
          </w:p>
        </w:tc>
      </w:tr>
      <w:tr w14:paraId="20442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D65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44</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673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〔2024〕71号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5863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9AB2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岳阳市文化旅游广电体育局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F73A7">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第四届湖南旅游发展大会</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CDA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湖南旅游发展大会</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BD1CA">
            <w:pPr>
              <w:keepNext w:val="0"/>
              <w:keepLines w:val="0"/>
              <w:widowControl w:val="0"/>
              <w:suppressLineNumbers w:val="0"/>
              <w:spacing w:before="0" w:beforeAutospacing="0" w:after="0" w:afterAutospacing="0" w:line="240" w:lineRule="exact"/>
              <w:ind w:left="0" w:right="0" w:firstLine="0" w:firstLineChars="0"/>
              <w:jc w:val="righ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10000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236F">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48A40">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项目可持续效益需提升</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7F54">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1.世界影响力有待提升。岳阳楼历史文化保护利用示范片区建设及世界级旅游度假区创建虽取得进展，但距世界一流标准尚有差距，国际影响力和美誉度需持续培育，国际游客还不多。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2.市场化运营还需深化。新建文旅项目“市场化、可持续、有效益”的长效运营模式还需进一步探索，招大引强工作仍需加强。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3.长效机制构建面临挑战。如洞庭湖夜游等亮点项目常态化运营存在困难，需持续跟进报批与招商。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4.区域协同发展有待加强。全市“一盘棋”统筹还不够，目前岳阳楼、君山、南湖等片区已经联动，但整体打造精品线路还不够。</w:t>
            </w:r>
          </w:p>
        </w:tc>
      </w:tr>
      <w:tr w14:paraId="1DB6B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5"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83B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45</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65F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AD5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邵阳市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B549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湖南省祁剧保护传承中心</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B7C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全国优秀目连戏展演暨学术研讨会</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26A5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演艺惠民及演出活动经费</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EBCA6">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2C7F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3362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CC61">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项目整体推进进度缓于预期。主要原因</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一是目连戏参演院团分布范围广、剧目资料零散，前期收集整理、核实归档工作量大、耗时较长</w:t>
            </w:r>
            <w:r>
              <w:rPr>
                <w:rFonts w:hint="eastAsia" w:ascii="仿宋_GB2312" w:hAnsi="宋体" w:cs="仿宋_GB2312"/>
                <w:i w:val="0"/>
                <w:iCs w:val="0"/>
                <w:color w:val="000000"/>
                <w:kern w:val="0"/>
                <w:sz w:val="20"/>
                <w:szCs w:val="20"/>
                <w:u w:val="none"/>
                <w:lang w:val="en-US" w:eastAsia="zh-CN" w:bidi="ar"/>
              </w:rPr>
              <w:t>；</w:t>
            </w:r>
            <w:r>
              <w:rPr>
                <w:rFonts w:hint="eastAsia" w:ascii="仿宋_GB2312" w:hAnsi="宋体" w:eastAsia="仿宋_GB2312" w:cs="仿宋_GB2312"/>
                <w:i w:val="0"/>
                <w:iCs w:val="0"/>
                <w:color w:val="000000"/>
                <w:kern w:val="0"/>
                <w:sz w:val="20"/>
                <w:szCs w:val="20"/>
                <w:u w:val="none"/>
                <w:lang w:val="en-US" w:eastAsia="zh-CN" w:bidi="ar"/>
              </w:rPr>
              <w:t>二是项目涉及展演、研讨、仪式等多环节，需对接多方单位协调沟通，流程衔接较为复杂，导致部分方案完善及会议筹备周期延长。</w:t>
            </w:r>
          </w:p>
        </w:tc>
      </w:tr>
      <w:tr w14:paraId="1E78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F896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46</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9F7E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EE1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邵阳市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1A1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邵阳市文化馆（邵阳市文化艺术研究所）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EAE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舞蹈《“晒”村晚》创作及复排</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969CB">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群文口小型戏曲、戏剧、音乐、舞蹈、曲艺等</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C67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50DE">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8BB3">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9C07D">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项目原定以提质后的精品节目冲刺中国艺术节，最终未能入选国家级平台，与预期目标存在差距。</w:t>
            </w:r>
          </w:p>
        </w:tc>
      </w:tr>
      <w:tr w14:paraId="3F980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7CB1">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47</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7CD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湘财文指</w:t>
            </w:r>
            <w:r>
              <w:rPr>
                <w:rFonts w:hint="eastAsia" w:ascii="仿宋_GB2312" w:hAnsi="宋体" w:cs="仿宋_GB2312"/>
                <w:i w:val="0"/>
                <w:iCs w:val="0"/>
                <w:color w:val="000000"/>
                <w:kern w:val="0"/>
                <w:sz w:val="20"/>
                <w:szCs w:val="20"/>
                <w:u w:val="none"/>
                <w:lang w:val="en-US" w:eastAsia="zh-CN" w:bidi="ar"/>
              </w:rPr>
              <w:t>〔2025〕60号</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7E8C">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邵阳市</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E86B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邵阳市文化馆（邵阳市文化艺术研究所）</w:t>
            </w:r>
          </w:p>
        </w:tc>
        <w:tc>
          <w:tcPr>
            <w:tcW w:w="19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F68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群文音乐作品《撮珠朵》创作及复排</w:t>
            </w:r>
          </w:p>
        </w:tc>
        <w:tc>
          <w:tcPr>
            <w:tcW w:w="13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8218">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群文口小型戏曲、戏剧、音乐、舞蹈、曲艺等</w:t>
            </w:r>
          </w:p>
        </w:tc>
        <w:tc>
          <w:tcPr>
            <w:tcW w:w="7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D299">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20</w:t>
            </w:r>
          </w:p>
        </w:tc>
        <w:tc>
          <w:tcPr>
            <w:tcW w:w="1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CACF7">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项目效益达成情况</w:t>
            </w:r>
          </w:p>
        </w:tc>
        <w:tc>
          <w:tcPr>
            <w:tcW w:w="13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3CBBD">
            <w:pPr>
              <w:keepNext w:val="0"/>
              <w:keepLines w:val="0"/>
              <w:widowControl w:val="0"/>
              <w:suppressLineNumbers w:val="0"/>
              <w:spacing w:before="0" w:beforeAutospacing="0" w:after="0" w:afterAutospacing="0" w:line="240" w:lineRule="exact"/>
              <w:ind w:left="0" w:right="0" w:firstLine="0" w:firstLineChars="0"/>
              <w:jc w:val="center"/>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绩效目标未达成</w:t>
            </w:r>
          </w:p>
        </w:tc>
        <w:tc>
          <w:tcPr>
            <w:tcW w:w="4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8624">
            <w:pPr>
              <w:keepNext w:val="0"/>
              <w:keepLines w:val="0"/>
              <w:widowControl w:val="0"/>
              <w:suppressLineNumbers w:val="0"/>
              <w:spacing w:before="0" w:beforeAutospacing="0" w:after="0" w:afterAutospacing="0" w:line="240" w:lineRule="exact"/>
              <w:ind w:left="0" w:right="0" w:firstLine="0" w:firstLineChars="0"/>
              <w:jc w:val="left"/>
              <w:textAlignment w:val="center"/>
              <w:rPr>
                <w:rFonts w:hint="eastAsia"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项目原定以提质后的精品节目冲刺中国艺术节，最终未能入选国家级平台，与预期目标存在差距。</w:t>
            </w:r>
          </w:p>
        </w:tc>
      </w:tr>
    </w:tbl>
    <w:p w14:paraId="0167D54E"/>
    <w:sectPr>
      <w:pgSz w:w="16838" w:h="11905" w:orient="landscape"/>
      <w:pgMar w:top="1417" w:right="1440" w:bottom="1417" w:left="1440" w:header="850" w:footer="992" w:gutter="0"/>
      <w:pgNumType w:fmt="decimal"/>
      <w:cols w:space="0" w:num="1"/>
      <w:rtlGutter w:val="0"/>
      <w:docGrid w:type="lines" w:linePitch="453"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libri Light">
    <w:altName w:val="Nimbus Roman No9 L"/>
    <w:panose1 w:val="020F0302020204030204"/>
    <w:charset w:val="00"/>
    <w:family w:val="swiss"/>
    <w:pitch w:val="default"/>
    <w:sig w:usb0="00000000" w:usb1="00000000" w:usb2="00000009" w:usb3="00000000" w:csb0="200001FF" w:csb1="00000000"/>
  </w:font>
  <w:font w:name="楷体">
    <w:panose1 w:val="02010609060101010101"/>
    <w:charset w:val="86"/>
    <w:family w:val="modern"/>
    <w:pitch w:val="default"/>
    <w:sig w:usb0="800002BF" w:usb1="38CF7CFA" w:usb2="00000016" w:usb3="00000000" w:csb0="00040001" w:csb1="00000000"/>
  </w:font>
  <w:font w:name="等线">
    <w:altName w:val="华文仿宋"/>
    <w:panose1 w:val="02010600030101010101"/>
    <w:charset w:val="86"/>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FD517">
    <w:pPr>
      <w:tabs>
        <w:tab w:val="center" w:pos="4153"/>
        <w:tab w:val="right" w:pos="8306"/>
      </w:tabs>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83B76">
    <w:pPr>
      <w:keepNext w:val="0"/>
      <w:keepLines w:val="0"/>
      <w:pageBreakBefore w:val="0"/>
      <w:widowControl/>
      <w:tabs>
        <w:tab w:val="center" w:pos="4153"/>
        <w:tab w:val="right" w:pos="8306"/>
      </w:tabs>
      <w:kinsoku/>
      <w:wordWrap/>
      <w:overflowPunct/>
      <w:topLinePunct w:val="0"/>
      <w:bidi w:val="0"/>
      <w:adjustRightInd/>
      <w:snapToGrid/>
      <w:ind w:firstLine="0" w:firstLineChars="0"/>
      <w:jc w:val="center"/>
      <w:textAlignment w:val="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FE5F4">
    <w:pPr>
      <w:keepNext w:val="0"/>
      <w:keepLines w:val="0"/>
      <w:pageBreakBefore w:val="0"/>
      <w:widowControl/>
      <w:tabs>
        <w:tab w:val="center" w:pos="4153"/>
        <w:tab w:val="right" w:pos="8306"/>
      </w:tabs>
      <w:kinsoku/>
      <w:wordWrap/>
      <w:overflowPunct/>
      <w:topLinePunct w:val="0"/>
      <w:bidi w:val="0"/>
      <w:adjustRightInd/>
      <w:snapToGrid/>
      <w:ind w:firstLine="0" w:firstLineChars="0"/>
      <w:jc w:val="center"/>
      <w:textAlignment w:val="auto"/>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683663">
                          <w:pPr>
                            <w:pStyle w:val="12"/>
                            <w:keepNext w:val="0"/>
                            <w:keepLines w:val="0"/>
                            <w:pageBreakBefore w:val="0"/>
                            <w:widowControl/>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683663">
                    <w:pPr>
                      <w:pStyle w:val="12"/>
                      <w:keepNext w:val="0"/>
                      <w:keepLines w:val="0"/>
                      <w:pageBreakBefore w:val="0"/>
                      <w:widowControl/>
                      <w:kinsoku/>
                      <w:wordWrap/>
                      <w:overflowPunct/>
                      <w:topLinePunct w:val="0"/>
                      <w:bidi w:val="0"/>
                      <w:adjustRightInd/>
                      <w:snapToGrid w:val="0"/>
                      <w:ind w:firstLine="0" w:firstLineChars="0"/>
                      <w:textAlignment w:val="auto"/>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68D94">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2F9F5B">
                          <w:pPr>
                            <w:pStyle w:val="12"/>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2F9F5B">
                    <w:pPr>
                      <w:pStyle w:val="12"/>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880EA">
    <w:pPr>
      <w:pBdr>
        <w:bottom w:val="none" w:color="auto" w:sz="0" w:space="0"/>
      </w:pBdr>
      <w:tabs>
        <w:tab w:val="center" w:pos="4153"/>
        <w:tab w:val="right" w:pos="8306"/>
      </w:tabs>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BE23C6"/>
    <w:multiLevelType w:val="singleLevel"/>
    <w:tmpl w:val="96BE23C6"/>
    <w:lvl w:ilvl="0" w:tentative="0">
      <w:start w:val="1"/>
      <w:numFmt w:val="chineseCounting"/>
      <w:suff w:val="nothing"/>
      <w:lvlText w:val="（%1）"/>
      <w:lvlJc w:val="left"/>
      <w:pPr>
        <w:ind w:left="0" w:firstLine="420"/>
      </w:pPr>
      <w:rPr>
        <w:rFonts w:hint="eastAsia"/>
      </w:rPr>
    </w:lvl>
  </w:abstractNum>
  <w:abstractNum w:abstractNumId="1">
    <w:nsid w:val="971632EE"/>
    <w:multiLevelType w:val="singleLevel"/>
    <w:tmpl w:val="971632EE"/>
    <w:lvl w:ilvl="0" w:tentative="0">
      <w:start w:val="1"/>
      <w:numFmt w:val="decimal"/>
      <w:suff w:val="nothing"/>
      <w:lvlText w:val="%1．"/>
      <w:lvlJc w:val="left"/>
      <w:pPr>
        <w:ind w:left="0" w:firstLine="400"/>
      </w:pPr>
      <w:rPr>
        <w:rFonts w:hint="default"/>
      </w:rPr>
    </w:lvl>
  </w:abstractNum>
  <w:abstractNum w:abstractNumId="2">
    <w:nsid w:val="A52147B2"/>
    <w:multiLevelType w:val="singleLevel"/>
    <w:tmpl w:val="A52147B2"/>
    <w:lvl w:ilvl="0" w:tentative="0">
      <w:start w:val="1"/>
      <w:numFmt w:val="decimal"/>
      <w:suff w:val="nothing"/>
      <w:lvlText w:val="%1．"/>
      <w:lvlJc w:val="left"/>
      <w:pPr>
        <w:ind w:left="0" w:firstLine="400"/>
      </w:pPr>
      <w:rPr>
        <w:rFonts w:hint="default"/>
      </w:rPr>
    </w:lvl>
  </w:abstractNum>
  <w:abstractNum w:abstractNumId="3">
    <w:nsid w:val="CE693127"/>
    <w:multiLevelType w:val="singleLevel"/>
    <w:tmpl w:val="CE693127"/>
    <w:lvl w:ilvl="0" w:tentative="0">
      <w:start w:val="1"/>
      <w:numFmt w:val="decimal"/>
      <w:suff w:val="nothing"/>
      <w:lvlText w:val="%1．"/>
      <w:lvlJc w:val="left"/>
      <w:pPr>
        <w:ind w:left="0" w:firstLine="400"/>
      </w:pPr>
      <w:rPr>
        <w:rFonts w:hint="default"/>
      </w:rPr>
    </w:lvl>
  </w:abstractNum>
  <w:abstractNum w:abstractNumId="4">
    <w:nsid w:val="D7BD05D6"/>
    <w:multiLevelType w:val="singleLevel"/>
    <w:tmpl w:val="D7BD05D6"/>
    <w:lvl w:ilvl="0" w:tentative="0">
      <w:start w:val="1"/>
      <w:numFmt w:val="chineseCounting"/>
      <w:suff w:val="nothing"/>
      <w:lvlText w:val="（%1）"/>
      <w:lvlJc w:val="left"/>
      <w:pPr>
        <w:ind w:left="0" w:firstLine="420"/>
      </w:pPr>
      <w:rPr>
        <w:rFonts w:hint="eastAsia"/>
      </w:rPr>
    </w:lvl>
  </w:abstractNum>
  <w:abstractNum w:abstractNumId="5">
    <w:nsid w:val="EA40B421"/>
    <w:multiLevelType w:val="singleLevel"/>
    <w:tmpl w:val="EA40B421"/>
    <w:lvl w:ilvl="0" w:tentative="0">
      <w:start w:val="2"/>
      <w:numFmt w:val="decimal"/>
      <w:suff w:val="nothing"/>
      <w:lvlText w:val="（%1）"/>
      <w:lvlJc w:val="left"/>
    </w:lvl>
  </w:abstractNum>
  <w:abstractNum w:abstractNumId="6">
    <w:nsid w:val="EE5B2E54"/>
    <w:multiLevelType w:val="singleLevel"/>
    <w:tmpl w:val="EE5B2E54"/>
    <w:lvl w:ilvl="0" w:tentative="0">
      <w:start w:val="1"/>
      <w:numFmt w:val="chineseCounting"/>
      <w:suff w:val="nothing"/>
      <w:lvlText w:val="（%1）"/>
      <w:lvlJc w:val="left"/>
      <w:pPr>
        <w:ind w:left="0" w:firstLine="420"/>
      </w:pPr>
      <w:rPr>
        <w:rFonts w:hint="eastAsia"/>
      </w:rPr>
    </w:lvl>
  </w:abstractNum>
  <w:abstractNum w:abstractNumId="7">
    <w:nsid w:val="F480EEB3"/>
    <w:multiLevelType w:val="singleLevel"/>
    <w:tmpl w:val="F480EEB3"/>
    <w:lvl w:ilvl="0" w:tentative="0">
      <w:start w:val="1"/>
      <w:numFmt w:val="chineseCounting"/>
      <w:suff w:val="nothing"/>
      <w:lvlText w:val="%1、"/>
      <w:lvlJc w:val="left"/>
      <w:pPr>
        <w:ind w:left="0" w:firstLine="420"/>
      </w:pPr>
      <w:rPr>
        <w:rFonts w:hint="eastAsia"/>
      </w:rPr>
    </w:lvl>
  </w:abstractNum>
  <w:abstractNum w:abstractNumId="8">
    <w:nsid w:val="F4BD474F"/>
    <w:multiLevelType w:val="singleLevel"/>
    <w:tmpl w:val="F4BD474F"/>
    <w:lvl w:ilvl="0" w:tentative="0">
      <w:start w:val="1"/>
      <w:numFmt w:val="chineseCounting"/>
      <w:suff w:val="nothing"/>
      <w:lvlText w:val="（%1）"/>
      <w:lvlJc w:val="left"/>
      <w:rPr>
        <w:rFonts w:hint="eastAsia"/>
      </w:rPr>
    </w:lvl>
  </w:abstractNum>
  <w:abstractNum w:abstractNumId="9">
    <w:nsid w:val="FA2A3690"/>
    <w:multiLevelType w:val="singleLevel"/>
    <w:tmpl w:val="FA2A3690"/>
    <w:lvl w:ilvl="0" w:tentative="0">
      <w:start w:val="1"/>
      <w:numFmt w:val="decimal"/>
      <w:lvlText w:val="%1."/>
      <w:lvlJc w:val="left"/>
      <w:pPr>
        <w:ind w:left="425" w:hanging="425"/>
      </w:pPr>
      <w:rPr>
        <w:rFonts w:hint="default"/>
      </w:rPr>
    </w:lvl>
  </w:abstractNum>
  <w:abstractNum w:abstractNumId="10">
    <w:nsid w:val="04D68EEC"/>
    <w:multiLevelType w:val="singleLevel"/>
    <w:tmpl w:val="04D68EEC"/>
    <w:lvl w:ilvl="0" w:tentative="0">
      <w:start w:val="1"/>
      <w:numFmt w:val="decimal"/>
      <w:suff w:val="nothing"/>
      <w:lvlText w:val="%1．"/>
      <w:lvlJc w:val="left"/>
      <w:pPr>
        <w:ind w:left="0" w:firstLine="400"/>
      </w:pPr>
      <w:rPr>
        <w:rFonts w:hint="default"/>
        <w:b/>
        <w:bCs/>
      </w:rPr>
    </w:lvl>
  </w:abstractNum>
  <w:abstractNum w:abstractNumId="11">
    <w:nsid w:val="04E50C20"/>
    <w:multiLevelType w:val="singleLevel"/>
    <w:tmpl w:val="04E50C20"/>
    <w:lvl w:ilvl="0" w:tentative="0">
      <w:start w:val="1"/>
      <w:numFmt w:val="decimal"/>
      <w:suff w:val="nothing"/>
      <w:lvlText w:val="%1．"/>
      <w:lvlJc w:val="left"/>
      <w:pPr>
        <w:ind w:left="0" w:firstLine="400"/>
      </w:pPr>
      <w:rPr>
        <w:rFonts w:hint="default"/>
      </w:rPr>
    </w:lvl>
  </w:abstractNum>
  <w:abstractNum w:abstractNumId="12">
    <w:nsid w:val="0C55D2DB"/>
    <w:multiLevelType w:val="singleLevel"/>
    <w:tmpl w:val="0C55D2DB"/>
    <w:lvl w:ilvl="0" w:tentative="0">
      <w:start w:val="1"/>
      <w:numFmt w:val="decimal"/>
      <w:suff w:val="nothing"/>
      <w:lvlText w:val="%1．"/>
      <w:lvlJc w:val="left"/>
      <w:pPr>
        <w:ind w:left="0" w:firstLine="400"/>
      </w:pPr>
      <w:rPr>
        <w:rFonts w:hint="default"/>
      </w:rPr>
    </w:lvl>
  </w:abstractNum>
  <w:abstractNum w:abstractNumId="13">
    <w:nsid w:val="232E15BA"/>
    <w:multiLevelType w:val="singleLevel"/>
    <w:tmpl w:val="232E15BA"/>
    <w:lvl w:ilvl="0" w:tentative="0">
      <w:start w:val="1"/>
      <w:numFmt w:val="decimal"/>
      <w:suff w:val="nothing"/>
      <w:lvlText w:val="%1．"/>
      <w:lvlJc w:val="left"/>
      <w:pPr>
        <w:ind w:left="0" w:firstLine="400"/>
      </w:pPr>
      <w:rPr>
        <w:rFonts w:hint="default"/>
      </w:rPr>
    </w:lvl>
  </w:abstractNum>
  <w:abstractNum w:abstractNumId="14">
    <w:nsid w:val="371858F2"/>
    <w:multiLevelType w:val="singleLevel"/>
    <w:tmpl w:val="371858F2"/>
    <w:lvl w:ilvl="0" w:tentative="0">
      <w:start w:val="1"/>
      <w:numFmt w:val="decimal"/>
      <w:suff w:val="nothing"/>
      <w:lvlText w:val="%1．"/>
      <w:lvlJc w:val="left"/>
      <w:pPr>
        <w:ind w:left="0" w:firstLine="400"/>
      </w:pPr>
      <w:rPr>
        <w:rFonts w:hint="default"/>
      </w:rPr>
    </w:lvl>
  </w:abstractNum>
  <w:abstractNum w:abstractNumId="15">
    <w:nsid w:val="511CBE94"/>
    <w:multiLevelType w:val="singleLevel"/>
    <w:tmpl w:val="511CBE94"/>
    <w:lvl w:ilvl="0" w:tentative="0">
      <w:start w:val="1"/>
      <w:numFmt w:val="decimal"/>
      <w:suff w:val="nothing"/>
      <w:lvlText w:val="%1．"/>
      <w:lvlJc w:val="left"/>
      <w:pPr>
        <w:ind w:left="0" w:firstLine="400"/>
      </w:pPr>
      <w:rPr>
        <w:rFonts w:hint="default"/>
      </w:rPr>
    </w:lvl>
  </w:abstractNum>
  <w:abstractNum w:abstractNumId="16">
    <w:nsid w:val="5EFF6EBB"/>
    <w:multiLevelType w:val="singleLevel"/>
    <w:tmpl w:val="5EFF6EBB"/>
    <w:lvl w:ilvl="0" w:tentative="0">
      <w:start w:val="1"/>
      <w:numFmt w:val="decimal"/>
      <w:suff w:val="nothing"/>
      <w:lvlText w:val="%1．"/>
      <w:lvlJc w:val="left"/>
      <w:pPr>
        <w:ind w:left="0" w:firstLine="400"/>
      </w:pPr>
      <w:rPr>
        <w:rFonts w:hint="default"/>
      </w:rPr>
    </w:lvl>
  </w:abstractNum>
  <w:abstractNum w:abstractNumId="17">
    <w:nsid w:val="67063022"/>
    <w:multiLevelType w:val="singleLevel"/>
    <w:tmpl w:val="67063022"/>
    <w:lvl w:ilvl="0" w:tentative="0">
      <w:start w:val="1"/>
      <w:numFmt w:val="decimal"/>
      <w:suff w:val="nothing"/>
      <w:lvlText w:val="%1．"/>
      <w:lvlJc w:val="left"/>
      <w:pPr>
        <w:ind w:left="0" w:firstLine="400"/>
      </w:pPr>
      <w:rPr>
        <w:rFonts w:hint="default"/>
      </w:rPr>
    </w:lvl>
  </w:abstractNum>
  <w:abstractNum w:abstractNumId="18">
    <w:nsid w:val="6A5AA227"/>
    <w:multiLevelType w:val="singleLevel"/>
    <w:tmpl w:val="6A5AA227"/>
    <w:lvl w:ilvl="0" w:tentative="0">
      <w:start w:val="1"/>
      <w:numFmt w:val="chineseCounting"/>
      <w:suff w:val="nothing"/>
      <w:lvlText w:val="（%1）"/>
      <w:lvlJc w:val="left"/>
      <w:pPr>
        <w:ind w:left="0" w:firstLine="420"/>
      </w:pPr>
      <w:rPr>
        <w:rFonts w:hint="eastAsia"/>
      </w:rPr>
    </w:lvl>
  </w:abstractNum>
  <w:num w:numId="1">
    <w:abstractNumId w:val="7"/>
  </w:num>
  <w:num w:numId="2">
    <w:abstractNumId w:val="0"/>
  </w:num>
  <w:num w:numId="3">
    <w:abstractNumId w:val="16"/>
  </w:num>
  <w:num w:numId="4">
    <w:abstractNumId w:val="5"/>
  </w:num>
  <w:num w:numId="5">
    <w:abstractNumId w:val="11"/>
  </w:num>
  <w:num w:numId="6">
    <w:abstractNumId w:val="18"/>
  </w:num>
  <w:num w:numId="7">
    <w:abstractNumId w:val="8"/>
  </w:num>
  <w:num w:numId="8">
    <w:abstractNumId w:val="10"/>
  </w:num>
  <w:num w:numId="9">
    <w:abstractNumId w:val="4"/>
  </w:num>
  <w:num w:numId="10">
    <w:abstractNumId w:val="17"/>
  </w:num>
  <w:num w:numId="11">
    <w:abstractNumId w:val="14"/>
  </w:num>
  <w:num w:numId="12">
    <w:abstractNumId w:val="13"/>
  </w:num>
  <w:num w:numId="13">
    <w:abstractNumId w:val="12"/>
  </w:num>
  <w:num w:numId="14">
    <w:abstractNumId w:val="6"/>
  </w:num>
  <w:num w:numId="15">
    <w:abstractNumId w:val="2"/>
  </w:num>
  <w:num w:numId="16">
    <w:abstractNumId w:val="1"/>
  </w:num>
  <w:num w:numId="17">
    <w:abstractNumId w:val="15"/>
  </w:num>
  <w:num w:numId="18">
    <w:abstractNumId w:val="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0"/>
  <w:drawingGridHorizontalSpacing w:val="160"/>
  <w:drawingGridVerticalSpacing w:val="22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iMTA4M2VjNmEwMzQ1NWUyOTRjMTYwZmM4MDM4ZTUifQ=="/>
  </w:docVars>
  <w:rsids>
    <w:rsidRoot w:val="00000000"/>
    <w:rsid w:val="00474C2C"/>
    <w:rsid w:val="00DF1F07"/>
    <w:rsid w:val="011164C1"/>
    <w:rsid w:val="01222C45"/>
    <w:rsid w:val="01277A12"/>
    <w:rsid w:val="01A377BE"/>
    <w:rsid w:val="01A4023B"/>
    <w:rsid w:val="01BD4D8D"/>
    <w:rsid w:val="020A2F96"/>
    <w:rsid w:val="02395177"/>
    <w:rsid w:val="02733A0A"/>
    <w:rsid w:val="02F43518"/>
    <w:rsid w:val="02F73E69"/>
    <w:rsid w:val="03443858"/>
    <w:rsid w:val="035752E3"/>
    <w:rsid w:val="03C64B59"/>
    <w:rsid w:val="03DC36D0"/>
    <w:rsid w:val="03EA5E52"/>
    <w:rsid w:val="041755AC"/>
    <w:rsid w:val="04377A82"/>
    <w:rsid w:val="043A630B"/>
    <w:rsid w:val="04537256"/>
    <w:rsid w:val="04657854"/>
    <w:rsid w:val="04981B52"/>
    <w:rsid w:val="04B207F8"/>
    <w:rsid w:val="04E27BD8"/>
    <w:rsid w:val="050126C3"/>
    <w:rsid w:val="0571302A"/>
    <w:rsid w:val="05C0294E"/>
    <w:rsid w:val="05F123B3"/>
    <w:rsid w:val="068809EC"/>
    <w:rsid w:val="07100621"/>
    <w:rsid w:val="07124399"/>
    <w:rsid w:val="075A7AEE"/>
    <w:rsid w:val="075C03DC"/>
    <w:rsid w:val="07D43799"/>
    <w:rsid w:val="081D03DA"/>
    <w:rsid w:val="084903F3"/>
    <w:rsid w:val="087C750F"/>
    <w:rsid w:val="09174494"/>
    <w:rsid w:val="09BC0FF8"/>
    <w:rsid w:val="0A331C5E"/>
    <w:rsid w:val="0A6F565E"/>
    <w:rsid w:val="0A8F6E2C"/>
    <w:rsid w:val="0A971828"/>
    <w:rsid w:val="0AD6392F"/>
    <w:rsid w:val="0B427BE0"/>
    <w:rsid w:val="0B697AD8"/>
    <w:rsid w:val="0B7A3509"/>
    <w:rsid w:val="0BE36C76"/>
    <w:rsid w:val="0C0C34CE"/>
    <w:rsid w:val="0C474AE5"/>
    <w:rsid w:val="0C5B40EC"/>
    <w:rsid w:val="0CA912FB"/>
    <w:rsid w:val="0CB87790"/>
    <w:rsid w:val="0CDE6210"/>
    <w:rsid w:val="0E116E7B"/>
    <w:rsid w:val="0E44785F"/>
    <w:rsid w:val="0E6214B5"/>
    <w:rsid w:val="0E726137"/>
    <w:rsid w:val="0E835B7C"/>
    <w:rsid w:val="0ED42A36"/>
    <w:rsid w:val="0F030445"/>
    <w:rsid w:val="0F0E7CC7"/>
    <w:rsid w:val="0F224461"/>
    <w:rsid w:val="0F49132D"/>
    <w:rsid w:val="0FA93ED9"/>
    <w:rsid w:val="0FCE4033"/>
    <w:rsid w:val="101E3DAE"/>
    <w:rsid w:val="10280396"/>
    <w:rsid w:val="102E38C6"/>
    <w:rsid w:val="104457BF"/>
    <w:rsid w:val="10C0060A"/>
    <w:rsid w:val="10E5594F"/>
    <w:rsid w:val="1125116C"/>
    <w:rsid w:val="114E0946"/>
    <w:rsid w:val="115B3895"/>
    <w:rsid w:val="11BB76C8"/>
    <w:rsid w:val="125A7AAA"/>
    <w:rsid w:val="1279351E"/>
    <w:rsid w:val="127F48AC"/>
    <w:rsid w:val="132F7B41"/>
    <w:rsid w:val="13C043C0"/>
    <w:rsid w:val="13D52584"/>
    <w:rsid w:val="140334FF"/>
    <w:rsid w:val="142304BB"/>
    <w:rsid w:val="14442623"/>
    <w:rsid w:val="14690EB9"/>
    <w:rsid w:val="14956916"/>
    <w:rsid w:val="14ED01F3"/>
    <w:rsid w:val="1537146E"/>
    <w:rsid w:val="154848A6"/>
    <w:rsid w:val="154B426E"/>
    <w:rsid w:val="16035ECC"/>
    <w:rsid w:val="16A245E7"/>
    <w:rsid w:val="16EE28F2"/>
    <w:rsid w:val="171E6543"/>
    <w:rsid w:val="173159F1"/>
    <w:rsid w:val="17DC2CA7"/>
    <w:rsid w:val="17F44130"/>
    <w:rsid w:val="181106B4"/>
    <w:rsid w:val="18622CA6"/>
    <w:rsid w:val="189270E7"/>
    <w:rsid w:val="18B851AF"/>
    <w:rsid w:val="18E579E4"/>
    <w:rsid w:val="18F7188A"/>
    <w:rsid w:val="191E097B"/>
    <w:rsid w:val="19552CA0"/>
    <w:rsid w:val="198F1580"/>
    <w:rsid w:val="19AC242B"/>
    <w:rsid w:val="19B525D0"/>
    <w:rsid w:val="19C059B5"/>
    <w:rsid w:val="1AEB0D31"/>
    <w:rsid w:val="1B1966A9"/>
    <w:rsid w:val="1B7E1642"/>
    <w:rsid w:val="1B9B278F"/>
    <w:rsid w:val="1BDB9464"/>
    <w:rsid w:val="1BFEBE26"/>
    <w:rsid w:val="1C105933"/>
    <w:rsid w:val="1C5365B6"/>
    <w:rsid w:val="1C5E0518"/>
    <w:rsid w:val="1C6E1C1A"/>
    <w:rsid w:val="1CBC0291"/>
    <w:rsid w:val="1CC16ADD"/>
    <w:rsid w:val="1CD53A47"/>
    <w:rsid w:val="1D5A0985"/>
    <w:rsid w:val="1D5E493D"/>
    <w:rsid w:val="1DCA10D2"/>
    <w:rsid w:val="1DE92E23"/>
    <w:rsid w:val="1E0353CB"/>
    <w:rsid w:val="1E1A0B97"/>
    <w:rsid w:val="1E716170"/>
    <w:rsid w:val="1E8001A0"/>
    <w:rsid w:val="1ECE6FE3"/>
    <w:rsid w:val="1EF70B1E"/>
    <w:rsid w:val="1F016D75"/>
    <w:rsid w:val="1F0A7A31"/>
    <w:rsid w:val="1F2C247E"/>
    <w:rsid w:val="1F722C30"/>
    <w:rsid w:val="1FDF7B27"/>
    <w:rsid w:val="2018483A"/>
    <w:rsid w:val="20354D90"/>
    <w:rsid w:val="209D487B"/>
    <w:rsid w:val="20A16E0B"/>
    <w:rsid w:val="20D54C19"/>
    <w:rsid w:val="211D01BB"/>
    <w:rsid w:val="213B0E27"/>
    <w:rsid w:val="21CE2BD3"/>
    <w:rsid w:val="231D1CA3"/>
    <w:rsid w:val="234611FA"/>
    <w:rsid w:val="23C4462C"/>
    <w:rsid w:val="23D762F6"/>
    <w:rsid w:val="24156E1F"/>
    <w:rsid w:val="242F55FF"/>
    <w:rsid w:val="248F7192"/>
    <w:rsid w:val="24AA45BD"/>
    <w:rsid w:val="24FE061C"/>
    <w:rsid w:val="255B7466"/>
    <w:rsid w:val="25F700E4"/>
    <w:rsid w:val="26042BDB"/>
    <w:rsid w:val="2604482C"/>
    <w:rsid w:val="260B0135"/>
    <w:rsid w:val="26317A42"/>
    <w:rsid w:val="266C5355"/>
    <w:rsid w:val="26E8081A"/>
    <w:rsid w:val="27133681"/>
    <w:rsid w:val="271442C1"/>
    <w:rsid w:val="27806CA5"/>
    <w:rsid w:val="27A6670B"/>
    <w:rsid w:val="27CC7260"/>
    <w:rsid w:val="284B6543"/>
    <w:rsid w:val="28500C4F"/>
    <w:rsid w:val="28730248"/>
    <w:rsid w:val="28D56530"/>
    <w:rsid w:val="28E72EB1"/>
    <w:rsid w:val="2976035F"/>
    <w:rsid w:val="29A84A1B"/>
    <w:rsid w:val="29AF73CD"/>
    <w:rsid w:val="29BD078E"/>
    <w:rsid w:val="29DC042C"/>
    <w:rsid w:val="2A0F0AF2"/>
    <w:rsid w:val="2A3721E7"/>
    <w:rsid w:val="2A53244F"/>
    <w:rsid w:val="2A88781C"/>
    <w:rsid w:val="2A9A2256"/>
    <w:rsid w:val="2ABA26FE"/>
    <w:rsid w:val="2ACA74A3"/>
    <w:rsid w:val="2ADE01C2"/>
    <w:rsid w:val="2B57055E"/>
    <w:rsid w:val="2B585F6F"/>
    <w:rsid w:val="2B591CE7"/>
    <w:rsid w:val="2B676F73"/>
    <w:rsid w:val="2B724C57"/>
    <w:rsid w:val="2B940F71"/>
    <w:rsid w:val="2C410F65"/>
    <w:rsid w:val="2C490C32"/>
    <w:rsid w:val="2C7768C8"/>
    <w:rsid w:val="2CA7190E"/>
    <w:rsid w:val="2D3E1194"/>
    <w:rsid w:val="2D697EA3"/>
    <w:rsid w:val="2D9E7E85"/>
    <w:rsid w:val="2DA967A4"/>
    <w:rsid w:val="2DDD60B8"/>
    <w:rsid w:val="2DDE4F62"/>
    <w:rsid w:val="2DF9059B"/>
    <w:rsid w:val="2E075A2A"/>
    <w:rsid w:val="2E786928"/>
    <w:rsid w:val="2EF77A18"/>
    <w:rsid w:val="2F17B990"/>
    <w:rsid w:val="2FB219C5"/>
    <w:rsid w:val="2FFD9A13"/>
    <w:rsid w:val="300F27A7"/>
    <w:rsid w:val="30106460"/>
    <w:rsid w:val="305C5179"/>
    <w:rsid w:val="3065133F"/>
    <w:rsid w:val="307A52AA"/>
    <w:rsid w:val="30C362A6"/>
    <w:rsid w:val="30C916BD"/>
    <w:rsid w:val="315620AF"/>
    <w:rsid w:val="31696B28"/>
    <w:rsid w:val="31FF57D6"/>
    <w:rsid w:val="323D1422"/>
    <w:rsid w:val="325A6A70"/>
    <w:rsid w:val="326779F8"/>
    <w:rsid w:val="32EE784A"/>
    <w:rsid w:val="32F161F7"/>
    <w:rsid w:val="333E11DD"/>
    <w:rsid w:val="335D7FE0"/>
    <w:rsid w:val="33B43F5E"/>
    <w:rsid w:val="34290DB0"/>
    <w:rsid w:val="34756A0F"/>
    <w:rsid w:val="3483632D"/>
    <w:rsid w:val="348E7211"/>
    <w:rsid w:val="349D2E1F"/>
    <w:rsid w:val="34A36A7E"/>
    <w:rsid w:val="355B1DC9"/>
    <w:rsid w:val="358338A1"/>
    <w:rsid w:val="3595627D"/>
    <w:rsid w:val="35960F61"/>
    <w:rsid w:val="35AD006C"/>
    <w:rsid w:val="35C927EA"/>
    <w:rsid w:val="360A0409"/>
    <w:rsid w:val="3627310D"/>
    <w:rsid w:val="36295031"/>
    <w:rsid w:val="364F4412"/>
    <w:rsid w:val="36BC6012"/>
    <w:rsid w:val="36DC0094"/>
    <w:rsid w:val="36E56469"/>
    <w:rsid w:val="37070757"/>
    <w:rsid w:val="37164F30"/>
    <w:rsid w:val="37174088"/>
    <w:rsid w:val="37225683"/>
    <w:rsid w:val="372771EB"/>
    <w:rsid w:val="3729699F"/>
    <w:rsid w:val="37496E89"/>
    <w:rsid w:val="377E4518"/>
    <w:rsid w:val="377F2AD5"/>
    <w:rsid w:val="38282610"/>
    <w:rsid w:val="383D45F2"/>
    <w:rsid w:val="389643CD"/>
    <w:rsid w:val="38F971E9"/>
    <w:rsid w:val="39C07CBF"/>
    <w:rsid w:val="39DCA326"/>
    <w:rsid w:val="39EA5A03"/>
    <w:rsid w:val="39EB664D"/>
    <w:rsid w:val="39FB692A"/>
    <w:rsid w:val="3A4B2854"/>
    <w:rsid w:val="3AF13B40"/>
    <w:rsid w:val="3B163750"/>
    <w:rsid w:val="3B4166FB"/>
    <w:rsid w:val="3B9E50A9"/>
    <w:rsid w:val="3BE71A5F"/>
    <w:rsid w:val="3C0B2B89"/>
    <w:rsid w:val="3C0C4834"/>
    <w:rsid w:val="3C2E7253"/>
    <w:rsid w:val="3C4D0044"/>
    <w:rsid w:val="3C75046B"/>
    <w:rsid w:val="3C791FDE"/>
    <w:rsid w:val="3C9A5CBB"/>
    <w:rsid w:val="3CBC5075"/>
    <w:rsid w:val="3D3D6D1D"/>
    <w:rsid w:val="3D542066"/>
    <w:rsid w:val="3D6C6210"/>
    <w:rsid w:val="3D8E53D5"/>
    <w:rsid w:val="3DDC2A2F"/>
    <w:rsid w:val="3E0368E3"/>
    <w:rsid w:val="3E6D7B2B"/>
    <w:rsid w:val="3E830514"/>
    <w:rsid w:val="3EEDB386"/>
    <w:rsid w:val="3EF522DC"/>
    <w:rsid w:val="3F066B1F"/>
    <w:rsid w:val="3F377025"/>
    <w:rsid w:val="3FBF7C9A"/>
    <w:rsid w:val="3FF73CAA"/>
    <w:rsid w:val="401835E1"/>
    <w:rsid w:val="409664D5"/>
    <w:rsid w:val="415913EC"/>
    <w:rsid w:val="416144E4"/>
    <w:rsid w:val="41670828"/>
    <w:rsid w:val="41CA2A0C"/>
    <w:rsid w:val="420A7736"/>
    <w:rsid w:val="421D3616"/>
    <w:rsid w:val="424D41EE"/>
    <w:rsid w:val="4253691F"/>
    <w:rsid w:val="42552DB0"/>
    <w:rsid w:val="42D90AA2"/>
    <w:rsid w:val="43413334"/>
    <w:rsid w:val="43784FA8"/>
    <w:rsid w:val="439C7A31"/>
    <w:rsid w:val="43F127D3"/>
    <w:rsid w:val="442F30B3"/>
    <w:rsid w:val="446E7052"/>
    <w:rsid w:val="44A02605"/>
    <w:rsid w:val="44D11975"/>
    <w:rsid w:val="46476EB4"/>
    <w:rsid w:val="464C7736"/>
    <w:rsid w:val="46641814"/>
    <w:rsid w:val="46C91CC4"/>
    <w:rsid w:val="472D7B5A"/>
    <w:rsid w:val="476D294A"/>
    <w:rsid w:val="47A125F4"/>
    <w:rsid w:val="47AD2D46"/>
    <w:rsid w:val="47DDBBDB"/>
    <w:rsid w:val="48A20EC3"/>
    <w:rsid w:val="491A08B0"/>
    <w:rsid w:val="49652C0D"/>
    <w:rsid w:val="4A1064BE"/>
    <w:rsid w:val="4A8F776F"/>
    <w:rsid w:val="4B2C5B86"/>
    <w:rsid w:val="4B491947"/>
    <w:rsid w:val="4BB33989"/>
    <w:rsid w:val="4BE82639"/>
    <w:rsid w:val="4C0A2014"/>
    <w:rsid w:val="4CA8480C"/>
    <w:rsid w:val="4CD86AB8"/>
    <w:rsid w:val="4D242447"/>
    <w:rsid w:val="4D41288A"/>
    <w:rsid w:val="4D5D7EA6"/>
    <w:rsid w:val="4DF53699"/>
    <w:rsid w:val="4DF95DCB"/>
    <w:rsid w:val="4DFA0CB0"/>
    <w:rsid w:val="4E573FEE"/>
    <w:rsid w:val="4E7500C4"/>
    <w:rsid w:val="4E7A01FB"/>
    <w:rsid w:val="4EE47996"/>
    <w:rsid w:val="4F577103"/>
    <w:rsid w:val="4F835E99"/>
    <w:rsid w:val="4F8656B4"/>
    <w:rsid w:val="4FDC25DF"/>
    <w:rsid w:val="50827466"/>
    <w:rsid w:val="51504E98"/>
    <w:rsid w:val="51764AF1"/>
    <w:rsid w:val="51B40401"/>
    <w:rsid w:val="529E3EF5"/>
    <w:rsid w:val="52B5228F"/>
    <w:rsid w:val="53020187"/>
    <w:rsid w:val="536E0825"/>
    <w:rsid w:val="53CE695F"/>
    <w:rsid w:val="53FD7249"/>
    <w:rsid w:val="540E35A2"/>
    <w:rsid w:val="54520EFE"/>
    <w:rsid w:val="546F63CD"/>
    <w:rsid w:val="547E6D26"/>
    <w:rsid w:val="54A61249"/>
    <w:rsid w:val="54C24136"/>
    <w:rsid w:val="54FF4C92"/>
    <w:rsid w:val="55833ADA"/>
    <w:rsid w:val="5587419D"/>
    <w:rsid w:val="560173A5"/>
    <w:rsid w:val="56716554"/>
    <w:rsid w:val="573729B0"/>
    <w:rsid w:val="577B4DF7"/>
    <w:rsid w:val="582901C7"/>
    <w:rsid w:val="58B53675"/>
    <w:rsid w:val="5903422E"/>
    <w:rsid w:val="599300D7"/>
    <w:rsid w:val="59BD1656"/>
    <w:rsid w:val="5A0165EF"/>
    <w:rsid w:val="5ADC7774"/>
    <w:rsid w:val="5AE49848"/>
    <w:rsid w:val="5AE5117D"/>
    <w:rsid w:val="5AED6D04"/>
    <w:rsid w:val="5B137BF9"/>
    <w:rsid w:val="5B1F58B2"/>
    <w:rsid w:val="5B3663E0"/>
    <w:rsid w:val="5B7271DE"/>
    <w:rsid w:val="5B841BB9"/>
    <w:rsid w:val="5BDC07D1"/>
    <w:rsid w:val="5C101A4B"/>
    <w:rsid w:val="5C1D4057"/>
    <w:rsid w:val="5C4655E5"/>
    <w:rsid w:val="5C5002F9"/>
    <w:rsid w:val="5D29127D"/>
    <w:rsid w:val="5D932596"/>
    <w:rsid w:val="5DB23274"/>
    <w:rsid w:val="5DCD626B"/>
    <w:rsid w:val="5DD376C4"/>
    <w:rsid w:val="5DDF09F9"/>
    <w:rsid w:val="5DDF18D5"/>
    <w:rsid w:val="5DFF4D40"/>
    <w:rsid w:val="5EA1047A"/>
    <w:rsid w:val="5EB147F7"/>
    <w:rsid w:val="5ED609AB"/>
    <w:rsid w:val="5F3B6A32"/>
    <w:rsid w:val="5F5E109E"/>
    <w:rsid w:val="5FDF165A"/>
    <w:rsid w:val="5FEA3720"/>
    <w:rsid w:val="5FED0227"/>
    <w:rsid w:val="5FFE1DB8"/>
    <w:rsid w:val="5FFFE630"/>
    <w:rsid w:val="607468CD"/>
    <w:rsid w:val="60B73820"/>
    <w:rsid w:val="60D06D4F"/>
    <w:rsid w:val="61546C49"/>
    <w:rsid w:val="617D062F"/>
    <w:rsid w:val="61AD3C17"/>
    <w:rsid w:val="61F765AD"/>
    <w:rsid w:val="621A5550"/>
    <w:rsid w:val="622D2FAA"/>
    <w:rsid w:val="62715A2F"/>
    <w:rsid w:val="629C7343"/>
    <w:rsid w:val="62B79CF1"/>
    <w:rsid w:val="630D55FF"/>
    <w:rsid w:val="637D3758"/>
    <w:rsid w:val="639C0FD0"/>
    <w:rsid w:val="63C32603"/>
    <w:rsid w:val="63F9EF0D"/>
    <w:rsid w:val="646479FE"/>
    <w:rsid w:val="64CE3CDD"/>
    <w:rsid w:val="64D0549B"/>
    <w:rsid w:val="65304AEF"/>
    <w:rsid w:val="653E38D9"/>
    <w:rsid w:val="655C4FC0"/>
    <w:rsid w:val="65D11E9E"/>
    <w:rsid w:val="660C0313"/>
    <w:rsid w:val="66123C02"/>
    <w:rsid w:val="668B625A"/>
    <w:rsid w:val="669E4476"/>
    <w:rsid w:val="67323A80"/>
    <w:rsid w:val="673F6652"/>
    <w:rsid w:val="67C43CDF"/>
    <w:rsid w:val="67FABEBE"/>
    <w:rsid w:val="67FE155A"/>
    <w:rsid w:val="684D7F02"/>
    <w:rsid w:val="686E7A11"/>
    <w:rsid w:val="68717CD0"/>
    <w:rsid w:val="6881241D"/>
    <w:rsid w:val="689618A9"/>
    <w:rsid w:val="68A8139E"/>
    <w:rsid w:val="68CD06C0"/>
    <w:rsid w:val="6933264A"/>
    <w:rsid w:val="6A1311C3"/>
    <w:rsid w:val="6A6F3064"/>
    <w:rsid w:val="6AAD6A36"/>
    <w:rsid w:val="6AD760FB"/>
    <w:rsid w:val="6AE83309"/>
    <w:rsid w:val="6AF64185"/>
    <w:rsid w:val="6B6F65DF"/>
    <w:rsid w:val="6B8D12B0"/>
    <w:rsid w:val="6BEFCEEA"/>
    <w:rsid w:val="6C1F7EDE"/>
    <w:rsid w:val="6C2F3821"/>
    <w:rsid w:val="6CE02AFB"/>
    <w:rsid w:val="6D343630"/>
    <w:rsid w:val="6D6DD5E2"/>
    <w:rsid w:val="6D8A6E42"/>
    <w:rsid w:val="6DC60E02"/>
    <w:rsid w:val="6E0B0643"/>
    <w:rsid w:val="6E0C3182"/>
    <w:rsid w:val="6E7B965B"/>
    <w:rsid w:val="6ED21161"/>
    <w:rsid w:val="6F4459E6"/>
    <w:rsid w:val="6F5FADB2"/>
    <w:rsid w:val="6F616041"/>
    <w:rsid w:val="6F6425E4"/>
    <w:rsid w:val="6F6929A4"/>
    <w:rsid w:val="6F9F2880"/>
    <w:rsid w:val="6FBE8131"/>
    <w:rsid w:val="6FD827A7"/>
    <w:rsid w:val="6FD8376E"/>
    <w:rsid w:val="6FDB3C18"/>
    <w:rsid w:val="6FF62646"/>
    <w:rsid w:val="700A266A"/>
    <w:rsid w:val="70993EA4"/>
    <w:rsid w:val="70A42417"/>
    <w:rsid w:val="710B16E7"/>
    <w:rsid w:val="715776FB"/>
    <w:rsid w:val="717F7C75"/>
    <w:rsid w:val="71A010B6"/>
    <w:rsid w:val="720500E7"/>
    <w:rsid w:val="72E257C4"/>
    <w:rsid w:val="72E54998"/>
    <w:rsid w:val="72FB055A"/>
    <w:rsid w:val="7301385C"/>
    <w:rsid w:val="730331AF"/>
    <w:rsid w:val="739509AF"/>
    <w:rsid w:val="739B25EE"/>
    <w:rsid w:val="73BD22E0"/>
    <w:rsid w:val="74347D7E"/>
    <w:rsid w:val="743E1047"/>
    <w:rsid w:val="7470499A"/>
    <w:rsid w:val="74FF12F5"/>
    <w:rsid w:val="750C6750"/>
    <w:rsid w:val="76522B87"/>
    <w:rsid w:val="767B0330"/>
    <w:rsid w:val="767D28FB"/>
    <w:rsid w:val="76A154AD"/>
    <w:rsid w:val="76AB331A"/>
    <w:rsid w:val="76D53040"/>
    <w:rsid w:val="77297D8C"/>
    <w:rsid w:val="7776336D"/>
    <w:rsid w:val="778B2EAC"/>
    <w:rsid w:val="77AF1B17"/>
    <w:rsid w:val="77D3D9DA"/>
    <w:rsid w:val="77DA4BE2"/>
    <w:rsid w:val="77EF3DDD"/>
    <w:rsid w:val="78474B08"/>
    <w:rsid w:val="787C5968"/>
    <w:rsid w:val="787DA2D5"/>
    <w:rsid w:val="7888587D"/>
    <w:rsid w:val="78B05F90"/>
    <w:rsid w:val="78E0174E"/>
    <w:rsid w:val="78F74CE4"/>
    <w:rsid w:val="790068CB"/>
    <w:rsid w:val="797FFD6A"/>
    <w:rsid w:val="79BC4EE7"/>
    <w:rsid w:val="79DF4732"/>
    <w:rsid w:val="7A2A00A3"/>
    <w:rsid w:val="7AC65C05"/>
    <w:rsid w:val="7AF7C97D"/>
    <w:rsid w:val="7B57C613"/>
    <w:rsid w:val="7B9B6458"/>
    <w:rsid w:val="7BF14893"/>
    <w:rsid w:val="7C645158"/>
    <w:rsid w:val="7CC41BBD"/>
    <w:rsid w:val="7CC81763"/>
    <w:rsid w:val="7D7BF30C"/>
    <w:rsid w:val="7DBB2757"/>
    <w:rsid w:val="7DCFEAEB"/>
    <w:rsid w:val="7DE55520"/>
    <w:rsid w:val="7DFD80E6"/>
    <w:rsid w:val="7E417769"/>
    <w:rsid w:val="7E6D67B0"/>
    <w:rsid w:val="7E8E49B7"/>
    <w:rsid w:val="7E977CD1"/>
    <w:rsid w:val="7EBB576E"/>
    <w:rsid w:val="7EBC14AE"/>
    <w:rsid w:val="7EDD1425"/>
    <w:rsid w:val="7F060D40"/>
    <w:rsid w:val="7F3FCC14"/>
    <w:rsid w:val="7F590AE3"/>
    <w:rsid w:val="7F69493B"/>
    <w:rsid w:val="7F724CA7"/>
    <w:rsid w:val="7F7E4F47"/>
    <w:rsid w:val="7FAC14F2"/>
    <w:rsid w:val="7FDF723F"/>
    <w:rsid w:val="7FFFAAF7"/>
    <w:rsid w:val="95EF07AD"/>
    <w:rsid w:val="9E9C9B5F"/>
    <w:rsid w:val="9FFF1B5B"/>
    <w:rsid w:val="A7B32D2D"/>
    <w:rsid w:val="ABD95665"/>
    <w:rsid w:val="BEAF9D0F"/>
    <w:rsid w:val="BFF47B20"/>
    <w:rsid w:val="BFFD06E5"/>
    <w:rsid w:val="BFFF18DA"/>
    <w:rsid w:val="CAFBFBE9"/>
    <w:rsid w:val="CDE75C18"/>
    <w:rsid w:val="CFDD54D1"/>
    <w:rsid w:val="DDFEC0BA"/>
    <w:rsid w:val="DED750EE"/>
    <w:rsid w:val="DEF759A0"/>
    <w:rsid w:val="DEFDAE88"/>
    <w:rsid w:val="DF7FFCC4"/>
    <w:rsid w:val="DFFFB497"/>
    <w:rsid w:val="EBD97085"/>
    <w:rsid w:val="EE378489"/>
    <w:rsid w:val="EE7F3F0E"/>
    <w:rsid w:val="EF7B09B2"/>
    <w:rsid w:val="EF7F2C57"/>
    <w:rsid w:val="F5679EDB"/>
    <w:rsid w:val="F5D773CB"/>
    <w:rsid w:val="F7738872"/>
    <w:rsid w:val="F77EF91B"/>
    <w:rsid w:val="F79012AB"/>
    <w:rsid w:val="F9FF672C"/>
    <w:rsid w:val="FB7FFD6D"/>
    <w:rsid w:val="FBDFE309"/>
    <w:rsid w:val="FBF61DE1"/>
    <w:rsid w:val="FCF7D83A"/>
    <w:rsid w:val="FD5DDB57"/>
    <w:rsid w:val="FD7F357A"/>
    <w:rsid w:val="FDDF0E0C"/>
    <w:rsid w:val="FE7F62FA"/>
    <w:rsid w:val="FEBF4D9A"/>
    <w:rsid w:val="FEBF912A"/>
    <w:rsid w:val="FEE91031"/>
    <w:rsid w:val="FEFD91E1"/>
    <w:rsid w:val="FF5EF501"/>
    <w:rsid w:val="FF768682"/>
    <w:rsid w:val="FFAD8219"/>
    <w:rsid w:val="FFF78AA3"/>
    <w:rsid w:val="FFFF7D17"/>
    <w:rsid w:val="FFFFC37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iPriority="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33"/>
    <w:autoRedefine/>
    <w:qFormat/>
    <w:uiPriority w:val="0"/>
    <w:pPr>
      <w:spacing w:line="600" w:lineRule="exact"/>
      <w:ind w:firstLine="200" w:firstLineChars="200"/>
    </w:pPr>
    <w:rPr>
      <w:rFonts w:ascii="Times New Roman" w:hAnsi="Times New Roman" w:eastAsia="仿宋_GB2312" w:cs="宋体"/>
      <w:sz w:val="32"/>
      <w:szCs w:val="24"/>
      <w:lang w:val="en-US" w:eastAsia="zh-CN" w:bidi="ar-SA"/>
    </w:rPr>
  </w:style>
  <w:style w:type="paragraph" w:styleId="3">
    <w:name w:val="heading 1"/>
    <w:basedOn w:val="1"/>
    <w:next w:val="1"/>
    <w:link w:val="21"/>
    <w:autoRedefine/>
    <w:qFormat/>
    <w:uiPriority w:val="9"/>
    <w:pPr>
      <w:keepNext/>
      <w:keepLines/>
      <w:widowControl w:val="0"/>
      <w:spacing w:before="0" w:after="0" w:line="560" w:lineRule="exact"/>
      <w:jc w:val="both"/>
      <w:outlineLvl w:val="0"/>
    </w:pPr>
    <w:rPr>
      <w:rFonts w:eastAsia="黑体" w:asciiTheme="minorAscii" w:hAnsiTheme="minorAscii" w:cstheme="minorBidi"/>
      <w:bCs/>
      <w:kern w:val="44"/>
      <w:sz w:val="32"/>
      <w:szCs w:val="44"/>
    </w:rPr>
  </w:style>
  <w:style w:type="paragraph" w:styleId="4">
    <w:name w:val="heading 2"/>
    <w:basedOn w:val="1"/>
    <w:next w:val="1"/>
    <w:link w:val="25"/>
    <w:autoRedefine/>
    <w:unhideWhenUsed/>
    <w:qFormat/>
    <w:uiPriority w:val="9"/>
    <w:pPr>
      <w:keepLines/>
      <w:jc w:val="both"/>
      <w:outlineLvl w:val="1"/>
    </w:pPr>
    <w:rPr>
      <w:rFonts w:eastAsia="楷体" w:asciiTheme="majorHAnsi" w:hAnsiTheme="majorHAnsi" w:cstheme="majorBidi"/>
      <w:b/>
      <w:bCs/>
      <w:kern w:val="2"/>
      <w:szCs w:val="32"/>
    </w:rPr>
  </w:style>
  <w:style w:type="paragraph" w:styleId="5">
    <w:name w:val="heading 3"/>
    <w:basedOn w:val="1"/>
    <w:next w:val="1"/>
    <w:link w:val="23"/>
    <w:autoRedefine/>
    <w:unhideWhenUsed/>
    <w:qFormat/>
    <w:uiPriority w:val="0"/>
    <w:pPr>
      <w:keepNext/>
      <w:widowControl w:val="0"/>
      <w:spacing w:line="560" w:lineRule="exact"/>
      <w:jc w:val="both"/>
      <w:outlineLvl w:val="2"/>
    </w:pPr>
    <w:rPr>
      <w:rFonts w:asciiTheme="minorAscii" w:hAnsiTheme="minorAscii" w:cstheme="minorBidi"/>
      <w:b/>
      <w:bCs/>
      <w:kern w:val="2"/>
      <w:szCs w:val="32"/>
    </w:rPr>
  </w:style>
  <w:style w:type="paragraph" w:styleId="6">
    <w:name w:val="heading 4"/>
    <w:basedOn w:val="1"/>
    <w:next w:val="1"/>
    <w:link w:val="27"/>
    <w:autoRedefine/>
    <w:unhideWhenUsed/>
    <w:qFormat/>
    <w:uiPriority w:val="0"/>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7">
    <w:name w:val="heading 5"/>
    <w:basedOn w:val="1"/>
    <w:next w:val="1"/>
    <w:autoRedefine/>
    <w:qFormat/>
    <w:uiPriority w:val="9"/>
    <w:pPr>
      <w:keepNext/>
      <w:keepLines/>
      <w:widowControl w:val="0"/>
      <w:spacing w:before="280" w:after="290" w:line="376" w:lineRule="auto"/>
      <w:jc w:val="both"/>
      <w:outlineLvl w:val="4"/>
    </w:pPr>
    <w:rPr>
      <w:rFonts w:asciiTheme="minorHAnsi" w:hAnsiTheme="minorHAnsi" w:eastAsiaTheme="minorEastAsia" w:cstheme="minorBidi"/>
      <w:b/>
      <w:bCs/>
      <w:kern w:val="2"/>
      <w:sz w:val="28"/>
      <w:szCs w:val="28"/>
    </w:rPr>
  </w:style>
  <w:style w:type="character" w:default="1" w:styleId="18">
    <w:name w:val="Default Paragraph Font"/>
    <w:autoRedefine/>
    <w:unhideWhenUsed/>
    <w:qFormat/>
    <w:uiPriority w:val="1"/>
  </w:style>
  <w:style w:type="table" w:default="1" w:styleId="16">
    <w:name w:val="Normal Table"/>
    <w:autoRedefin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able of authorities"/>
    <w:next w:val="1"/>
    <w:qFormat/>
    <w:uiPriority w:val="0"/>
    <w:pPr>
      <w:widowControl w:val="0"/>
      <w:ind w:left="420" w:leftChars="200"/>
      <w:jc w:val="both"/>
    </w:pPr>
    <w:rPr>
      <w:rFonts w:ascii="Calibri" w:hAnsi="Calibri" w:eastAsia="宋体" w:cs="Times New Roman"/>
      <w:kern w:val="2"/>
      <w:sz w:val="21"/>
      <w:szCs w:val="24"/>
      <w:lang w:val="en-US" w:eastAsia="zh-CN" w:bidi="ar-SA"/>
    </w:rPr>
  </w:style>
  <w:style w:type="paragraph" w:styleId="8">
    <w:name w:val="index 5"/>
    <w:basedOn w:val="1"/>
    <w:next w:val="1"/>
    <w:autoRedefine/>
    <w:qFormat/>
    <w:uiPriority w:val="0"/>
    <w:pPr>
      <w:ind w:left="1680"/>
    </w:pPr>
  </w:style>
  <w:style w:type="paragraph" w:styleId="9">
    <w:name w:val="annotation text"/>
    <w:basedOn w:val="1"/>
    <w:autoRedefine/>
    <w:qFormat/>
    <w:uiPriority w:val="0"/>
    <w:pPr>
      <w:jc w:val="left"/>
    </w:pPr>
  </w:style>
  <w:style w:type="paragraph" w:styleId="10">
    <w:name w:val="Body Text"/>
    <w:basedOn w:val="1"/>
    <w:autoRedefine/>
    <w:unhideWhenUsed/>
    <w:qFormat/>
    <w:uiPriority w:val="99"/>
    <w:pPr>
      <w:widowControl w:val="0"/>
      <w:spacing w:before="100" w:beforeAutospacing="1" w:after="120"/>
      <w:jc w:val="both"/>
    </w:pPr>
    <w:rPr>
      <w:rFonts w:ascii="等线" w:hAnsi="等线" w:eastAsia="等线" w:cs="Times New Roman"/>
      <w:kern w:val="2"/>
      <w:sz w:val="21"/>
      <w:szCs w:val="21"/>
    </w:rPr>
  </w:style>
  <w:style w:type="paragraph" w:styleId="11">
    <w:name w:val="toc 3"/>
    <w:basedOn w:val="1"/>
    <w:next w:val="1"/>
    <w:autoRedefine/>
    <w:qFormat/>
    <w:uiPriority w:val="0"/>
    <w:pPr>
      <w:ind w:left="840" w:leftChars="400"/>
    </w:p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toc 1"/>
    <w:basedOn w:val="1"/>
    <w:next w:val="1"/>
    <w:autoRedefine/>
    <w:qFormat/>
    <w:uiPriority w:val="0"/>
  </w:style>
  <w:style w:type="paragraph" w:styleId="14">
    <w:name w:val="toc 2"/>
    <w:basedOn w:val="1"/>
    <w:next w:val="1"/>
    <w:autoRedefine/>
    <w:qFormat/>
    <w:uiPriority w:val="0"/>
    <w:pPr>
      <w:ind w:left="420" w:leftChars="200"/>
    </w:pPr>
  </w:style>
  <w:style w:type="paragraph" w:styleId="15">
    <w:name w:val="Title"/>
    <w:basedOn w:val="1"/>
    <w:next w:val="1"/>
    <w:autoRedefine/>
    <w:qFormat/>
    <w:uiPriority w:val="99"/>
    <w:pPr>
      <w:spacing w:before="240" w:after="60"/>
      <w:jc w:val="center"/>
      <w:outlineLvl w:val="0"/>
    </w:pPr>
    <w:rPr>
      <w:rFonts w:ascii="Calibri Light" w:hAnsi="Calibri Light"/>
      <w:b/>
      <w:bCs/>
    </w:rPr>
  </w:style>
  <w:style w:type="table" w:styleId="17">
    <w:name w:val="Table Grid"/>
    <w:basedOn w:val="1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autoRedefine/>
    <w:qFormat/>
    <w:uiPriority w:val="0"/>
    <w:rPr>
      <w:b/>
      <w:bCs/>
    </w:rPr>
  </w:style>
  <w:style w:type="character" w:styleId="20">
    <w:name w:val="Hyperlink"/>
    <w:basedOn w:val="18"/>
    <w:autoRedefine/>
    <w:qFormat/>
    <w:uiPriority w:val="0"/>
    <w:rPr>
      <w:color w:val="0000FF"/>
      <w:u w:val="single"/>
    </w:rPr>
  </w:style>
  <w:style w:type="character" w:customStyle="1" w:styleId="21">
    <w:name w:val="标题 1 字符"/>
    <w:basedOn w:val="18"/>
    <w:link w:val="3"/>
    <w:autoRedefine/>
    <w:qFormat/>
    <w:uiPriority w:val="9"/>
    <w:rPr>
      <w:rFonts w:eastAsia="黑体" w:asciiTheme="minorAscii" w:hAnsiTheme="minorAscii" w:cstheme="minorBidi"/>
      <w:bCs/>
      <w:kern w:val="44"/>
      <w:sz w:val="32"/>
      <w:szCs w:val="44"/>
    </w:rPr>
  </w:style>
  <w:style w:type="paragraph" w:customStyle="1" w:styleId="22">
    <w:name w:val="修订1"/>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3">
    <w:name w:val="标题 3 字符"/>
    <w:basedOn w:val="18"/>
    <w:link w:val="5"/>
    <w:autoRedefine/>
    <w:qFormat/>
    <w:uiPriority w:val="0"/>
    <w:rPr>
      <w:rFonts w:eastAsia="仿宋_GB2312" w:asciiTheme="minorAscii" w:hAnsiTheme="minorAscii"/>
      <w:b/>
      <w:bCs/>
      <w:kern w:val="2"/>
      <w:sz w:val="32"/>
      <w:szCs w:val="32"/>
    </w:rPr>
  </w:style>
  <w:style w:type="paragraph" w:customStyle="1" w:styleId="24">
    <w:name w:val="修订2"/>
    <w:autoRedefine/>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5">
    <w:name w:val="标题 2 字符"/>
    <w:basedOn w:val="18"/>
    <w:link w:val="4"/>
    <w:autoRedefine/>
    <w:qFormat/>
    <w:uiPriority w:val="9"/>
    <w:rPr>
      <w:rFonts w:eastAsia="楷体" w:asciiTheme="majorHAnsi" w:hAnsiTheme="majorHAnsi" w:cstheme="majorBidi"/>
      <w:b/>
      <w:bCs/>
      <w:kern w:val="2"/>
      <w:sz w:val="32"/>
      <w:szCs w:val="32"/>
    </w:rPr>
  </w:style>
  <w:style w:type="paragraph" w:customStyle="1" w:styleId="26">
    <w:name w:val="附表"/>
    <w:basedOn w:val="6"/>
    <w:link w:val="28"/>
    <w:autoRedefine/>
    <w:qFormat/>
    <w:uiPriority w:val="0"/>
    <w:pPr>
      <w:widowControl w:val="0"/>
      <w:spacing w:before="0" w:after="0" w:line="240" w:lineRule="auto"/>
      <w:ind w:firstLine="0" w:firstLineChars="0"/>
      <w:jc w:val="both"/>
    </w:pPr>
    <w:rPr>
      <w:rFonts w:ascii="Times New Roman" w:hAnsi="Times New Roman" w:eastAsia="仿宋" w:cs="Times New Roman"/>
      <w:b w:val="0"/>
      <w:kern w:val="2"/>
      <w:sz w:val="21"/>
      <w:szCs w:val="22"/>
    </w:rPr>
  </w:style>
  <w:style w:type="character" w:customStyle="1" w:styleId="27">
    <w:name w:val="标题 4 字符"/>
    <w:basedOn w:val="18"/>
    <w:link w:val="6"/>
    <w:autoRedefine/>
    <w:semiHidden/>
    <w:qFormat/>
    <w:uiPriority w:val="0"/>
    <w:rPr>
      <w:rFonts w:asciiTheme="majorHAnsi" w:hAnsiTheme="majorHAnsi" w:eastAsiaTheme="majorEastAsia" w:cstheme="majorBidi"/>
      <w:b/>
      <w:bCs/>
      <w:sz w:val="28"/>
      <w:szCs w:val="28"/>
    </w:rPr>
  </w:style>
  <w:style w:type="character" w:customStyle="1" w:styleId="28">
    <w:name w:val="附表 字符"/>
    <w:basedOn w:val="27"/>
    <w:link w:val="26"/>
    <w:autoRedefine/>
    <w:qFormat/>
    <w:uiPriority w:val="0"/>
    <w:rPr>
      <w:rFonts w:ascii="Times New Roman" w:hAnsi="Times New Roman" w:eastAsia="仿宋" w:cstheme="majorBidi"/>
      <w:b w:val="0"/>
      <w:kern w:val="2"/>
      <w:sz w:val="21"/>
      <w:szCs w:val="22"/>
    </w:rPr>
  </w:style>
  <w:style w:type="character" w:customStyle="1" w:styleId="29">
    <w:name w:val="font11"/>
    <w:basedOn w:val="18"/>
    <w:autoRedefine/>
    <w:qFormat/>
    <w:uiPriority w:val="0"/>
    <w:rPr>
      <w:rFonts w:ascii="仿宋" w:hAnsi="仿宋" w:eastAsia="仿宋" w:cs="仿宋"/>
      <w:color w:val="000000"/>
      <w:sz w:val="24"/>
      <w:szCs w:val="24"/>
      <w:u w:val="none"/>
    </w:rPr>
  </w:style>
  <w:style w:type="character" w:customStyle="1" w:styleId="30">
    <w:name w:val="font41"/>
    <w:basedOn w:val="18"/>
    <w:autoRedefine/>
    <w:qFormat/>
    <w:uiPriority w:val="0"/>
    <w:rPr>
      <w:rFonts w:hint="eastAsia" w:ascii="仿宋_GB2312" w:eastAsia="仿宋_GB2312" w:cs="仿宋_GB2312"/>
      <w:color w:val="000000"/>
      <w:sz w:val="24"/>
      <w:szCs w:val="24"/>
      <w:u w:val="none"/>
    </w:rPr>
  </w:style>
  <w:style w:type="character" w:customStyle="1" w:styleId="31">
    <w:name w:val="font61"/>
    <w:basedOn w:val="18"/>
    <w:autoRedefine/>
    <w:qFormat/>
    <w:uiPriority w:val="0"/>
    <w:rPr>
      <w:rFonts w:hint="eastAsia" w:ascii="仿宋" w:hAnsi="仿宋" w:eastAsia="仿宋" w:cs="仿宋"/>
      <w:color w:val="000000"/>
      <w:sz w:val="22"/>
      <w:szCs w:val="22"/>
      <w:u w:val="none"/>
    </w:rPr>
  </w:style>
  <w:style w:type="character" w:customStyle="1" w:styleId="32">
    <w:name w:val="font51"/>
    <w:basedOn w:val="18"/>
    <w:autoRedefine/>
    <w:qFormat/>
    <w:uiPriority w:val="0"/>
    <w:rPr>
      <w:rFonts w:hint="default" w:ascii="Times New Roman" w:hAnsi="Times New Roman" w:cs="Times New Roman"/>
      <w:color w:val="000000"/>
      <w:sz w:val="24"/>
      <w:szCs w:val="24"/>
      <w:u w:val="none"/>
    </w:rPr>
  </w:style>
  <w:style w:type="character" w:customStyle="1" w:styleId="33">
    <w:name w:val="NormalCharacter"/>
    <w:link w:val="1"/>
    <w:autoRedefine/>
    <w:qFormat/>
    <w:uiPriority w:val="0"/>
    <w:rPr>
      <w:rFonts w:ascii="Times New Roman" w:hAnsi="Times New Roman" w:eastAsia="仿宋_GB2312" w:cs="宋体"/>
      <w:sz w:val="32"/>
      <w:szCs w:val="24"/>
      <w:lang w:val="en-US" w:eastAsia="zh-CN" w:bidi="ar-SA"/>
    </w:rPr>
  </w:style>
  <w:style w:type="character" w:customStyle="1" w:styleId="34">
    <w:name w:val="font31"/>
    <w:basedOn w:val="18"/>
    <w:qFormat/>
    <w:uiPriority w:val="0"/>
    <w:rPr>
      <w:rFonts w:ascii="仿宋_GB2312" w:eastAsia="仿宋_GB2312" w:cs="仿宋_GB2312"/>
      <w:color w:val="000000"/>
      <w:sz w:val="18"/>
      <w:szCs w:val="18"/>
      <w:u w:val="none"/>
    </w:rPr>
  </w:style>
  <w:style w:type="character" w:customStyle="1" w:styleId="35">
    <w:name w:val="font21"/>
    <w:basedOn w:val="18"/>
    <w:qFormat/>
    <w:uiPriority w:val="0"/>
    <w:rPr>
      <w:rFonts w:hint="default" w:ascii="Times New Roman" w:hAnsi="Times New Roman" w:cs="Times New Roman"/>
      <w:color w:val="000000"/>
      <w:sz w:val="18"/>
      <w:szCs w:val="18"/>
      <w:u w:val="none"/>
    </w:rPr>
  </w:style>
  <w:style w:type="character" w:customStyle="1" w:styleId="36">
    <w:name w:val="font91"/>
    <w:basedOn w:val="18"/>
    <w:qFormat/>
    <w:uiPriority w:val="0"/>
    <w:rPr>
      <w:rFonts w:ascii="仿宋_GB2312" w:eastAsia="仿宋_GB2312" w:cs="仿宋_GB2312"/>
      <w:b/>
      <w:bCs/>
      <w:color w:val="000000"/>
      <w:sz w:val="20"/>
      <w:szCs w:val="20"/>
      <w:u w:val="none"/>
    </w:rPr>
  </w:style>
  <w:style w:type="character" w:customStyle="1" w:styleId="37">
    <w:name w:val="font81"/>
    <w:basedOn w:val="18"/>
    <w:qFormat/>
    <w:uiPriority w:val="0"/>
    <w:rPr>
      <w:rFonts w:ascii="仿宋_GB2312" w:eastAsia="仿宋_GB2312" w:cs="仿宋_GB2312"/>
      <w:b/>
      <w:bCs/>
      <w:color w:val="000000"/>
      <w:sz w:val="16"/>
      <w:szCs w:val="16"/>
      <w:u w:val="none"/>
    </w:rPr>
  </w:style>
  <w:style w:type="character" w:customStyle="1" w:styleId="38">
    <w:name w:val="font12"/>
    <w:basedOn w:val="18"/>
    <w:qFormat/>
    <w:uiPriority w:val="0"/>
    <w:rPr>
      <w:rFonts w:hint="default" w:ascii="Times New Roman" w:hAnsi="Times New Roman" w:cs="Times New Roman"/>
      <w:b/>
      <w:bCs/>
      <w:color w:val="000000"/>
      <w:sz w:val="16"/>
      <w:szCs w:val="16"/>
      <w:u w:val="none"/>
    </w:rPr>
  </w:style>
  <w:style w:type="character" w:customStyle="1" w:styleId="39">
    <w:name w:val="font101"/>
    <w:basedOn w:val="18"/>
    <w:qFormat/>
    <w:uiPriority w:val="0"/>
    <w:rPr>
      <w:rFonts w:hint="eastAsia" w:ascii="仿宋_GB2312" w:eastAsia="仿宋_GB2312" w:cs="仿宋_GB2312"/>
      <w:color w:val="000000"/>
      <w:sz w:val="16"/>
      <w:szCs w:val="16"/>
      <w:u w:val="none"/>
    </w:rPr>
  </w:style>
  <w:style w:type="character" w:customStyle="1" w:styleId="40">
    <w:name w:val="font111"/>
    <w:basedOn w:val="18"/>
    <w:qFormat/>
    <w:uiPriority w:val="0"/>
    <w:rPr>
      <w:rFonts w:hint="eastAsia" w:ascii="仿宋_GB2312" w:eastAsia="仿宋_GB2312" w:cs="仿宋_GB2312"/>
      <w:color w:val="000000"/>
      <w:sz w:val="18"/>
      <w:szCs w:val="18"/>
      <w:u w:val="none"/>
    </w:rPr>
  </w:style>
  <w:style w:type="character" w:customStyle="1" w:styleId="41">
    <w:name w:val="font122"/>
    <w:basedOn w:val="18"/>
    <w:qFormat/>
    <w:uiPriority w:val="0"/>
    <w:rPr>
      <w:rFonts w:hint="eastAsia" w:ascii="仿宋_GB2312" w:eastAsia="仿宋_GB2312" w:cs="仿宋_GB2312"/>
      <w:color w:val="000000"/>
      <w:sz w:val="16"/>
      <w:szCs w:val="16"/>
      <w:u w:val="none"/>
    </w:rPr>
  </w:style>
  <w:style w:type="character" w:customStyle="1" w:styleId="42">
    <w:name w:val="font131"/>
    <w:basedOn w:val="18"/>
    <w:qFormat/>
    <w:uiPriority w:val="0"/>
    <w:rPr>
      <w:rFonts w:hint="eastAsia" w:ascii="仿宋_GB2312" w:eastAsia="仿宋_GB2312" w:cs="仿宋_GB2312"/>
      <w:color w:val="000000"/>
      <w:sz w:val="18"/>
      <w:szCs w:val="18"/>
      <w:u w:val="none"/>
    </w:rPr>
  </w:style>
  <w:style w:type="character" w:customStyle="1" w:styleId="43">
    <w:name w:val="font141"/>
    <w:basedOn w:val="18"/>
    <w:qFormat/>
    <w:uiPriority w:val="0"/>
    <w:rPr>
      <w:rFonts w:hint="eastAsia" w:ascii="宋体" w:hAnsi="宋体" w:eastAsia="宋体" w:cs="宋体"/>
      <w:color w:val="000000"/>
      <w:sz w:val="16"/>
      <w:szCs w:val="16"/>
      <w:u w:val="none"/>
    </w:rPr>
  </w:style>
  <w:style w:type="character" w:customStyle="1" w:styleId="44">
    <w:name w:val="font71"/>
    <w:basedOn w:val="18"/>
    <w:qFormat/>
    <w:uiPriority w:val="0"/>
    <w:rPr>
      <w:rFonts w:hint="default" w:ascii="Times New Roman" w:hAnsi="Times New Roman" w:cs="Times New Roman"/>
      <w:color w:val="000000"/>
      <w:sz w:val="20"/>
      <w:szCs w:val="20"/>
      <w:u w:val="none"/>
    </w:rPr>
  </w:style>
  <w:style w:type="character" w:customStyle="1" w:styleId="45">
    <w:name w:val="font112"/>
    <w:basedOn w:val="18"/>
    <w:qFormat/>
    <w:uiPriority w:val="0"/>
    <w:rPr>
      <w:rFonts w:ascii="仿宋_GB2312" w:eastAsia="仿宋_GB2312" w:cs="仿宋_GB2312"/>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7a196d36-c6f9-408b-aa58-d280bfff82c0</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2E86994A</paraID>
      <start xmlns="http://schemas.wps.cn/vas-ai-hub/contract-review">295</start>
      <end xmlns="http://schemas.wps.cn/vas-ai-hub/contract-review">300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3a01f332-89fd-4da6-af63-8f538a43577b</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 1AC1D3C</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db36e7d3-5ce5-4b97-8d3a-911dafc95f88</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2A4AB659</paraID>
      <start xmlns="http://schemas.wps.cn/vas-ai-hub/contract-review">140</start>
      <end xmlns="http://schemas.wps.cn/vas-ai-hub/contract-review">145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d2321457-6e26-48c0-97af-a5a88002beb9</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6A962A11</paraID>
      <start xmlns="http://schemas.wps.cn/vas-ai-hub/contract-review">23</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6e720f2f-f4f3-4190-a78c-34390bc313e9</errorID>
      <errorWord xmlns="http://schemas.wps.cn/vas-ai-hub/contract-review">效益</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效应</item>
      </candidateList>
      <explain xmlns="http://schemas.wps.cn/vas-ai-hub/contract-review"/>
      <paraID xmlns="http://schemas.wps.cn/vas-ai-hub/contract-review"> 9E82A1A</paraID>
      <start xmlns="http://schemas.wps.cn/vas-ai-hub/contract-review">173</start>
      <end xmlns="http://schemas.wps.cn/vas-ai-hub/contract-review">175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27201ea4-4459-4585-bb2e-1dee0955d8f4</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6242BE11</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eb39b1f2-a855-40c6-9bdd-2b8c991e453d</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6E75D96B</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2fc6273a-525e-44a8-b35f-a84d49b529bb</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2F4B62C9</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c49c5a2e-9c91-4442-b449-73cdc6796446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3C531652</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7eddc307-aafd-4d3e-86bc-32cab4469641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3E513954</paraID>
      <start xmlns="http://schemas.wps.cn/vas-ai-hub/contract-review">23</start>
      <end xmlns="http://schemas.wps.cn/vas-ai-hub/contract-review">25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0f08bb77-c6a1-4dcf-9c30-081058577d5e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3E513954</paraID>
      <start xmlns="http://schemas.wps.cn/vas-ai-hub/contract-review">46</start>
      <end xmlns="http://schemas.wps.cn/vas-ai-hub/contract-review">48</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2e1d5b9b-277a-4fbc-8fe0-56452b5c1a4b</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38545C3D</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878fcaf6-2c4e-4f6f-893d-8b0bc23660ed</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689DE03A</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584b929d-d1d5-4ace-9848-c9cc19c30ab9</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5E15506D</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357ed987-dda8-424b-8f8d-c3bbb3a35cc4</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5E86A86B</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e27d6ffe-31be-4df9-904a-1a4bc5e7f813</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6FFD4D07</paraID>
      <start xmlns="http://schemas.wps.cn/vas-ai-hub/contract-review">23</start>
      <end xmlns="http://schemas.wps.cn/vas-ai-hub/contract-review">25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938f1f18-b389-4a7a-998a-b3a00dfd313a</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1B4895DA</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06a113ae-939c-4747-b0e0-f94ba09d0bc9</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492DC4CC</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a8072c63-f729-475c-bc5d-e06faa617b11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694C31F8</paraID>
      <start xmlns="http://schemas.wps.cn/vas-ai-hub/contract-review">25</start>
      <end xmlns="http://schemas.wps.cn/vas-ai-hub/contract-review">27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4f35b330-2a61-42ce-9134-2409300e6a3b</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6AB25FBA</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77daaf39-c0b3-44e2-b083-0af59e00ffea</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1808CCA3</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5cf6ebde-7e74-4006-b99b-8f7bb402ed2f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C2F0A52</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923a1e2d-fd03-4449-b735-415dcc95a240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1F825958</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9afa0653-e43f-4ab3-9234-d6bed0274dae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327D7BB6</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aef44143-4dd7-4b36-b522-17757714a622</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3E6CB653</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c644bc3d-0c91-40f5-8fc3-088fbca5474a</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3B03A251</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7d7eb7ce-c793-4812-8a8d-0793c101c236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41B01094</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6818a3e6-ee11-4170-883a-123f94f839da</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23F9CF2A</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e9cacc15-f69f-4993-9757-5d716cc7e66b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55E3428</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cc8b9b56-06a7-448e-9c5e-24cf05e2f37b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30D971FC</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5c2870aa-585b-444e-93c4-d86ec75d8c10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6BC0FCF8</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0f9dc284-8ad7-4dc5-bfef-9c8b6f1360d0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4DA75E43</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15852a6d-4461-44ff-8e4e-3afa8d10d7e5</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3A7B9C5F</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d1a2dfc7-1bde-42e5-9904-933a670bc270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1FB0EED9</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21915723-e662-4a7d-b7bc-414428a8bbd6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2F26FE9C</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93bcf7aa-44cf-4211-907a-6e1c2168be39</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5B71F030</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01e7dddc-5381-420f-a694-d4dee272c8b6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7F4710B6</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47d2b2dc-272c-4078-b6ee-0db9a969984b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29152144</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b7e6af87-341d-4047-a87c-742e0497156c</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43629C75</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3243efc1-84f9-44f3-850f-bcd7171efc73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26EFDACF</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9a0a58df-4111-4442-b530-4c0ee338767a</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6DADBBAD</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3caa807e-72c7-4bfe-bf40-b6258ba51b36</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2ADA702B</paraID>
      <start xmlns="http://schemas.wps.cn/vas-ai-hub/contract-review">35</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104da990-5f73-486d-aa12-f8dd5bb23a60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349850C0</paraID>
      <start xmlns="http://schemas.wps.cn/vas-ai-hub/contract-review">13</start>
      <end xmlns="http://schemas.wps.cn/vas-ai-hub/contract-review">14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1d476e52-2bb9-4a0d-b3c7-d4c4cbf02d60</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349850C0</paraID>
      <start xmlns="http://schemas.wps.cn/vas-ai-hub/contract-review">26</start>
      <end xmlns="http://schemas.wps.cn/vas-ai-hub/contract-review">27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f0980b48-6afb-4240-bdc4-9e051b2ff0b3</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5E0E27BC</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29c78ac2-6820-454e-b3cd-4fe61c4a026f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4958A803</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dd72e813-9d35-4a7b-b47d-97f5332f69f2</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22D4EFE5</paraID>
      <start xmlns="http://schemas.wps.cn/vas-ai-hub/contract-review">23</start>
      <end xmlns="http://schemas.wps.cn/vas-ai-hub/contract-review">25</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4af5b385-e968-4d01-80fd-a5d8c7659314</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39EE4B42</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41343bef-780b-4546-93ce-039c3dcbcb7b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破折号或连接号疑似使用错误。</explain>
      <paraID xmlns="http://schemas.wps.cn/vas-ai-hub/contract-review">7E69BA08</paraID>
      <start xmlns="http://schemas.wps.cn/vas-ai-hub/contract-review">13</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c2d7a805-36fc-4ae1-bfdf-69feb9a10601</errorID>
      <errorWord xmlns="http://schemas.wps.cn/vas-ai-hub/contract-review">秦刚</errorWord>
      <group xmlns="http://schemas.wps.cn/vas-ai-hub/contract-review">L1_Sensitive</group>
      <groupName xmlns="http://schemas.wps.cn/vas-ai-hub/contract-review">敏感问题</groupName>
      <ability xmlns="http://schemas.wps.cn/vas-ai-hub/contract-review">L2_Disgraced</ability>
      <abilityName xmlns="http://schemas.wps.cn/vas-ai-hub/contract-review">落马官员</abilityName>
      <candidateList xmlns="http://schemas.wps.cn/vas-ai-hub/contract-review"/>
      <explain xmlns="http://schemas.wps.cn/vas-ai-hub/contract-review">【落马官员】请注意，&lt;秦刚&gt;为已落马官员的姓名。</explain>
      <paraID xmlns="http://schemas.wps.cn/vas-ai-hub/contract-review">10C0043A</paraID>
      <start xmlns="http://schemas.wps.cn/vas-ai-hub/contract-review">62</start>
      <end xmlns="http://schemas.wps.cn/vas-ai-hub/contract-review">64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001e06ae-7479-4e19-9f39-639b6abc40ee</errorID>
      <errorWord xmlns="http://schemas.wps.cn/vas-ai-hub/contract-review">刘烈红</errorWord>
      <group xmlns="http://schemas.wps.cn/vas-ai-hub/contract-review">L1_Political</group>
      <groupName xmlns="http://schemas.wps.cn/vas-ai-hub/contract-review">政治性问题</groupName>
      <ability xmlns="http://schemas.wps.cn/vas-ai-hub/contract-review">L2_Leader</ability>
      <abilityName xmlns="http://schemas.wps.cn/vas-ai-hub/contract-review">领导人姓名/职务</abilityName>
      <candidateList xmlns="http://schemas.wps.cn/vas-ai-hub/contract-review">
        <item xmlns="http://schemas.wps.cn/vas-ai-hub/contract-review">刘烈宏</item>
      </candidateList>
      <explain xmlns="http://schemas.wps.cn/vas-ai-hub/contract-review">领导人&lt;刘烈红&gt;疑似有误，建议修改为&lt;刘烈宏&gt;。&lt;刘烈宏&gt;的主要职务包括：二十届中央候补委员、中央候补委员、中共二十届中央候补委员、第二十届中央候补委员、中国共产党第二十届中央委员会候补委员、国家发展和改革委员会党组成员、国家发展改革委党组成员、国家数据局党组书记、国家数据局局长。</explain>
      <paraID xmlns="http://schemas.wps.cn/vas-ai-hub/contract-review">10C0043A</paraID>
      <start xmlns="http://schemas.wps.cn/vas-ai-hub/contract-review">109</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b3971eff-c699-4bf0-be57-de5076b7ff2b</errorID>
      <errorWord xmlns="http://schemas.wps.cn/vas-ai-hub/contract-review">岳阳县</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岳阳市</item>
      </candidateList>
      <explain xmlns="http://schemas.wps.cn/vas-ai-hub/contract-review"/>
      <paraID xmlns="http://schemas.wps.cn/vas-ai-hub/contract-review">27714174</paraID>
      <start xmlns="http://schemas.wps.cn/vas-ai-hub/contract-review">66</start>
      <end xmlns="http://schemas.wps.cn/vas-ai-hub/contract-review">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96b467da-8ad0-42e1-bcd4-9e160dccb226</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33B99E25</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1f5e8a3f-97d6-4703-96c2-d5ed6f092361</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49DC74C2</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f5ae7309-ec55-435d-b2ac-f547be7c522b</errorID>
      <errorWord xmlns="http://schemas.wps.cn/vas-ai-hub/contract-review">芷江县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芷江侗族自治县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 88F5471</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bce98916-89e7-43c4-a6b9-200b1b88ebb1</errorID>
      <errorWord xmlns="http://schemas.wps.cn/vas-ai-hub/contract-review">芷江县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芷江侗族自治县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3AB7484D</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3466e535-0dc5-4c5e-bb86-6c0e29fc4707</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6B428A30</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bc724699-dd5e-4d80-8d3b-952cc735d48e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4988D94C</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53a1ca95-7d93-4d48-b608-9a7362943fb3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7C397852</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d88d3fad-3c89-4e69-bfde-21155f542517</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11740D62</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3544cb1f-8141-48af-8a08-f7d12f760dd0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66EA406E</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a486b148-66d1-4a43-baf2-e2709b6e3164</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4A35B8A4</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b6127032-032b-4f02-b2c0-0495a0514065</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23F0A530</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a29c55b3-c2d1-49ce-b9ee-e3dcb3ef6342</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635D9BE3</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a0a3bcdb-f4af-4ff9-b530-046e7688f097</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456ACD0C</paraID>
      <start xmlns="http://schemas.wps.cn/vas-ai-hub/contract-review">0</start>
      <end xmlns="http://schemas.wps.cn/vas-ai-hub/contract-review">10</end>
      <status xmlns="http://schemas.wps.cn/vas-ai-hub/contract-review">modified</status>
      <modifiedWord xmlns="http://schemas.wps.cn/vas-ai-hub/contract-review">通道侗族自治县通道县</modifiedWord>
      <trackRevisions xmlns="http://schemas.wps.cn/vas-ai-hub/contract-review">true</trackRevisions>
    </reviewItem>
    <reviewItem xmlns="http://schemas.wps.cn/vas-ai-hub/contract-review">
      <errorID xmlns="http://schemas.wps.cn/vas-ai-hub/contract-review">7c3ff9c5-630b-4433-a1e7-2c95ed4d2a4d</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F9A06DB</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76912859-f4fc-4ebc-be34-e565e21d3792</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7FEE1D11</paraID>
      <start xmlns="http://schemas.wps.cn/vas-ai-hub/contract-review">0</start>
      <end xmlns="http://schemas.wps.cn/vas-ai-hub/contract-review">10</end>
      <status xmlns="http://schemas.wps.cn/vas-ai-hub/contract-review">modified</status>
      <modifiedWord xmlns="http://schemas.wps.cn/vas-ai-hub/contract-review">通道侗族自治县通道县</modifiedWord>
      <trackRevisions xmlns="http://schemas.wps.cn/vas-ai-hub/contract-review">true</trackRevisions>
    </reviewItem>
    <reviewItem xmlns="http://schemas.wps.cn/vas-ai-hub/contract-review">
      <errorID xmlns="http://schemas.wps.cn/vas-ai-hub/contract-review">950e4f34-d5da-42e1-9a58-124fa9b5f963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1D4B6BEE</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d167d411-eaff-4579-b866-38b5de2678dc</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22BBC27C</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8272c999-b7e8-4012-ba06-e175a1838cb1</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7D4C60DF</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ad23f159-0d13-4cde-a244-6031f75847f1</errorID>
      <errorWord xmlns="http://schemas.wps.cn/vas-ai-hub/contract-review">麻阳县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麻阳苗族自治县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10653C07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a3de6acb-b05b-4a92-963d-8c9588612842</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3B1BA801</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ac135a9e-b58f-42e4-9b17-4119e042fb7b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23B28B1</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1a78c00d-5a14-4606-b68f-7b55fa705cda</errorID>
      <errorWord xmlns="http://schemas.wps.cn/vas-ai-hub/contract-review">非物质文化遗产保护与传承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非物质文化遗产保护传承</item>
      </candidateList>
      <explain xmlns="http://schemas.wps.cn/vas-ai-hub/contract-review">词汇“非物质文化遗产保护传承”在特定场景下为固定表述形式，请确认此处的“非物质文化遗产保护与传承”是否存在不当。</explain>
      <paraID xmlns="http://schemas.wps.cn/vas-ai-hub/contract-review">1E02A0DB</paraID>
      <start xmlns="http://schemas.wps.cn/vas-ai-hub/contract-review">2</start>
      <end xmlns="http://schemas.wps.cn/vas-ai-hub/contract-review">25</end>
      <status xmlns="http://schemas.wps.cn/vas-ai-hub/contract-review">modified</status>
      <modifiedWord xmlns="http://schemas.wps.cn/vas-ai-hub/contract-review">非物质文化遗产保护传承非物质文化遗产保护与传承</modifiedWord>
      <trackRevisions xmlns="http://schemas.wps.cn/vas-ai-hub/contract-review">true</trackRevisions>
    </reviewItem>
    <reviewItem xmlns="http://schemas.wps.cn/vas-ai-hub/contract-review">
      <errorID xmlns="http://schemas.wps.cn/vas-ai-hub/contract-review">203f0a42-8df1-4798-982b-b461c9a33d9a</errorID>
      <errorWord xmlns="http://schemas.wps.cn/vas-ai-hub/contract-review">非物质文化遗产保护与传承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非物质文化遗产保护传承</item>
      </candidateList>
      <explain xmlns="http://schemas.wps.cn/vas-ai-hub/contract-review">词汇“非物质文化遗产保护传承”在特定场景下为固定表述形式，请确认此处的“非物质文化遗产保护与传承”是否存在不当。</explain>
      <paraID xmlns="http://schemas.wps.cn/vas-ai-hub/contract-review">514178D6</paraID>
      <start xmlns="http://schemas.wps.cn/vas-ai-hub/contract-review">2</start>
      <end xmlns="http://schemas.wps.cn/vas-ai-hub/contract-review">25</end>
      <status xmlns="http://schemas.wps.cn/vas-ai-hub/contract-review">modified</status>
      <modifiedWord xmlns="http://schemas.wps.cn/vas-ai-hub/contract-review">非物质文化遗产保护传承非物质文化遗产保护与传承</modifiedWord>
      <trackRevisions xmlns="http://schemas.wps.cn/vas-ai-hub/contract-review">true</trackRevisions>
    </reviewItem>
    <reviewItem xmlns="http://schemas.wps.cn/vas-ai-hub/contract-review">
      <errorID xmlns="http://schemas.wps.cn/vas-ai-hub/contract-review">c648c6f6-50c9-4a5f-8145-ed0a682c106f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55AB4567</paraID>
      <start xmlns="http://schemas.wps.cn/vas-ai-hub/contract-review">4</start>
      <end xmlns="http://schemas.wps.cn/vas-ai-hub/contract-review">22</end>
      <status xmlns="http://schemas.wps.cn/vas-ai-hub/contract-review">modified</status>
      <modifiedWord xmlns="http://schemas.wps.cn/vas-ai-hub/contract-review">〔2025〕60号[2025]60号</modifiedWord>
      <trackRevisions xmlns="http://schemas.wps.cn/vas-ai-hub/contract-review">true</trackRevisions>
    </reviewItem>
    <reviewItem xmlns="http://schemas.wps.cn/vas-ai-hub/contract-review">
      <errorID xmlns="http://schemas.wps.cn/vas-ai-hub/contract-review">b41a5e6e-2bc8-46f5-ae21-f68fe4bb9798</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152</start>
      <end xmlns="http://schemas.wps.cn/vas-ai-hub/contract-review">162</end>
      <status xmlns="http://schemas.wps.cn/vas-ai-hub/contract-review">modified</status>
      <modifiedWord xmlns="http://schemas.wps.cn/vas-ai-hub/contract-review">通道侗族自治县通道县</modifiedWord>
      <trackRevisions xmlns="http://schemas.wps.cn/vas-ai-hub/contract-review">true</trackRevisions>
    </reviewItem>
    <reviewItem xmlns="http://schemas.wps.cn/vas-ai-hub/contract-review">
      <errorID xmlns="http://schemas.wps.cn/vas-ai-hub/contract-review">89774249-dd2f-4722-8866-308ef1eb432f</errorID>
      <errorWord xmlns="http://schemas.wps.cn/vas-ai-hub/contract-review">芷江县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芷江侗族自治县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194</start>
      <end xmlns="http://schemas.wps.cn/vas-ai-hub/contract-review">197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91c90333-8a9c-4440-942f-d7524c3ffbf2</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212</start>
      <end xmlns="http://schemas.wps.cn/vas-ai-hub/contract-review">215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348c82e0-651b-406f-9830-6cf79d0efe1b</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221</start>
      <end xmlns="http://schemas.wps.cn/vas-ai-hub/contract-review">224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73c3f5ec-cced-4279-bb29-7c42f7db19df</errorID>
      <errorWord xmlns="http://schemas.wps.cn/vas-ai-hub/contract-review">麻阳县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麻阳苗族自治县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257</start>
      <end xmlns="http://schemas.wps.cn/vas-ai-hub/contract-review">260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9aebde5c-f68e-4d3e-b612-27fa36c7bf7d</errorID>
      <errorWord xmlns="http://schemas.wps.cn/vas-ai-hub/contract-review">芷江县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芷江侗族自治县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266</start>
      <end xmlns="http://schemas.wps.cn/vas-ai-hub/contract-review">269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4e1cf7ca-ac09-4633-a884-3a5a8f8bbfbd</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275</start>
      <end xmlns="http://schemas.wps.cn/vas-ai-hub/contract-review">285</end>
      <status xmlns="http://schemas.wps.cn/vas-ai-hub/contract-review">modified</status>
      <modifiedWord xmlns="http://schemas.wps.cn/vas-ai-hub/contract-review">通道侗族自治县通道县</modifiedWord>
      <trackRevisions xmlns="http://schemas.wps.cn/vas-ai-hub/contract-review">true</trackRevisions>
    </reviewItem>
    <reviewItem xmlns="http://schemas.wps.cn/vas-ai-hub/contract-review">
      <errorID xmlns="http://schemas.wps.cn/vas-ai-hub/contract-review">95040074-381f-4bf1-a2d0-8879acd5b8f9</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291</start>
      <end xmlns="http://schemas.wps.cn/vas-ai-hub/contract-review">294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755bbdbf-ae96-410e-ac4f-16557de6486b</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300</start>
      <end xmlns="http://schemas.wps.cn/vas-ai-hub/contract-review">303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2bab17d3-a583-4a35-be9f-34cc0e8ece4c</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309</start>
      <end xmlns="http://schemas.wps.cn/vas-ai-hub/contract-review">312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59e1793c-b139-4c66-86f4-de5e41a5f3f2</errorID>
      <errorWord xmlns="http://schemas.wps.cn/vas-ai-hub/contract-review">芷江县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芷江侗族自治县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349</start>
      <end xmlns="http://schemas.wps.cn/vas-ai-hub/contract-review">352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2907e24f-fe81-499f-b8c0-fcf15670ef14</errorID>
      <errorWord xmlns="http://schemas.wps.cn/vas-ai-hub/contract-review">新晃县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新晃侗族自治县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414</start>
      <end xmlns="http://schemas.wps.cn/vas-ai-hub/contract-review">417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44d99f3e-6229-46d7-8f3e-ae406a4ff860</errorID>
      <errorWord xmlns="http://schemas.wps.cn/vas-ai-hub/contract-review">麻阳县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麻阳苗族自治县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450</start>
      <end xmlns="http://schemas.wps.cn/vas-ai-hub/contract-review">453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a3bff8de-c4c7-49a4-8f21-b7d40e5a511a</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477</start>
      <end xmlns="http://schemas.wps.cn/vas-ai-hub/contract-review">480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7b86d379-4c90-4d3f-a996-b41df3d0a41d</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495</start>
      <end xmlns="http://schemas.wps.cn/vas-ai-hub/contract-review">505</end>
      <status xmlns="http://schemas.wps.cn/vas-ai-hub/contract-review">modified</status>
      <modifiedWord xmlns="http://schemas.wps.cn/vas-ai-hub/contract-review">通道侗族自治县通道县</modifiedWord>
      <trackRevisions xmlns="http://schemas.wps.cn/vas-ai-hub/contract-review">true</trackRevisions>
    </reviewItem>
    <reviewItem xmlns="http://schemas.wps.cn/vas-ai-hub/contract-review">
      <errorID xmlns="http://schemas.wps.cn/vas-ai-hub/contract-review">04e92826-2173-435c-871f-c845448f47b1</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529</start>
      <end xmlns="http://schemas.wps.cn/vas-ai-hub/contract-review">532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81072f60-6a74-4e1b-969c-0d58f30f5e71</errorID>
      <errorWord xmlns="http://schemas.wps.cn/vas-ai-hub/contract-review">靖州县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靖州苗族侗族自治县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21AB5643</paraID>
      <start xmlns="http://schemas.wps.cn/vas-ai-hub/contract-review">538</start>
      <end xmlns="http://schemas.wps.cn/vas-ai-hub/contract-review">541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2209bf2e-11e9-4323-9b5e-d1568233b66f</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 20BF06D</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45e80816-a1ba-4700-aff3-17f559c0eaca</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725320D4</paraID>
      <start xmlns="http://schemas.wps.cn/vas-ai-hub/contract-review">46</start>
      <end xmlns="http://schemas.wps.cn/vas-ai-hub/contract-review">51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ab0822f3-2c37-4eee-86d0-fdfcd1c8fb73</errorID>
      <errorWord xmlns="http://schemas.wps.cn/vas-ai-hub/contract-review">计划的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计划</item>
      </candidateList>
      <explain xmlns="http://schemas.wps.cn/vas-ai-hub/contract-review"/>
      <paraID xmlns="http://schemas.wps.cn/vas-ai-hub/contract-review">1F7B8CE4</paraID>
      <start xmlns="http://schemas.wps.cn/vas-ai-hub/contract-review">8</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1651d438-aea3-49e1-b5ae-77726cde8d5d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17BB406D</paraID>
      <start xmlns="http://schemas.wps.cn/vas-ai-hub/contract-review">94</start>
      <end xmlns="http://schemas.wps.cn/vas-ai-hub/contract-review">95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0efdb996-01b5-43a7-ae3a-647feb52d7eb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37C87A7B</paraID>
      <start xmlns="http://schemas.wps.cn/vas-ai-hub/contract-review">61</start>
      <end xmlns="http://schemas.wps.cn/vas-ai-hub/contract-review">64</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0b2e5064-413e-47c8-8f0f-bab891b85fc2</errorID>
      <errorWord xmlns="http://schemas.wps.cn/vas-ai-hub/contract-review">巩固脱贫攻坚成果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巩固拓展脱贫攻坚成果</item>
      </candidateList>
      <explain xmlns="http://schemas.wps.cn/vas-ai-hub/contract-review"/>
      <paraID xmlns="http://schemas.wps.cn/vas-ai-hub/contract-review">15151F4D</paraID>
      <start xmlns="http://schemas.wps.cn/vas-ai-hub/contract-review">103</start>
      <end xmlns="http://schemas.wps.cn/vas-ai-hub/contract-review">111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ce21e5c6-3c1a-4e4e-aaee-b7e8a4e9da68</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160A37D8</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812c0e31-d0ac-4a1e-b9fb-6b0cd3bb0531</errorID>
      <errorWord xmlns="http://schemas.wps.cn/vas-ai-hub/contract-review">［2022］</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〔2022〕</item>
      </candidateList>
      <explain xmlns="http://schemas.wps.cn/vas-ai-hub/contract-review"/>
      <paraID xmlns="http://schemas.wps.cn/vas-ai-hub/contract-review">50242491</paraID>
      <start xmlns="http://schemas.wps.cn/vas-ai-hub/contract-review">183</start>
      <end xmlns="http://schemas.wps.cn/vas-ai-hub/contract-review">195</end>
      <status xmlns="http://schemas.wps.cn/vas-ai-hub/contract-review">modified</status>
      <modifiedWord xmlns="http://schemas.wps.cn/vas-ai-hub/contract-review">〔2022〕［2022］</modifiedWord>
      <trackRevisions xmlns="http://schemas.wps.cn/vas-ai-hub/contract-review">true</trackRevisions>
    </reviewItem>
    <reviewItem xmlns="http://schemas.wps.cn/vas-ai-hub/contract-review">
      <errorID xmlns="http://schemas.wps.cn/vas-ai-hub/contract-review">eb541794-1a2e-4821-91dc-6141a3792820</errorID>
      <errorWord xmlns="http://schemas.wps.cn/vas-ai-hub/contract-review">支持支持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支持</item>
      </candidateList>
      <explain xmlns="http://schemas.wps.cn/vas-ai-hub/contract-review"/>
      <paraID xmlns="http://schemas.wps.cn/vas-ai-hub/contract-review">50242491</paraID>
      <start xmlns="http://schemas.wps.cn/vas-ai-hub/contract-review">247</start>
      <end xmlns="http://schemas.wps.cn/vas-ai-hub/contract-review">253</end>
      <status xmlns="http://schemas.wps.cn/vas-ai-hub/contract-review">modified</status>
      <modifiedWord xmlns="http://schemas.wps.cn/vas-ai-hub/contract-review">支持支持支持</modifiedWord>
      <trackRevisions xmlns="http://schemas.wps.cn/vas-ai-hub/contract-review">true</trackRevisions>
    </reviewItem>
    <reviewItem xmlns="http://schemas.wps.cn/vas-ai-hub/contract-review">
      <errorID xmlns="http://schemas.wps.cn/vas-ai-hub/contract-review">cae7112a-74e9-4759-8534-20602d0d6f05</errorID>
      <errorWord xmlns="http://schemas.wps.cn/vas-ai-hub/contract-review">全省省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全省</item>
      </candidateList>
      <explain xmlns="http://schemas.wps.cn/vas-ai-hub/contract-review"/>
      <paraID xmlns="http://schemas.wps.cn/vas-ai-hub/contract-review">1C4070F0</paraID>
      <start xmlns="http://schemas.wps.cn/vas-ai-hub/contract-review">2</start>
      <end xmlns="http://schemas.wps.cn/vas-ai-hub/contract-review">7</end>
      <status xmlns="http://schemas.wps.cn/vas-ai-hub/contract-review">modified</status>
      <modifiedWord xmlns="http://schemas.wps.cn/vas-ai-hub/contract-review">全省全省省</modifiedWord>
      <trackRevisions xmlns="http://schemas.wps.cn/vas-ai-hub/contract-review">true</trackRevisions>
    </reviewItem>
    <reviewItem xmlns="http://schemas.wps.cn/vas-ai-hub/contract-review">
      <errorID xmlns="http://schemas.wps.cn/vas-ai-hub/contract-review">e5ea4ca9-dea6-47a4-b23d-3a5de3952bfc</errorID>
      <errorWord xmlns="http://schemas.wps.cn/vas-ai-hub/contract-review">发展文化事业和文旅产业</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发展文化事业和文化产业</item>
      </candidateList>
      <explain xmlns="http://schemas.wps.cn/vas-ai-hub/contract-review">词汇“发展文化事业和文化产业”在特定场景下为固定表述形式，请确认此处的“发展文化事业和文旅产业”是否存在不当。</explain>
      <paraID xmlns="http://schemas.wps.cn/vas-ai-hub/contract-review"> 4B08112</paraID>
      <start xmlns="http://schemas.wps.cn/vas-ai-hub/contract-review">28</start>
      <end xmlns="http://schemas.wps.cn/vas-ai-hub/contract-review">39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0e7955d1-aba2-4f77-bf1f-444f7351a4cd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4B08112</paraID>
      <start xmlns="http://schemas.wps.cn/vas-ai-hub/contract-review">130</start>
      <end xmlns="http://schemas.wps.cn/vas-ai-hub/contract-review">132</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5bd306d1-d0e6-4c35-8057-940fee0f8b6b</errorID>
      <errorWord xmlns="http://schemas.wps.cn/vas-ai-hub/contract-review">10-40万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10万—40万</item>
      </candidateList>
      <explain xmlns="http://schemas.wps.cn/vas-ai-hub/contract-review">1. “10-40万”中的单位“万”仅出现在后一个数字上，容易引起歧义；根据《现代汉语标点符号数字用法规范手册》，数字表示范围两边需要使用统一的格式。2.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59DE44F7</paraID>
      <start xmlns="http://schemas.wps.cn/vas-ai-hub/contract-review">0</start>
      <end xmlns="http://schemas.wps.cn/vas-ai-hub/contract-review">13</end>
      <status xmlns="http://schemas.wps.cn/vas-ai-hub/contract-review">modified</status>
      <modifiedWord xmlns="http://schemas.wps.cn/vas-ai-hub/contract-review">10万—40万10-40万</modifiedWord>
      <trackRevisions xmlns="http://schemas.wps.cn/vas-ai-hub/contract-review">true</trackRevisions>
    </reviewItem>
    <reviewItem xmlns="http://schemas.wps.cn/vas-ai-hub/contract-review">
      <errorID xmlns="http://schemas.wps.cn/vas-ai-hub/contract-review">865db583-0870-445b-a6c5-34d5e797e6af</errorID>
      <errorWord xmlns="http://schemas.wps.cn/vas-ai-hub/contract-review">10-40万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10万—40万</item>
      </candidateList>
      <explain xmlns="http://schemas.wps.cn/vas-ai-hub/contract-review">1. “10-40万”中的单位“万”仅出现在后一个数字上，容易引起歧义；根据《现代汉语标点符号数字用法规范手册》，数字表示范围两边需要使用统一的格式。2.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68254BD1</paraID>
      <start xmlns="http://schemas.wps.cn/vas-ai-hub/contract-review">0</start>
      <end xmlns="http://schemas.wps.cn/vas-ai-hub/contract-review">13</end>
      <status xmlns="http://schemas.wps.cn/vas-ai-hub/contract-review">modified</status>
      <modifiedWord xmlns="http://schemas.wps.cn/vas-ai-hub/contract-review">10万—40万10-40万</modifiedWord>
      <trackRevisions xmlns="http://schemas.wps.cn/vas-ai-hub/contract-review">true</trackRevisions>
    </reviewItem>
    <reviewItem xmlns="http://schemas.wps.cn/vas-ai-hub/contract-review">
      <errorID xmlns="http://schemas.wps.cn/vas-ai-hub/contract-review">6b6a65d6-d854-44c6-acd5-2396c5fd9a8d</errorID>
      <errorWord xmlns="http://schemas.wps.cn/vas-ai-hub/contract-review">非物质文化遗产保护与传承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非物质文化遗产保护传承</item>
      </candidateList>
      <explain xmlns="http://schemas.wps.cn/vas-ai-hub/contract-review">词汇“非物质文化遗产保护传承”在特定场景下为固定表述形式，请确认此处的“非物质文化遗产保护与传承”是否存在不当。</explain>
      <paraID xmlns="http://schemas.wps.cn/vas-ai-hub/contract-review">7333102F</paraID>
      <start xmlns="http://schemas.wps.cn/vas-ai-hub/contract-review">2</start>
      <end xmlns="http://schemas.wps.cn/vas-ai-hub/contract-review">25</end>
      <status xmlns="http://schemas.wps.cn/vas-ai-hub/contract-review">modified</status>
      <modifiedWord xmlns="http://schemas.wps.cn/vas-ai-hub/contract-review">非物质文化遗产保护传承非物质文化遗产保护与传承</modifiedWord>
      <trackRevisions xmlns="http://schemas.wps.cn/vas-ai-hub/contract-review">true</trackRevisions>
    </reviewItem>
    <reviewItem xmlns="http://schemas.wps.cn/vas-ai-hub/contract-review">
      <errorID xmlns="http://schemas.wps.cn/vas-ai-hub/contract-review">e37e3c6a-0ae2-4d04-a9c7-ec5cfa2287ef</errorID>
      <errorWord xmlns="http://schemas.wps.cn/vas-ai-hub/contract-review">12-50万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12万—50万</item>
      </candidateList>
      <explain xmlns="http://schemas.wps.cn/vas-ai-hub/contract-review">1. “12-50万”中的单位“万”仅出现在后一个数字上，容易引起歧义；根据《现代汉语标点符号数字用法规范手册》，数字表示范围两边需要使用统一的格式。2.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3FD8F08A</paraID>
      <start xmlns="http://schemas.wps.cn/vas-ai-hub/contract-review">0</start>
      <end xmlns="http://schemas.wps.cn/vas-ai-hub/contract-review">13</end>
      <status xmlns="http://schemas.wps.cn/vas-ai-hub/contract-review">modified</status>
      <modifiedWord xmlns="http://schemas.wps.cn/vas-ai-hub/contract-review">12万—50万12-50万</modifiedWord>
      <trackRevisions xmlns="http://schemas.wps.cn/vas-ai-hub/contract-review">true</trackRevisions>
    </reviewItem>
    <reviewItem xmlns="http://schemas.wps.cn/vas-ai-hub/contract-review">
      <errorID xmlns="http://schemas.wps.cn/vas-ai-hub/contract-review">35ab0466-8483-4e01-82aa-410aedcb043d</errorID>
      <errorWord xmlns="http://schemas.wps.cn/vas-ai-hub/contract-review">12-50万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12万—50万</item>
      </candidateList>
      <explain xmlns="http://schemas.wps.cn/vas-ai-hub/contract-review">1. “12-50万”中的单位“万”仅出现在后一个数字上，容易引起歧义；根据《现代汉语标点符号数字用法规范手册》，数字表示范围两边需要使用统一的格式。2.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6B270885</paraID>
      <start xmlns="http://schemas.wps.cn/vas-ai-hub/contract-review">0</start>
      <end xmlns="http://schemas.wps.cn/vas-ai-hub/contract-review">13</end>
      <status xmlns="http://schemas.wps.cn/vas-ai-hub/contract-review">modified</status>
      <modifiedWord xmlns="http://schemas.wps.cn/vas-ai-hub/contract-review">12万—50万12-50万</modifiedWord>
      <trackRevisions xmlns="http://schemas.wps.cn/vas-ai-hub/contract-review">true</trackRevisions>
    </reviewItem>
    <reviewItem xmlns="http://schemas.wps.cn/vas-ai-hub/contract-review">
      <errorID xmlns="http://schemas.wps.cn/vas-ai-hub/contract-review">69d92885-877e-44a8-86b1-86786ef3f1ec</errorID>
      <errorWord xmlns="http://schemas.wps.cn/vas-ai-hub/contract-review">非物质文化遗产保护与传承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非物质文化遗产保护传承</item>
      </candidateList>
      <explain xmlns="http://schemas.wps.cn/vas-ai-hub/contract-review">词汇“非物质文化遗产保护传承”在特定场景下为固定表述形式，请确认此处的“非物质文化遗产保护与传承”是否存在不当。</explain>
      <paraID xmlns="http://schemas.wps.cn/vas-ai-hub/contract-review"> 46A1813</paraID>
      <start xmlns="http://schemas.wps.cn/vas-ai-hub/contract-review">2</start>
      <end xmlns="http://schemas.wps.cn/vas-ai-hub/contract-review">25</end>
      <status xmlns="http://schemas.wps.cn/vas-ai-hub/contract-review">modified</status>
      <modifiedWord xmlns="http://schemas.wps.cn/vas-ai-hub/contract-review">非物质文化遗产保护传承非物质文化遗产保护与传承</modifiedWord>
      <trackRevisions xmlns="http://schemas.wps.cn/vas-ai-hub/contract-review">true</trackRevisions>
    </reviewItem>
    <reviewItem xmlns="http://schemas.wps.cn/vas-ai-hub/contract-review">
      <errorID xmlns="http://schemas.wps.cn/vas-ai-hub/contract-review">82b2246c-bc2f-45fd-8402-0ad02e11f5df</errorID>
      <errorWord xmlns="http://schemas.wps.cn/vas-ai-hub/contract-review">50-120万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50万—120万</item>
      </candidateList>
      <explain xmlns="http://schemas.wps.cn/vas-ai-hub/contract-review">1. “50-120万”中的单位“万”仅出现在后一个数字上，容易引起歧义；根据《现代汉语标点符号数字用法规范手册》，数字表示范围两边需要使用统一的格式。2.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1AE31EC3</paraID>
      <start xmlns="http://schemas.wps.cn/vas-ai-hub/contract-review">14</start>
      <end xmlns="http://schemas.wps.cn/vas-ai-hub/contract-review">29</end>
      <status xmlns="http://schemas.wps.cn/vas-ai-hub/contract-review">modified</status>
      <modifiedWord xmlns="http://schemas.wps.cn/vas-ai-hub/contract-review">50万—120万50-120万</modifiedWord>
      <trackRevisions xmlns="http://schemas.wps.cn/vas-ai-hub/contract-review">true</trackRevisions>
    </reviewItem>
    <reviewItem xmlns="http://schemas.wps.cn/vas-ai-hub/contract-review">
      <errorID xmlns="http://schemas.wps.cn/vas-ai-hub/contract-review">727e7894-d31a-4085-a31a-3ee6a667ff4c</errorID>
      <errorWord xmlns="http://schemas.wps.cn/vas-ai-hub/contract-review">50-120万</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50万—120万</item>
      </candidateList>
      <explain xmlns="http://schemas.wps.cn/vas-ai-hub/contract-review">1. “50-120万”中的单位“万”仅出现在后一个数字上，容易引起歧义；根据《现代汉语标点符号数字用法规范手册》，数字表示范围两边需要使用统一的格式。2.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29211B93</paraID>
      <start xmlns="http://schemas.wps.cn/vas-ai-hub/contract-review">14</start>
      <end xmlns="http://schemas.wps.cn/vas-ai-hub/contract-review">29</end>
      <status xmlns="http://schemas.wps.cn/vas-ai-hub/contract-review">modified</status>
      <modifiedWord xmlns="http://schemas.wps.cn/vas-ai-hub/contract-review">50万—120万50-120万</modifiedWord>
      <trackRevisions xmlns="http://schemas.wps.cn/vas-ai-hub/contract-review">true</trackRevisions>
    </reviewItem>
    <reviewItem xmlns="http://schemas.wps.cn/vas-ai-hub/contract-review">
      <errorID xmlns="http://schemas.wps.cn/vas-ai-hub/contract-review">94147630-5fe0-4fb7-ab2f-802d5ee662f8</errorID>
      <errorWord xmlns="http://schemas.wps.cn/vas-ai-hub/contract-review">人次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人才</item>
      </candidateList>
      <explain xmlns="http://schemas.wps.cn/vas-ai-hub/contract-review">（人材）réncái〈名〉❶德才兼备的人；有某种特长的人：～难得｜～辈出。❷〈口〉指美丽端正的相貌：一表～｜有几分～。</explain>
      <paraID xmlns="http://schemas.wps.cn/vas-ai-hub/contract-review">7CA28D6A</paraID>
      <start xmlns="http://schemas.wps.cn/vas-ai-hub/contract-review">2</start>
      <end xmlns="http://schemas.wps.cn/vas-ai-hub/contract-review">6</end>
      <status xmlns="http://schemas.wps.cn/vas-ai-hub/contract-review">modified</status>
      <modifiedWord xmlns="http://schemas.wps.cn/vas-ai-hub/contract-review">人才人次</modifiedWord>
      <trackRevisions xmlns="http://schemas.wps.cn/vas-ai-hub/contract-review">true</trackRevisions>
    </reviewItem>
    <reviewItem xmlns="http://schemas.wps.cn/vas-ai-hub/contract-review">
      <errorID xmlns="http://schemas.wps.cn/vas-ai-hub/contract-review">ca702f86-7887-4436-9ef4-8820427381b6</errorID>
      <errorWord xmlns="http://schemas.wps.cn/vas-ai-hub/contract-review">文</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文件</item>
      </candidateList>
      <explain xmlns="http://schemas.wps.cn/vas-ai-hub/contract-review"/>
      <paraID xmlns="http://schemas.wps.cn/vas-ai-hub/contract-review"> F7E899A</paraID>
      <start xmlns="http://schemas.wps.cn/vas-ai-hub/contract-review">36</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e4cf2419-3e2c-4b48-b163-f4a64fd7bbe5</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C19D583</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2590ed11-bd2a-4e41-b986-76ad64094194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 E15C815</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744d9c90-38ff-4e49-ab31-770b857ed6b0</errorID>
      <errorWord xmlns="http://schemas.wps.cn/vas-ai-hub/contract-review">省委省政府</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省委、省政府</item>
      </candidateList>
      <explain xmlns="http://schemas.wps.cn/vas-ai-hub/contract-review">注意检查当前固定表述标点是否使用规范。</explain>
      <paraID xmlns="http://schemas.wps.cn/vas-ai-hub/contract-review"> 7B67492</paraID>
      <start xmlns="http://schemas.wps.cn/vas-ai-hub/contract-review">0</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2d6e5e5e-5e12-4e55-beac-0a55583ab2e6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5B537F64</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5e59b7f8-bc46-44d1-a342-402798033eaf</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2C5B06A6</paraID>
      <start xmlns="http://schemas.wps.cn/vas-ai-hub/contract-review">29</start>
      <end xmlns="http://schemas.wps.cn/vas-ai-hub/contract-review">31</end>
      <status xmlns="http://schemas.wps.cn/vas-ai-hub/contract-review">modified</status>
      <modifiedWord xmlns="http://schemas.wps.cn/vas-ai-hub/contract-review">截至</modifiedWord>
      <trackRevisions xmlns="http://schemas.wps.cn/vas-ai-hub/contract-review">true</trackRevisions>
    </reviewItem>
    <reviewItem xmlns="http://schemas.wps.cn/vas-ai-hub/contract-review">
      <errorID xmlns="http://schemas.wps.cn/vas-ai-hub/contract-review">9475c1e4-8a68-4fe0-a986-3b14ee27d370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1C785AC6</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81990382-7ea4-4aa4-8541-f1c0ab8e0aa3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322E6D1C</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d0f7e085-a89c-488b-beec-39f90e203b1a</errorID>
      <errorWord xmlns="http://schemas.wps.cn/vas-ai-hub/contract-review">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间为</item>
      </candidateList>
      <explain xmlns="http://schemas.wps.cn/vas-ai-hub/contract-review"/>
      <paraID xmlns="http://schemas.wps.cn/vas-ai-hub/contract-review">2A22AFB5</paraID>
      <start xmlns="http://schemas.wps.cn/vas-ai-hub/contract-review">18</start>
      <end xmlns="http://schemas.wps.cn/vas-ai-hub/contract-review">20</end>
      <status xmlns="http://schemas.wps.cn/vas-ai-hub/contract-review">modified</status>
      <modifiedWord xmlns="http://schemas.wps.cn/vas-ai-hub/contract-review">间为</modifiedWord>
      <trackRevisions xmlns="http://schemas.wps.cn/vas-ai-hub/contract-review">true</trackRevisions>
    </reviewItem>
    <reviewItem xmlns="http://schemas.wps.cn/vas-ai-hub/contract-review">
      <errorID xmlns="http://schemas.wps.cn/vas-ai-hub/contract-review">b0af0967-84ed-4237-bd5f-44fd9a6d32de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3572D904</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f976742e-a16d-42e6-b8ad-d64733d3558d</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5A2C49BD</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4b3daeea-7e5e-43e5-8e94-04029aa3ee5e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6A98D11F</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da3ff1a0-5bbe-4f9a-896e-7100604c2515</errorID>
      <errorWord xmlns="http://schemas.wps.cn/vas-ai-hub/contract-review">截止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item>
      </candidateList>
      <explain xmlns="http://schemas.wps.cn/vas-ai-hub/contract-review">存在发音相同字词的误用。</explain>
      <paraID xmlns="http://schemas.wps.cn/vas-ai-hub/contract-review">4F5DE1BE</paraID>
      <start xmlns="http://schemas.wps.cn/vas-ai-hub/contract-review">35</start>
      <end xmlns="http://schemas.wps.cn/vas-ai-hub/contract-review">37</end>
      <status xmlns="http://schemas.wps.cn/vas-ai-hub/contract-review">modified</status>
      <modifiedWord xmlns="http://schemas.wps.cn/vas-ai-hub/contract-review">截至</modifiedWord>
      <trackRevisions xmlns="http://schemas.wps.cn/vas-ai-hub/contract-review">true</trackRevisions>
    </reviewItem>
    <reviewItem xmlns="http://schemas.wps.cn/vas-ai-hub/contract-review">
      <errorID xmlns="http://schemas.wps.cn/vas-ai-hub/contract-review">e0adb6b3-13e7-4767-bed7-b93eeaa8671d</errorID>
      <errorWord xmlns="http://schemas.wps.cn/vas-ai-hub/contract-review">主要原因为一是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主要原因一是</item>
      </candidateList>
      <explain xmlns="http://schemas.wps.cn/vas-ai-hub/contract-review"/>
      <paraID xmlns="http://schemas.wps.cn/vas-ai-hub/contract-review">4F5DE1BE</paraID>
      <start xmlns="http://schemas.wps.cn/vas-ai-hub/contract-review">67</start>
      <end xmlns="http://schemas.wps.cn/vas-ai-hub/contract-review">73</end>
      <status xmlns="http://schemas.wps.cn/vas-ai-hub/contract-review">modified</status>
      <modifiedWord xmlns="http://schemas.wps.cn/vas-ai-hub/contract-review">主要原因一是</modifiedWord>
      <trackRevisions xmlns="http://schemas.wps.cn/vas-ai-hub/contract-review">true</trackRevisions>
    </reviewItem>
    <reviewItem xmlns="http://schemas.wps.cn/vas-ai-hub/contract-review">
      <errorID xmlns="http://schemas.wps.cn/vas-ai-hub/contract-review">893e1dc1-e6ce-4956-8113-7d914a521dcf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AAE78DC</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3df04f59-c09b-490d-a888-54ca3dbbc390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334F611D</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cfd04603-d8a7-4a89-9540-06d8b7f07ac6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1757C087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2111a94b-6049-4e1b-ac7d-ede6c7151cc6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262B645F</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b550ccde-a58b-4311-8066-b056064cec19</errorID>
      <errorWord xmlns="http://schemas.wps.cn/vas-ai-hub/contract-review">提提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提</item>
      </candidateList>
      <explain xmlns="http://schemas.wps.cn/vas-ai-hub/contract-review"/>
      <paraID xmlns="http://schemas.wps.cn/vas-ai-hub/contract-review">21CB6175</paraID>
      <start xmlns="http://schemas.wps.cn/vas-ai-hub/contract-review">71</start>
      <end xmlns="http://schemas.wps.cn/vas-ai-hub/contract-review">72</end>
      <status xmlns="http://schemas.wps.cn/vas-ai-hub/contract-review">modified</status>
      <modifiedWord xmlns="http://schemas.wps.cn/vas-ai-hub/contract-review">提</modifiedWord>
      <trackRevisions xmlns="http://schemas.wps.cn/vas-ai-hub/contract-review">true</trackRevisions>
    </reviewItem>
    <reviewItem xmlns="http://schemas.wps.cn/vas-ai-hub/contract-review">
      <errorID xmlns="http://schemas.wps.cn/vas-ai-hub/contract-review">7011f3ab-62fa-4fd3-b592-64dd66dc3093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7115566B</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ed3e2dc8-56ac-438e-ab3a-a4a6ae943323</errorID>
      <errorWord xmlns="http://schemas.wps.cn/vas-ai-hub/contract-review">至2025年12</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截至2025年12</item>
      </candidateList>
      <explain xmlns="http://schemas.wps.cn/vas-ai-hub/contract-review"/>
      <paraID xmlns="http://schemas.wps.cn/vas-ai-hub/contract-review">55F729F4</paraID>
      <start xmlns="http://schemas.wps.cn/vas-ai-hub/contract-review">25</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01c29152-8833-4de1-8d57-a84c1d7ccbb9</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5D5BA179</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10643581-ab83-4063-a08f-6d95d3d713b1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3DCD24C1</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769d3d1a-c161-4188-8ef4-8a395147996e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3DCD24C1</paraID>
      <start xmlns="http://schemas.wps.cn/vas-ai-hub/contract-review">59</start>
      <end xmlns="http://schemas.wps.cn/vas-ai-hub/contract-review">60</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e6a509d7-4e42-49b7-a8ce-4682d1f7b0ab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61507827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c4acef90-c9aa-47d6-8d78-30361fdae4ef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41F16C37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5ec62a04-b83e-4d71-ba2f-cde47e1ce116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664931F1</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1cb784c0-1c50-44be-a72f-8487e1370646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62FD174E</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3d3fd36e-e65c-49b7-adea-820efc9906b6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1C8309BA</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0d9ca1ca-4eac-470a-a08d-ad9169b37f31</errorID>
      <errorWord xmlns="http://schemas.wps.cn/vas-ai-hub/contract-review">已完成已完成</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已完成</item>
      </candidateList>
      <explain xmlns="http://schemas.wps.cn/vas-ai-hub/contract-review"/>
      <paraID xmlns="http://schemas.wps.cn/vas-ai-hub/contract-review">72C82680</paraID>
      <start xmlns="http://schemas.wps.cn/vas-ai-hub/contract-review">130</start>
      <end xmlns="http://schemas.wps.cn/vas-ai-hub/contract-review">133</end>
      <status xmlns="http://schemas.wps.cn/vas-ai-hub/contract-review">modified</status>
      <modifiedWord xmlns="http://schemas.wps.cn/vas-ai-hub/contract-review">已完成</modifiedWord>
      <trackRevisions xmlns="http://schemas.wps.cn/vas-ai-hub/contract-review">true</trackRevisions>
    </reviewItem>
    <reviewItem xmlns="http://schemas.wps.cn/vas-ai-hub/contract-review">
      <errorID xmlns="http://schemas.wps.cn/vas-ai-hub/contract-review">034d55aa-01b1-469b-870a-a92579bd5e6f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73205C8C</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fadf85f7-9967-4871-a71a-532208afbcce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50E8E938</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28c97509-04a8-42fd-b084-bb831347c03a</errorID>
      <errorWord xmlns="http://schemas.wps.cn/vas-ai-hub/contract-review">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性和</item>
      </candidateList>
      <explain xmlns="http://schemas.wps.cn/vas-ai-hub/contract-review"/>
      <paraID xmlns="http://schemas.wps.cn/vas-ai-hub/contract-review">76FFD835</paraID>
      <start xmlns="http://schemas.wps.cn/vas-ai-hub/contract-review">117</start>
      <end xmlns="http://schemas.wps.cn/vas-ai-hub/contract-review">119</end>
      <status xmlns="http://schemas.wps.cn/vas-ai-hub/contract-review">modified</status>
      <modifiedWord xmlns="http://schemas.wps.cn/vas-ai-hub/contract-review">性和</modifiedWord>
      <trackRevisions xmlns="http://schemas.wps.cn/vas-ai-hub/contract-review">true</trackRevisions>
    </reviewItem>
    <reviewItem xmlns="http://schemas.wps.cn/vas-ai-hub/contract-review">
      <errorID xmlns="http://schemas.wps.cn/vas-ai-hub/contract-review">14927c54-8d2e-4add-bd9c-17d9b07064f2</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706C2F8A</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d02b9069-b380-4ced-86df-4e07fa19d9d3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7219C5B7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8bbde6d2-0b1d-47cc-82ca-27e64094e6b5</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673E9051</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3cbe6f10-8123-4964-8e4f-5210bb3e932a</errorID>
      <errorWord xmlns="http://schemas.wps.cn/vas-ai-hub/contract-review">年度</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年底</item>
      </candidateList>
      <explain xmlns="http://schemas.wps.cn/vas-ai-hub/contract-review">存在发音相近字词的误用。</explain>
      <paraID xmlns="http://schemas.wps.cn/vas-ai-hub/contract-review">488DC638</paraID>
      <start xmlns="http://schemas.wps.cn/vas-ai-hub/contract-review">73</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aad07e19-2b75-400a-95fb-23e202dbea79</errorID>
      <errorWord xmlns="http://schemas.wps.cn/vas-ai-hub/contract-review">通道县</errorWord>
      <group xmlns="http://schemas.wps.cn/vas-ai-hub/contract-review">L1_Knowledge</group>
      <groupName xmlns="http://schemas.wps.cn/vas-ai-hub/contract-review">知识性问题</groupName>
      <ability xmlns="http://schemas.wps.cn/vas-ai-hub/contract-review">L2_Location</ability>
      <abilityName xmlns="http://schemas.wps.cn/vas-ai-hub/contract-review">地名检查</abilityName>
      <candidateList xmlns="http://schemas.wps.cn/vas-ai-hub/contract-review">
        <item xmlns="http://schemas.wps.cn/vas-ai-hub/contract-review">通道侗族自治县</item>
      </candidateList>
      <explain xmlns="http://schemas.wps.cn/vas-ai-hub/contract-review">自治区州县缩写不规范。《地名管理条例》第十八条规定，标识牌、公共平台发布的信息、各类公文证件、学习类公开出版物、地图、法律法规规定等场景范围内必须使用标准地名。</explain>
      <paraID xmlns="http://schemas.wps.cn/vas-ai-hub/contract-review">7E55586D</paraID>
      <start xmlns="http://schemas.wps.cn/vas-ai-hub/contract-review">0</start>
      <end xmlns="http://schemas.wps.cn/vas-ai-hub/contract-review">7</end>
      <status xmlns="http://schemas.wps.cn/vas-ai-hub/contract-review">modified</status>
      <modifiedWord xmlns="http://schemas.wps.cn/vas-ai-hub/contract-review">通道侗族自治县</modifiedWord>
      <trackRevisions xmlns="http://schemas.wps.cn/vas-ai-hub/contract-review">true</trackRevisions>
    </reviewItem>
    <reviewItem xmlns="http://schemas.wps.cn/vas-ai-hub/contract-review">
      <errorID xmlns="http://schemas.wps.cn/vas-ai-hub/contract-review">ba721ad7-022e-4238-b29c-be2aacd748ab</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2952F505</paraID>
      <start xmlns="http://schemas.wps.cn/vas-ai-hub/contract-review">0</start>
      <end xmlns="http://schemas.wps.cn/vas-ai-hub/contract-review">2</end>
      <status xmlns="http://schemas.wps.cn/vas-ai-hub/contract-review">modified</status>
      <modifiedWord xmlns="http://schemas.wps.cn/vas-ai-hub/contract-review">1.</modifiedWord>
      <trackRevisions xmlns="http://schemas.wps.cn/vas-ai-hub/contract-review">true</trackRevisions>
    </reviewItem>
    <reviewItem xmlns="http://schemas.wps.cn/vas-ai-hub/contract-review">
      <errorID xmlns="http://schemas.wps.cn/vas-ai-hub/contract-review">ec1d68c0-24e1-44e5-9b86-d30bb994b1c2</errorID>
      <errorWord xmlns="http://schemas.wps.cn/vas-ai-hub/contract-review">[2024]82号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〔2024〕82号</item>
      </candidateList>
      <explain xmlns="http://schemas.wps.cn/vas-ai-hub/contract-review">发文字号格式错误。</explain>
      <paraID xmlns="http://schemas.wps.cn/vas-ai-hub/contract-review">17B187F3</paraID>
      <start xmlns="http://schemas.wps.cn/vas-ai-hub/contract-review">4</start>
      <end xmlns="http://schemas.wps.cn/vas-ai-hub/contract-review">13</end>
      <status xmlns="http://schemas.wps.cn/vas-ai-hub/contract-review">modified</status>
      <modifiedWord xmlns="http://schemas.wps.cn/vas-ai-hub/contract-review">〔2024〕82号</modifiedWord>
      <trackRevisions xmlns="http://schemas.wps.cn/vas-ai-hub/contract-review">true</trackRevisions>
    </reviewItem>
    <reviewItem xmlns="http://schemas.wps.cn/vas-ai-hub/contract-review">
      <errorID xmlns="http://schemas.wps.cn/vas-ai-hub/contract-review">a4c78d05-a2fc-4bf1-b81c-68142eb78eb4</errorID>
      <errorWord xmlns="http://schemas.wps.cn/vas-ai-hub/contract-review">[2024]82号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〔2024〕82号</item>
      </candidateList>
      <explain xmlns="http://schemas.wps.cn/vas-ai-hub/contract-review">发文字号格式错误。</explain>
      <paraID xmlns="http://schemas.wps.cn/vas-ai-hub/contract-review">67F123F6</paraID>
      <start xmlns="http://schemas.wps.cn/vas-ai-hub/contract-review">4</start>
      <end xmlns="http://schemas.wps.cn/vas-ai-hub/contract-review">13</end>
      <status xmlns="http://schemas.wps.cn/vas-ai-hub/contract-review">modified</status>
      <modifiedWord xmlns="http://schemas.wps.cn/vas-ai-hub/contract-review">〔2024〕82号</modifiedWord>
      <trackRevisions xmlns="http://schemas.wps.cn/vas-ai-hub/contract-review">true</trackRevisions>
    </reviewItem>
    <reviewItem xmlns="http://schemas.wps.cn/vas-ai-hub/contract-review">
      <errorID xmlns="http://schemas.wps.cn/vas-ai-hub/contract-review">69cbdb2a-cb97-4c03-b939-0f0193346fe4</errorID>
      <errorWord xmlns="http://schemas.wps.cn/vas-ai-hub/contract-review">[2024]82号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〔2024〕82号</item>
      </candidateList>
      <explain xmlns="http://schemas.wps.cn/vas-ai-hub/contract-review">发文字号格式错误。</explain>
      <paraID xmlns="http://schemas.wps.cn/vas-ai-hub/contract-review">33C44BFF</paraID>
      <start xmlns="http://schemas.wps.cn/vas-ai-hub/contract-review">4</start>
      <end xmlns="http://schemas.wps.cn/vas-ai-hub/contract-review">13</end>
      <status xmlns="http://schemas.wps.cn/vas-ai-hub/contract-review">modified</status>
      <modifiedWord xmlns="http://schemas.wps.cn/vas-ai-hub/contract-review">〔2024〕82号</modifiedWord>
      <trackRevisions xmlns="http://schemas.wps.cn/vas-ai-hub/contract-review">true</trackRevisions>
    </reviewItem>
    <reviewItem xmlns="http://schemas.wps.cn/vas-ai-hub/contract-review">
      <errorID xmlns="http://schemas.wps.cn/vas-ai-hub/contract-review">c07c1b58-08c2-4135-876d-de8554809a46</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55E6B0B</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65f638ed-8477-4437-9472-a26818e9f01b</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6056CB11</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4238a47a-243a-43c6-b28b-dd4cfe7d88be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7F2138FE</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51efa3ac-6e6c-44d6-a4fe-cdbf3050d0ee</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77E92437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39a6e187-4fd1-4231-b10d-eb31529d40bc</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36E43435</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10245092-42c6-413c-95d2-735e958ef153</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733C6540</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c0f2986d-1ad7-4c2a-9451-c322097f697f</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5D523A7C</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116d75e8-1e9a-4ee4-8cd0-5505ae3525fc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310D44A8</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d63d751e-4aac-4203-a3b3-0d566361d13c</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6CCCBC92</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e2b16e43-4fdc-4697-9b7d-046e037cf06d</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4D62C19F</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2c10bc9a-ec6f-473d-b06a-e824c802d0e5</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 91432BB</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5d72c6a9-29db-416a-9667-53362ee1f941</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24C6089A</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d6969865-0462-4f5c-b8c6-f981e143f180</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3246CF36</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6e03cf7b-196f-41d7-8abd-b68099da8c68</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64C65D4B</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295c4937-0087-411b-850a-b6fcca0da0f0</errorID>
      <errorWord xmlns="http://schemas.wps.cn/vas-ai-hub/contract-review">〔2024〕 71号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〔2024〕71号</item>
      </candidateList>
      <explain xmlns="http://schemas.wps.cn/vas-ai-hub/contract-review">发文字号格式错误。</explain>
      <paraID xmlns="http://schemas.wps.cn/vas-ai-hub/contract-review">482A32CA</paraID>
      <start xmlns="http://schemas.wps.cn/vas-ai-hub/contract-review">4</start>
      <end xmlns="http://schemas.wps.cn/vas-ai-hub/contract-review">13</end>
      <status xmlns="http://schemas.wps.cn/vas-ai-hub/contract-review">modified</status>
      <modifiedWord xmlns="http://schemas.wps.cn/vas-ai-hub/contract-review">〔2024〕71号</modifiedWord>
      <trackRevisions xmlns="http://schemas.wps.cn/vas-ai-hub/contract-review">true</trackRevisions>
    </reviewItem>
    <reviewItem xmlns="http://schemas.wps.cn/vas-ai-hub/contract-review">
      <errorID xmlns="http://schemas.wps.cn/vas-ai-hub/contract-review">59390298-5ec8-4063-b279-9b0e5701a569</errorID>
      <errorWord xmlns="http://schemas.wps.cn/vas-ai-hub/contract-review">〔2024〕 71号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〔2024〕71号</item>
      </candidateList>
      <explain xmlns="http://schemas.wps.cn/vas-ai-hub/contract-review">发文字号格式错误。</explain>
      <paraID xmlns="http://schemas.wps.cn/vas-ai-hub/contract-review">35E36737</paraID>
      <start xmlns="http://schemas.wps.cn/vas-ai-hub/contract-review">4</start>
      <end xmlns="http://schemas.wps.cn/vas-ai-hub/contract-review">13</end>
      <status xmlns="http://schemas.wps.cn/vas-ai-hub/contract-review">modified</status>
      <modifiedWord xmlns="http://schemas.wps.cn/vas-ai-hub/contract-review">〔2024〕71号</modifiedWord>
      <trackRevisions xmlns="http://schemas.wps.cn/vas-ai-hub/contract-review">true</trackRevisions>
    </reviewItem>
    <reviewItem xmlns="http://schemas.wps.cn/vas-ai-hub/contract-review">
      <errorID xmlns="http://schemas.wps.cn/vas-ai-hub/contract-review">ed8c50c2-1b5e-4a8d-8a8e-0038ca2a012d</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76B865F1</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0b654474-d1dc-4012-9881-42f38d21671c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5F5FCC61</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d470b116-d1a1-4b98-8ac5-fe20280febc6</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5F5FCC61</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true</trackRevisions>
    </reviewItem>
    <reviewItem xmlns="http://schemas.wps.cn/vas-ai-hub/contract-review">
      <errorID xmlns="http://schemas.wps.cn/vas-ai-hub/contract-review">bee00068-b76d-48e6-bec1-7f85b27f3eec</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4619F7E7</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 xmlns="http://schemas.wps.cn/vas-ai-hub/contract-review">
      <errorID xmlns="http://schemas.wps.cn/vas-ai-hub/contract-review">8f69edff-8e06-48b9-851c-245088cd6f5a</errorID>
      <errorWord xmlns="http://schemas.wps.cn/vas-ai-hub/contract-review">[2025]60号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〔2025〕60号</item>
      </candidateList>
      <explain xmlns="http://schemas.wps.cn/vas-ai-hub/contract-review">发文字号格式错误。</explain>
      <paraID xmlns="http://schemas.wps.cn/vas-ai-hub/contract-review">5C9D7CD9</paraID>
      <start xmlns="http://schemas.wps.cn/vas-ai-hub/contract-review">4</start>
      <end xmlns="http://schemas.wps.cn/vas-ai-hub/contract-review">13</end>
      <status xmlns="http://schemas.wps.cn/vas-ai-hub/contract-review">modified</status>
      <modifiedWord xmlns="http://schemas.wps.cn/vas-ai-hub/contract-review">〔2025〕60号</modifiedWord>
      <trackRevisions xmlns="http://schemas.wps.cn/vas-ai-hub/contract-review">true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161af6-c7bb-4e65-8d99-f4fbca77bc47}">
  <ds:schemaRefs/>
</ds:datastoreItem>
</file>

<file path=docProps/app.xml><?xml version="1.0" encoding="utf-8"?>
<Properties xmlns="http://schemas.openxmlformats.org/officeDocument/2006/extended-properties" xmlns:vt="http://schemas.openxmlformats.org/officeDocument/2006/docPropsVTypes">
  <Pages>81</Pages>
  <Words>4598</Words>
  <Characters>5263</Characters>
  <Lines>1</Lines>
  <Paragraphs>1</Paragraphs>
  <TotalTime>21</TotalTime>
  <ScaleCrop>false</ScaleCrop>
  <LinksUpToDate>false</LinksUpToDate>
  <CharactersWithSpaces>5310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2021-06-03T08:45:00Z</dcterms:created>
  <dc:creator>For example</dc:creator>
  <cp:lastModifiedBy>greatwall</cp:lastModifiedBy>
  <cp:lastPrinted>2025-07-15T01:51:00Z</cp:lastPrinted>
  <dcterms:modified xsi:type="dcterms:W3CDTF">2026-09-01T08:43:18Z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A80495D59BE181B4A61F966A7D73D0B5_43</vt:lpwstr>
  </property>
  <property fmtid="{D5CDD505-2E9C-101B-9397-08002B2CF9AE}" pid="4" name="KSOSaveFontToCloudKey">
    <vt:lpwstr>704255165_btnclosed</vt:lpwstr>
  </property>
  <property fmtid="{D5CDD505-2E9C-101B-9397-08002B2CF9AE}" pid="5" name="KSOTemplateDocerSaveRecord">
    <vt:lpwstr>eyJoZGlkIjoiNTc1OWMzYWFkMmQ1NDlhYTdjNWYwYWRjMzgwYmFjMjEiLCJ1c2VySWQiOiI3MDQyNTUxNjUifQ==</vt:lpwstr>
  </property>
</Properties>
</file>