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75F7ED">
      <w:pPr>
        <w:keepNext w:val="0"/>
        <w:keepLines w:val="0"/>
        <w:pageBreakBefore w:val="0"/>
        <w:widowControl w:val="0"/>
        <w:pBdr>
          <w:top w:val="none" w:color="auto" w:sz="0" w:space="1"/>
          <w:left w:val="none" w:color="auto" w:sz="0" w:space="4"/>
          <w:bottom w:val="none" w:color="auto" w:sz="0" w:space="0"/>
          <w:right w:val="none" w:color="auto" w:sz="0" w:space="4"/>
          <w:between w:val="none" w:color="auto" w:sz="0" w:space="0"/>
        </w:pBdr>
        <w:kinsoku/>
        <w:wordWrap/>
        <w:overflowPunct/>
        <w:topLinePunct w:val="0"/>
        <w:autoSpaceDE/>
        <w:autoSpaceDN/>
        <w:bidi w:val="0"/>
        <w:adjustRightInd/>
        <w:snapToGrid w:val="0"/>
        <w:spacing w:line="600" w:lineRule="exact"/>
        <w:jc w:val="center"/>
        <w:textAlignment w:val="auto"/>
        <w:rPr>
          <w:rFonts w:hint="eastAsia" w:ascii="Times New Roman" w:hAnsi="Times New Roman" w:eastAsia="方正小标宋简体"/>
          <w:b w:val="0"/>
          <w:bCs w:val="0"/>
          <w:sz w:val="44"/>
          <w:szCs w:val="44"/>
        </w:rPr>
      </w:pPr>
      <w:r>
        <w:rPr>
          <w:rFonts w:ascii="仿宋_GB2312" w:eastAsia="仿宋_GB2312"/>
          <w:sz w:val="32"/>
          <w:szCs w:val="32"/>
        </w:rPr>
        <mc:AlternateContent>
          <mc:Choice Requires="wps">
            <w:drawing>
              <wp:anchor distT="0" distB="0" distL="114300" distR="114300" simplePos="0" relativeHeight="251660288" behindDoc="0" locked="0" layoutInCell="1" allowOverlap="1">
                <wp:simplePos x="0" y="0"/>
                <wp:positionH relativeFrom="column">
                  <wp:posOffset>-47625</wp:posOffset>
                </wp:positionH>
                <wp:positionV relativeFrom="paragraph">
                  <wp:posOffset>137160</wp:posOffset>
                </wp:positionV>
                <wp:extent cx="5755640" cy="0"/>
                <wp:effectExtent l="0" t="13970" r="16510" b="24130"/>
                <wp:wrapSquare wrapText="bothSides"/>
                <wp:docPr id="5" name="直接连接符 5"/>
                <wp:cNvGraphicFramePr/>
                <a:graphic xmlns:a="http://schemas.openxmlformats.org/drawingml/2006/main">
                  <a:graphicData uri="http://schemas.microsoft.com/office/word/2010/wordprocessingShape">
                    <wps:wsp>
                      <wps:cNvCnPr/>
                      <wps:spPr>
                        <a:xfrm>
                          <a:off x="0" y="0"/>
                          <a:ext cx="5755640" cy="0"/>
                        </a:xfrm>
                        <a:prstGeom prst="line">
                          <a:avLst/>
                        </a:prstGeom>
                        <a:ln w="28575" cap="flat" cmpd="sng">
                          <a:solidFill>
                            <a:schemeClr val="bg1"/>
                          </a:solidFill>
                          <a:prstDash val="solid"/>
                          <a:round/>
                          <a:headEnd type="none" w="med" len="med"/>
                          <a:tailEnd type="none" w="med" len="med"/>
                        </a:ln>
                      </wps:spPr>
                      <wps:bodyPr upright="1"/>
                    </wps:wsp>
                  </a:graphicData>
                </a:graphic>
              </wp:anchor>
            </w:drawing>
          </mc:Choice>
          <mc:Fallback>
            <w:pict>
              <v:line id="_x0000_s1026" o:spid="_x0000_s1026" o:spt="20" style="position:absolute;left:0pt;margin-left:-3.75pt;margin-top:10.8pt;height:0pt;width:453.2pt;mso-wrap-distance-bottom:0pt;mso-wrap-distance-left:9pt;mso-wrap-distance-right:9pt;mso-wrap-distance-top:0pt;z-index:251660288;mso-width-relative:page;mso-height-relative:page;" filled="f" stroked="t" coordsize="21600,21600" o:gfxdata="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DgM1RLUAAAACAEAAA8AAAAAAAAAAQAgAAAAIgAAAGRycy9kb3ducmV2LnhtbFBL&#10;AQIUABQAAAAIAIdO4kCHQnzE+gEAAO8DAAAOAAAAAAAAAAEAIAAAACMBAABkcnMvZTJvRG9jLnht&#10;bFBLBQYAAAAABgAGAFkBAACPBQAAAAA=&#10;">
                <v:fill on="f" focussize="0,0"/>
                <v:stroke weight="2.25pt" color="#FFFFFF [3212]" joinstyle="round"/>
                <v:imagedata o:title=""/>
                <o:lock v:ext="edit" aspectratio="f"/>
                <w10:wrap type="square"/>
              </v:line>
            </w:pict>
          </mc:Fallback>
        </mc:AlternateContent>
      </w:r>
      <w:r>
        <w:rPr>
          <w:rFonts w:hint="eastAsia" w:ascii="Times New Roman" w:hAnsi="Times New Roman" w:eastAsia="方正小标宋简体"/>
          <w:b w:val="0"/>
          <w:bCs w:val="0"/>
          <w:sz w:val="44"/>
          <w:szCs w:val="44"/>
        </w:rPr>
        <w:t>湖南省文化和旅游厅</w:t>
      </w:r>
    </w:p>
    <w:p w14:paraId="7B4A3BD8">
      <w:pPr>
        <w:keepNext w:val="0"/>
        <w:keepLines w:val="0"/>
        <w:pageBreakBefore w:val="0"/>
        <w:widowControl w:val="0"/>
        <w:pBdr>
          <w:top w:val="none" w:color="auto" w:sz="0" w:space="1"/>
          <w:left w:val="none" w:color="auto" w:sz="0" w:space="4"/>
          <w:bottom w:val="none" w:color="auto" w:sz="0" w:space="0"/>
          <w:right w:val="none" w:color="auto" w:sz="0" w:space="4"/>
          <w:between w:val="none" w:color="auto" w:sz="0" w:space="0"/>
        </w:pBdr>
        <w:kinsoku/>
        <w:wordWrap/>
        <w:overflowPunct/>
        <w:topLinePunct w:val="0"/>
        <w:autoSpaceDE/>
        <w:autoSpaceDN/>
        <w:bidi w:val="0"/>
        <w:adjustRightInd/>
        <w:snapToGrid w:val="0"/>
        <w:spacing w:line="600" w:lineRule="exact"/>
        <w:jc w:val="center"/>
        <w:textAlignment w:val="auto"/>
        <w:rPr>
          <w:rFonts w:hint="eastAsia" w:ascii="Times New Roman" w:hAnsi="Times New Roman" w:eastAsia="方正小标宋简体" w:cs="方正小标宋简体"/>
          <w:kern w:val="2"/>
          <w:sz w:val="44"/>
          <w:szCs w:val="44"/>
          <w:lang w:val="en-US" w:eastAsia="zh-CN" w:bidi="ar"/>
        </w:rPr>
      </w:pPr>
      <w:r>
        <w:rPr>
          <w:rFonts w:hint="eastAsia" w:ascii="Times New Roman" w:hAnsi="Times New Roman" w:eastAsia="方正小标宋简体" w:cs="方正小标宋简体"/>
          <w:b/>
          <w:bCs/>
          <w:kern w:val="2"/>
          <w:sz w:val="44"/>
          <w:szCs w:val="44"/>
          <w:lang w:val="en-US" w:eastAsia="zh-CN" w:bidi="ar"/>
        </w:rPr>
        <w:t>2025</w:t>
      </w:r>
      <w:r>
        <w:rPr>
          <w:rFonts w:hint="eastAsia" w:ascii="Times New Roman" w:hAnsi="Times New Roman" w:eastAsia="方正小标宋简体" w:cs="方正小标宋简体"/>
          <w:kern w:val="2"/>
          <w:sz w:val="44"/>
          <w:szCs w:val="44"/>
          <w:lang w:val="en-US" w:eastAsia="zh-CN" w:bidi="ar"/>
        </w:rPr>
        <w:t>年度</w:t>
      </w:r>
      <w:r>
        <w:rPr>
          <w:rFonts w:hint="eastAsia" w:eastAsia="方正小标宋简体" w:cs="方正小标宋简体"/>
          <w:kern w:val="2"/>
          <w:sz w:val="44"/>
          <w:szCs w:val="44"/>
          <w:lang w:val="en-US" w:eastAsia="zh-CN" w:bidi="ar"/>
        </w:rPr>
        <w:t>“三馆一站”免费开放</w:t>
      </w:r>
      <w:r>
        <w:rPr>
          <w:rFonts w:hint="eastAsia" w:ascii="Times New Roman" w:hAnsi="Times New Roman" w:eastAsia="方正小标宋简体" w:cs="方正小标宋简体"/>
          <w:kern w:val="2"/>
          <w:sz w:val="44"/>
          <w:szCs w:val="44"/>
          <w:lang w:val="en-US" w:eastAsia="zh-CN" w:bidi="ar"/>
        </w:rPr>
        <w:t>补助资金</w:t>
      </w:r>
    </w:p>
    <w:p w14:paraId="1E68E315">
      <w:pPr>
        <w:pStyle w:val="6"/>
        <w:keepNext w:val="0"/>
        <w:keepLines w:val="0"/>
        <w:pageBreakBefore w:val="0"/>
        <w:widowControl w:val="0"/>
        <w:kinsoku/>
        <w:wordWrap/>
        <w:overflowPunct/>
        <w:topLinePunct w:val="0"/>
        <w:autoSpaceDE/>
        <w:autoSpaceDN/>
        <w:bidi w:val="0"/>
        <w:adjustRightInd w:val="0"/>
        <w:snapToGrid w:val="0"/>
        <w:spacing w:after="0" w:line="600" w:lineRule="exact"/>
        <w:ind w:left="0" w:leftChars="0" w:right="0" w:rightChars="0" w:firstLine="0" w:firstLineChars="0"/>
        <w:jc w:val="center"/>
        <w:textAlignment w:val="auto"/>
        <w:rPr>
          <w:rFonts w:hint="eastAsia" w:ascii="Times New Roman" w:hAnsi="Times New Roman" w:eastAsia="方正小标宋简体" w:cs="Times New Roman"/>
          <w:kern w:val="2"/>
          <w:sz w:val="36"/>
          <w:szCs w:val="36"/>
        </w:rPr>
      </w:pPr>
      <w:r>
        <w:rPr>
          <w:rFonts w:hint="eastAsia" w:ascii="Times New Roman" w:hAnsi="Times New Roman" w:eastAsia="方正小标宋简体" w:cs="方正小标宋简体"/>
          <w:kern w:val="2"/>
          <w:sz w:val="44"/>
          <w:szCs w:val="44"/>
          <w:lang w:val="en-US" w:eastAsia="zh-CN" w:bidi="ar"/>
        </w:rPr>
        <w:t>绩效自</w:t>
      </w:r>
      <w:bookmarkStart w:id="3" w:name="_GoBack"/>
      <w:bookmarkEnd w:id="3"/>
      <w:r>
        <w:rPr>
          <w:rFonts w:hint="eastAsia" w:ascii="Times New Roman" w:hAnsi="Times New Roman" w:eastAsia="方正小标宋简体" w:cs="方正小标宋简体"/>
          <w:kern w:val="2"/>
          <w:sz w:val="44"/>
          <w:szCs w:val="44"/>
          <w:lang w:val="en-US" w:eastAsia="zh-CN" w:bidi="ar"/>
        </w:rPr>
        <w:t>评报告</w:t>
      </w:r>
    </w:p>
    <w:p w14:paraId="60CD9E14">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240" w:lineRule="auto"/>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p>
    <w:p w14:paraId="0A32827E">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根据</w:t>
      </w:r>
      <w:r>
        <w:rPr>
          <w:rFonts w:eastAsia="仿宋_GB2312"/>
          <w:color w:val="000000"/>
          <w:sz w:val="32"/>
          <w:szCs w:val="32"/>
        </w:rPr>
        <w:t>《财政部关于开展</w:t>
      </w:r>
      <w:r>
        <w:rPr>
          <w:rFonts w:ascii="Times New Roman" w:hAnsi="Times New Roman" w:eastAsia="仿宋_GB2312"/>
          <w:color w:val="000000"/>
          <w:sz w:val="32"/>
          <w:szCs w:val="32"/>
        </w:rPr>
        <w:t>20</w:t>
      </w:r>
      <w:r>
        <w:rPr>
          <w:rFonts w:hint="eastAsia" w:ascii="Times New Roman" w:hAnsi="Times New Roman" w:eastAsia="仿宋_GB2312"/>
          <w:color w:val="000000"/>
          <w:sz w:val="32"/>
          <w:szCs w:val="32"/>
          <w:lang w:val="en-US" w:eastAsia="zh-CN"/>
        </w:rPr>
        <w:t>25</w:t>
      </w:r>
      <w:r>
        <w:rPr>
          <w:rFonts w:eastAsia="仿宋_GB2312"/>
          <w:color w:val="000000"/>
          <w:sz w:val="32"/>
          <w:szCs w:val="32"/>
        </w:rPr>
        <w:t>年度中央对地方转移支付预算执行情况绩效自评工作的通知》（财监〔</w:t>
      </w:r>
      <w:r>
        <w:rPr>
          <w:rFonts w:ascii="Times New Roman" w:hAnsi="Times New Roman" w:eastAsia="仿宋_GB2312"/>
          <w:color w:val="000000"/>
          <w:sz w:val="32"/>
          <w:szCs w:val="32"/>
        </w:rPr>
        <w:t>202</w:t>
      </w:r>
      <w:r>
        <w:rPr>
          <w:rFonts w:hint="eastAsia" w:ascii="Times New Roman" w:hAnsi="Times New Roman" w:eastAsia="仿宋_GB2312"/>
          <w:color w:val="000000"/>
          <w:sz w:val="32"/>
          <w:szCs w:val="32"/>
          <w:lang w:val="en-US" w:eastAsia="zh-CN"/>
        </w:rPr>
        <w:t>6</w:t>
      </w:r>
      <w:r>
        <w:rPr>
          <w:rFonts w:eastAsia="仿宋_GB2312"/>
          <w:color w:val="000000"/>
          <w:sz w:val="32"/>
          <w:szCs w:val="32"/>
        </w:rPr>
        <w:t>〕</w:t>
      </w:r>
      <w:r>
        <w:rPr>
          <w:rFonts w:hint="eastAsia" w:ascii="Times New Roman" w:hAnsi="Times New Roman" w:eastAsia="仿宋_GB2312"/>
          <w:color w:val="000000"/>
          <w:sz w:val="32"/>
          <w:szCs w:val="32"/>
          <w:lang w:val="en-US" w:eastAsia="zh-CN"/>
        </w:rPr>
        <w:t>1</w:t>
      </w:r>
      <w:r>
        <w:rPr>
          <w:rFonts w:eastAsia="仿宋_GB2312"/>
          <w:color w:val="000000"/>
          <w:sz w:val="32"/>
          <w:szCs w:val="32"/>
        </w:rPr>
        <w:t>号）</w:t>
      </w:r>
      <w:r>
        <w:rPr>
          <w:rFonts w:hint="eastAsia" w:eastAsia="仿宋_GB2312"/>
          <w:color w:val="000000"/>
          <w:sz w:val="32"/>
          <w:szCs w:val="32"/>
          <w:lang w:eastAsia="zh-CN"/>
        </w:rPr>
        <w:t>、《湖南省财政厅关于做好</w:t>
      </w:r>
      <w:r>
        <w:rPr>
          <w:rFonts w:hint="eastAsia" w:ascii="Times New Roman" w:hAnsi="Times New Roman" w:eastAsia="仿宋_GB2312"/>
          <w:color w:val="000000"/>
          <w:sz w:val="32"/>
          <w:szCs w:val="32"/>
          <w:lang w:eastAsia="zh-CN"/>
        </w:rPr>
        <w:t>2025</w:t>
      </w:r>
      <w:r>
        <w:rPr>
          <w:rFonts w:hint="eastAsia" w:eastAsia="仿宋_GB2312"/>
          <w:color w:val="000000"/>
          <w:sz w:val="32"/>
          <w:szCs w:val="32"/>
          <w:lang w:eastAsia="zh-CN"/>
        </w:rPr>
        <w:t>年度全省中央转移支付资金绩效自评工作的通知》</w:t>
      </w:r>
      <w:r>
        <w:rPr>
          <w:rFonts w:eastAsia="仿宋_GB2312"/>
          <w:color w:val="000000"/>
          <w:sz w:val="32"/>
          <w:szCs w:val="32"/>
        </w:rPr>
        <w:t>（</w:t>
      </w:r>
      <w:r>
        <w:rPr>
          <w:rFonts w:hint="eastAsia" w:eastAsia="仿宋_GB2312"/>
          <w:color w:val="000000"/>
          <w:sz w:val="32"/>
          <w:szCs w:val="32"/>
          <w:lang w:eastAsia="zh-CN"/>
        </w:rPr>
        <w:t>湘</w:t>
      </w:r>
      <w:r>
        <w:rPr>
          <w:rFonts w:hint="eastAsia" w:eastAsia="仿宋_GB2312"/>
          <w:color w:val="000000"/>
          <w:sz w:val="32"/>
          <w:szCs w:val="32"/>
        </w:rPr>
        <w:t>财</w:t>
      </w:r>
      <w:r>
        <w:rPr>
          <w:rFonts w:hint="eastAsia" w:eastAsia="仿宋_GB2312"/>
          <w:color w:val="000000"/>
          <w:sz w:val="32"/>
          <w:szCs w:val="32"/>
          <w:lang w:eastAsia="zh-CN"/>
        </w:rPr>
        <w:t>绩</w:t>
      </w:r>
      <w:r>
        <w:rPr>
          <w:rFonts w:hint="eastAsia" w:eastAsia="仿宋_GB2312"/>
          <w:color w:val="000000"/>
          <w:sz w:val="32"/>
          <w:szCs w:val="32"/>
        </w:rPr>
        <w:t>〔</w:t>
      </w:r>
      <w:r>
        <w:rPr>
          <w:rFonts w:hint="eastAsia" w:ascii="Times New Roman" w:hAnsi="Times New Roman" w:eastAsia="仿宋_GB2312"/>
          <w:color w:val="000000"/>
          <w:sz w:val="32"/>
          <w:szCs w:val="32"/>
        </w:rPr>
        <w:t>2026</w:t>
      </w:r>
      <w:r>
        <w:rPr>
          <w:rFonts w:hint="eastAsia" w:eastAsia="仿宋_GB2312"/>
          <w:color w:val="000000"/>
          <w:sz w:val="32"/>
          <w:szCs w:val="32"/>
        </w:rPr>
        <w:t>〕</w:t>
      </w:r>
      <w:r>
        <w:rPr>
          <w:rFonts w:hint="eastAsia" w:ascii="Times New Roman" w:hAnsi="Times New Roman" w:eastAsia="仿宋_GB2312"/>
          <w:color w:val="000000"/>
          <w:sz w:val="32"/>
          <w:szCs w:val="32"/>
        </w:rPr>
        <w:t>1</w:t>
      </w:r>
      <w:r>
        <w:rPr>
          <w:rFonts w:hint="eastAsia" w:eastAsia="仿宋_GB2312"/>
          <w:color w:val="000000"/>
          <w:sz w:val="32"/>
          <w:szCs w:val="32"/>
        </w:rPr>
        <w:t>号</w:t>
      </w:r>
      <w:r>
        <w:rPr>
          <w:rFonts w:eastAsia="仿宋_GB2312"/>
          <w:color w:val="000000"/>
          <w:sz w:val="32"/>
          <w:szCs w:val="32"/>
        </w:rPr>
        <w:t>）</w:t>
      </w:r>
      <w:r>
        <w:rPr>
          <w:rFonts w:hint="eastAsia" w:eastAsia="仿宋_GB2312"/>
          <w:color w:val="000000"/>
          <w:sz w:val="32"/>
          <w:szCs w:val="32"/>
          <w:lang w:eastAsia="zh-CN"/>
        </w:rPr>
        <w:t>、《湖南省财政厅关于开展</w:t>
      </w:r>
      <w:r>
        <w:rPr>
          <w:rFonts w:hint="eastAsia" w:ascii="Times New Roman" w:hAnsi="Times New Roman" w:eastAsia="仿宋_GB2312"/>
          <w:color w:val="000000"/>
          <w:sz w:val="32"/>
          <w:szCs w:val="32"/>
          <w:lang w:eastAsia="zh-CN"/>
        </w:rPr>
        <w:t>2025</w:t>
      </w:r>
      <w:r>
        <w:rPr>
          <w:rFonts w:hint="eastAsia" w:eastAsia="仿宋_GB2312"/>
          <w:color w:val="000000"/>
          <w:sz w:val="32"/>
          <w:szCs w:val="32"/>
          <w:lang w:eastAsia="zh-CN"/>
        </w:rPr>
        <w:t>年度中央支持地方公共文化服务体系建设补助资金绩效评价的通知》</w:t>
      </w:r>
      <w:r>
        <w:rPr>
          <w:rFonts w:hint="eastAsia" w:ascii="Times New Roman" w:hAnsi="Times New Roman" w:eastAsia="仿宋_GB2312" w:cs="仿宋_GB2312"/>
          <w:kern w:val="2"/>
          <w:sz w:val="32"/>
          <w:szCs w:val="32"/>
          <w:lang w:val="en-US" w:eastAsia="zh-CN" w:bidi="ar"/>
        </w:rPr>
        <w:t>文件精神，我厅组织开展了</w:t>
      </w:r>
      <w:r>
        <w:rPr>
          <w:rFonts w:hint="default" w:ascii="Times New Roman" w:hAnsi="Times New Roman" w:eastAsia="仿宋_GB2312" w:cs="Times New Roman"/>
          <w:kern w:val="2"/>
          <w:sz w:val="32"/>
          <w:szCs w:val="32"/>
          <w:lang w:val="en-US" w:eastAsia="zh-CN" w:bidi="ar"/>
        </w:rPr>
        <w:t>2025年度</w:t>
      </w:r>
      <w:r>
        <w:rPr>
          <w:rFonts w:hint="eastAsia" w:ascii="仿宋_GB2312" w:hAnsi="仿宋_GB2312" w:eastAsia="仿宋_GB2312" w:cs="仿宋_GB2312"/>
          <w:kern w:val="2"/>
          <w:sz w:val="32"/>
          <w:szCs w:val="32"/>
          <w:lang w:val="en-US" w:eastAsia="zh-CN" w:bidi="ar"/>
        </w:rPr>
        <w:t>“三馆一站”</w:t>
      </w:r>
      <w:r>
        <w:rPr>
          <w:rFonts w:hint="default" w:ascii="Times New Roman" w:hAnsi="Times New Roman" w:eastAsia="仿宋_GB2312" w:cs="Times New Roman"/>
          <w:kern w:val="2"/>
          <w:sz w:val="32"/>
          <w:szCs w:val="32"/>
          <w:lang w:val="en-US" w:eastAsia="zh-CN" w:bidi="ar"/>
        </w:rPr>
        <w:t>免费开放补助资金</w:t>
      </w:r>
      <w:r>
        <w:rPr>
          <w:rFonts w:hint="eastAsia" w:ascii="Times New Roman" w:hAnsi="Times New Roman" w:eastAsia="仿宋_GB2312" w:cs="仿宋_GB2312"/>
          <w:kern w:val="2"/>
          <w:sz w:val="32"/>
          <w:szCs w:val="32"/>
          <w:lang w:val="en-US" w:eastAsia="zh-CN" w:bidi="ar"/>
        </w:rPr>
        <w:t>的绩效</w:t>
      </w:r>
      <w:r>
        <w:rPr>
          <w:rFonts w:hint="eastAsia" w:eastAsia="仿宋_GB2312" w:cs="仿宋_GB2312"/>
          <w:kern w:val="2"/>
          <w:sz w:val="32"/>
          <w:szCs w:val="32"/>
          <w:lang w:val="en-US" w:eastAsia="zh-CN" w:bidi="ar"/>
        </w:rPr>
        <w:t>自评</w:t>
      </w:r>
      <w:r>
        <w:rPr>
          <w:rFonts w:hint="eastAsia" w:ascii="Times New Roman" w:hAnsi="Times New Roman" w:eastAsia="仿宋_GB2312" w:cs="仿宋_GB2312"/>
          <w:kern w:val="2"/>
          <w:sz w:val="32"/>
          <w:szCs w:val="32"/>
          <w:lang w:val="en-US" w:eastAsia="zh-CN" w:bidi="ar"/>
        </w:rPr>
        <w:t>工作，现将评价情况报告如下：</w:t>
      </w:r>
    </w:p>
    <w:p w14:paraId="68CB45E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黑体" w:cs="Times New Roman"/>
          <w:b w:val="0"/>
          <w:bCs/>
          <w:kern w:val="44"/>
          <w:sz w:val="32"/>
          <w:szCs w:val="32"/>
          <w:lang w:val="en-US" w:eastAsia="zh-CN"/>
        </w:rPr>
      </w:pPr>
      <w:r>
        <w:rPr>
          <w:rFonts w:hint="eastAsia" w:ascii="Times New Roman" w:hAnsi="Times New Roman" w:eastAsia="黑体" w:cs="黑体"/>
          <w:b w:val="0"/>
          <w:bCs/>
          <w:kern w:val="44"/>
          <w:sz w:val="32"/>
          <w:szCs w:val="32"/>
        </w:rPr>
        <w:t>一、</w:t>
      </w:r>
      <w:r>
        <w:rPr>
          <w:rFonts w:hint="eastAsia" w:eastAsia="黑体" w:cs="黑体"/>
          <w:b w:val="0"/>
          <w:bCs/>
          <w:kern w:val="44"/>
          <w:sz w:val="32"/>
          <w:szCs w:val="32"/>
          <w:lang w:val="en-US" w:eastAsia="zh-CN"/>
        </w:rPr>
        <w:t>绩效目标分解下达情况</w:t>
      </w:r>
    </w:p>
    <w:p w14:paraId="69984E2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3" w:firstLineChars="200"/>
        <w:textAlignment w:val="auto"/>
        <w:rPr>
          <w:rFonts w:hint="default" w:ascii="Times New Roman" w:hAnsi="Times New Roman" w:eastAsia="楷体_GB2312" w:cs="楷体_GB2312"/>
          <w:b/>
          <w:bCs w:val="0"/>
          <w:kern w:val="2"/>
          <w:sz w:val="32"/>
          <w:szCs w:val="32"/>
          <w:lang w:val="en-US" w:eastAsia="zh-CN"/>
        </w:rPr>
      </w:pPr>
      <w:r>
        <w:rPr>
          <w:rFonts w:hint="eastAsia" w:ascii="Times New Roman" w:hAnsi="Times New Roman" w:eastAsia="楷体_GB2312" w:cs="楷体_GB2312"/>
          <w:b/>
          <w:bCs w:val="0"/>
          <w:kern w:val="2"/>
          <w:sz w:val="32"/>
          <w:szCs w:val="32"/>
          <w:lang w:val="en-US" w:eastAsia="zh-CN"/>
        </w:rPr>
        <w:t>（一）中央下达转移支付预算和绩效目标情况</w:t>
      </w:r>
    </w:p>
    <w:p w14:paraId="2D6E0550">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3"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b/>
          <w:bCs/>
          <w:kern w:val="2"/>
          <w:sz w:val="32"/>
          <w:szCs w:val="32"/>
          <w:lang w:val="en-US" w:eastAsia="zh-CN" w:bidi="ar"/>
        </w:rPr>
        <w:t>1</w:t>
      </w:r>
      <w:r>
        <w:rPr>
          <w:rFonts w:hint="eastAsia" w:eastAsia="仿宋_GB2312" w:cs="仿宋_GB2312"/>
          <w:b/>
          <w:bCs/>
          <w:kern w:val="2"/>
          <w:sz w:val="32"/>
          <w:szCs w:val="32"/>
          <w:lang w:val="en-US" w:eastAsia="zh-CN" w:bidi="ar"/>
        </w:rPr>
        <w:t>.转移支付预算安排情况。</w:t>
      </w:r>
      <w:r>
        <w:rPr>
          <w:rFonts w:hint="eastAsia" w:ascii="Times New Roman" w:hAnsi="Times New Roman" w:eastAsia="仿宋_GB2312" w:cs="仿宋_GB2312"/>
          <w:kern w:val="2"/>
          <w:sz w:val="32"/>
          <w:szCs w:val="32"/>
          <w:lang w:val="en-US" w:eastAsia="zh-CN" w:bidi="ar"/>
        </w:rPr>
        <w:t>根据《文化部、财政部关于推进全国美术馆、公共图书馆、文化馆（站）免费开放工作的意见》（文财务发〔2011〕5号），我省按照中央要求全面推进“三馆一站”免费开放工作，2025年，财政部下达我省“三馆一站”免费开放中央补助资金11568万元（</w:t>
      </w:r>
      <w:r>
        <w:rPr>
          <w:rFonts w:hint="eastAsia" w:eastAsia="仿宋_GB2312" w:cs="仿宋_GB2312"/>
          <w:kern w:val="2"/>
          <w:sz w:val="32"/>
          <w:szCs w:val="32"/>
          <w:lang w:val="en-US" w:eastAsia="zh-CN" w:bidi="ar"/>
        </w:rPr>
        <w:t>含</w:t>
      </w:r>
      <w:r>
        <w:rPr>
          <w:rFonts w:hint="eastAsia" w:ascii="Times New Roman" w:hAnsi="Times New Roman" w:eastAsia="仿宋_GB2312" w:cs="仿宋_GB2312"/>
          <w:kern w:val="2"/>
          <w:sz w:val="32"/>
          <w:szCs w:val="32"/>
          <w:lang w:val="en-US" w:eastAsia="zh-CN" w:bidi="ar"/>
        </w:rPr>
        <w:t>2024年未下达资金126万元），</w:t>
      </w:r>
      <w:r>
        <w:rPr>
          <w:rFonts w:hint="default" w:ascii="Times New Roman" w:hAnsi="Times New Roman" w:eastAsia="仿宋_GB2312" w:cs="仿宋_GB2312"/>
          <w:kern w:val="2"/>
          <w:sz w:val="32"/>
          <w:szCs w:val="32"/>
          <w:lang w:val="en-US" w:eastAsia="zh-CN" w:bidi="ar"/>
        </w:rPr>
        <w:t>主要用于支持文化主管部门归口管理的地市级和县级美术馆、公共图书馆、文化馆以及乡镇综合文化站（简称</w:t>
      </w:r>
      <w:r>
        <w:rPr>
          <w:rFonts w:hint="eastAsia" w:ascii="仿宋_GB2312" w:hAnsi="仿宋_GB2312" w:eastAsia="仿宋_GB2312" w:cs="仿宋_GB2312"/>
          <w:kern w:val="2"/>
          <w:sz w:val="32"/>
          <w:szCs w:val="32"/>
          <w:lang w:val="en-US" w:eastAsia="zh-CN" w:bidi="ar"/>
        </w:rPr>
        <w:t>“三馆一站”</w:t>
      </w:r>
      <w:r>
        <w:rPr>
          <w:rFonts w:hint="default" w:ascii="Times New Roman" w:hAnsi="Times New Roman" w:eastAsia="仿宋_GB2312" w:cs="仿宋_GB2312"/>
          <w:kern w:val="2"/>
          <w:sz w:val="32"/>
          <w:szCs w:val="32"/>
          <w:lang w:val="en-US" w:eastAsia="zh-CN" w:bidi="ar"/>
        </w:rPr>
        <w:t>）免费开展基本公共文化服务。</w:t>
      </w:r>
    </w:p>
    <w:p w14:paraId="29DA2282">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3" w:firstLineChars="200"/>
        <w:jc w:val="both"/>
        <w:textAlignment w:val="auto"/>
        <w:rPr>
          <w:rFonts w:hint="eastAsia" w:eastAsia="仿宋_GB2312" w:cs="仿宋_GB2312"/>
          <w:b w:val="0"/>
          <w:bCs w:val="0"/>
          <w:kern w:val="2"/>
          <w:sz w:val="32"/>
          <w:szCs w:val="32"/>
          <w:lang w:val="en-US" w:eastAsia="zh-CN" w:bidi="ar"/>
        </w:rPr>
      </w:pPr>
      <w:r>
        <w:rPr>
          <w:rFonts w:hint="eastAsia" w:ascii="Times New Roman" w:hAnsi="Times New Roman" w:eastAsia="仿宋_GB2312" w:cs="仿宋_GB2312"/>
          <w:b/>
          <w:bCs/>
          <w:kern w:val="2"/>
          <w:sz w:val="32"/>
          <w:szCs w:val="32"/>
          <w:lang w:val="en-US" w:eastAsia="zh-CN" w:bidi="ar"/>
        </w:rPr>
        <w:t>2</w:t>
      </w:r>
      <w:r>
        <w:rPr>
          <w:rFonts w:hint="eastAsia" w:eastAsia="仿宋_GB2312" w:cs="仿宋_GB2312"/>
          <w:b/>
          <w:bCs/>
          <w:kern w:val="2"/>
          <w:sz w:val="32"/>
          <w:szCs w:val="32"/>
          <w:lang w:val="en-US" w:eastAsia="zh-CN" w:bidi="ar"/>
        </w:rPr>
        <w:t>.绩效目标下达情况。</w:t>
      </w:r>
      <w:r>
        <w:rPr>
          <w:rFonts w:hint="eastAsia" w:eastAsia="仿宋_GB2312" w:cs="仿宋_GB2312"/>
          <w:b w:val="0"/>
          <w:bCs w:val="0"/>
          <w:kern w:val="2"/>
          <w:sz w:val="32"/>
          <w:szCs w:val="32"/>
          <w:lang w:val="en-US" w:eastAsia="zh-CN" w:bidi="ar"/>
        </w:rPr>
        <w:t>健全“三馆一站”免费开放管理制度体系，完善开放运行保障机制。全面落实场馆免费开放要求，规范设置基本服务项目，提升公共文化设施利用效率与服务效能。通过常态化开展公益文化服务，切实保障人民群众基本文化权益，有效推动精神文明建设与公共文化服务体系高质量发展。</w:t>
      </w:r>
    </w:p>
    <w:p w14:paraId="4DFED363">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3" w:firstLineChars="200"/>
        <w:textAlignment w:val="auto"/>
        <w:rPr>
          <w:rFonts w:hint="default" w:ascii="Times New Roman" w:hAnsi="Times New Roman" w:eastAsia="楷体_GB2312" w:cs="楷体_GB2312"/>
          <w:b/>
          <w:bCs w:val="0"/>
          <w:kern w:val="2"/>
          <w:sz w:val="32"/>
          <w:szCs w:val="32"/>
          <w:lang w:val="en-US" w:eastAsia="zh-CN"/>
        </w:rPr>
      </w:pPr>
      <w:r>
        <w:rPr>
          <w:rFonts w:hint="eastAsia" w:ascii="Times New Roman" w:hAnsi="Times New Roman" w:eastAsia="楷体_GB2312" w:cs="楷体_GB2312"/>
          <w:b/>
          <w:bCs w:val="0"/>
          <w:kern w:val="2"/>
          <w:sz w:val="32"/>
          <w:szCs w:val="32"/>
          <w:lang w:val="en-US" w:eastAsia="zh-CN"/>
        </w:rPr>
        <w:t>（二）省内资金安排、分解下达预算和绩效目标情况</w:t>
      </w:r>
    </w:p>
    <w:p w14:paraId="3E750A34">
      <w:pPr>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Autospacing="0" w:afterAutospacing="0" w:line="560" w:lineRule="exact"/>
        <w:ind w:left="0" w:leftChars="0" w:right="0" w:firstLine="643" w:firstLineChars="200"/>
        <w:jc w:val="both"/>
        <w:textAlignment w:val="auto"/>
        <w:rPr>
          <w:rFonts w:hint="eastAsia" w:eastAsia="仿宋_GB2312" w:cs="仿宋_GB2312"/>
          <w:b/>
          <w:bCs/>
          <w:kern w:val="2"/>
          <w:sz w:val="32"/>
          <w:szCs w:val="32"/>
          <w:lang w:val="en-US" w:eastAsia="zh-CN" w:bidi="ar"/>
        </w:rPr>
      </w:pPr>
      <w:r>
        <w:rPr>
          <w:rFonts w:hint="eastAsia" w:eastAsia="仿宋_GB2312" w:cs="仿宋_GB2312"/>
          <w:b/>
          <w:bCs/>
          <w:kern w:val="2"/>
          <w:sz w:val="32"/>
          <w:szCs w:val="32"/>
          <w:lang w:val="en-US" w:eastAsia="zh-CN" w:bidi="ar"/>
        </w:rPr>
        <w:t>省内资金安排及分解下达情况</w:t>
      </w:r>
    </w:p>
    <w:p w14:paraId="2375A4A7">
      <w:pPr>
        <w:keepNext w:val="0"/>
        <w:keepLines w:val="0"/>
        <w:pageBreakBefore w:val="0"/>
        <w:widowControl w:val="0"/>
        <w:suppressLineNumbers w:val="0"/>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eastAsia="仿宋_GB2312" w:cs="Times New Roman"/>
          <w:kern w:val="2"/>
          <w:sz w:val="32"/>
          <w:szCs w:val="32"/>
          <w:lang w:val="en-US" w:eastAsia="zh-CN" w:bidi="ar"/>
        </w:rPr>
      </w:pPr>
      <w:r>
        <w:rPr>
          <w:rFonts w:hint="eastAsia" w:ascii="Times New Roman" w:hAnsi="Times New Roman" w:eastAsia="仿宋_GB2312" w:cs="仿宋_GB2312"/>
          <w:kern w:val="2"/>
          <w:sz w:val="32"/>
          <w:szCs w:val="32"/>
          <w:lang w:val="en-US" w:eastAsia="zh-CN" w:bidi="ar"/>
        </w:rPr>
        <w:t>2025</w:t>
      </w:r>
      <w:r>
        <w:rPr>
          <w:rFonts w:hint="eastAsia" w:eastAsia="仿宋_GB2312" w:cs="仿宋_GB2312"/>
          <w:kern w:val="2"/>
          <w:sz w:val="32"/>
          <w:szCs w:val="32"/>
          <w:lang w:val="en-US" w:eastAsia="zh-CN" w:bidi="ar"/>
        </w:rPr>
        <w:t>年度，我省严格按照预算管理要求完成分解下达工作。经省文旅厅对</w:t>
      </w:r>
      <w:r>
        <w:rPr>
          <w:rFonts w:hint="eastAsia" w:ascii="Times New Roman" w:hAnsi="Times New Roman" w:eastAsia="仿宋_GB2312" w:cs="仿宋_GB2312"/>
          <w:kern w:val="2"/>
          <w:sz w:val="32"/>
          <w:szCs w:val="32"/>
          <w:lang w:val="en-US" w:eastAsia="zh-CN" w:bidi="ar"/>
        </w:rPr>
        <w:t>2023</w:t>
      </w:r>
      <w:r>
        <w:rPr>
          <w:rFonts w:hint="eastAsia" w:eastAsia="仿宋_GB2312" w:cs="仿宋_GB2312"/>
          <w:kern w:val="2"/>
          <w:sz w:val="32"/>
          <w:szCs w:val="32"/>
          <w:lang w:val="en-US" w:eastAsia="zh-CN" w:bidi="ar"/>
        </w:rPr>
        <w:t>年文化机构统计报表逐一核实，全省共为</w:t>
      </w:r>
      <w:r>
        <w:rPr>
          <w:rFonts w:hint="eastAsia" w:ascii="Times New Roman" w:hAnsi="Times New Roman" w:eastAsia="仿宋_GB2312" w:cs="仿宋_GB2312"/>
          <w:kern w:val="2"/>
          <w:sz w:val="32"/>
          <w:szCs w:val="32"/>
          <w:lang w:val="en-US" w:eastAsia="zh-CN" w:bidi="ar"/>
        </w:rPr>
        <w:t>42</w:t>
      </w:r>
      <w:r>
        <w:rPr>
          <w:rFonts w:hint="eastAsia" w:eastAsia="仿宋_GB2312" w:cs="仿宋_GB2312"/>
          <w:kern w:val="2"/>
          <w:sz w:val="32"/>
          <w:szCs w:val="32"/>
          <w:lang w:val="en-US" w:eastAsia="zh-CN" w:bidi="ar"/>
        </w:rPr>
        <w:t>个地市级“三馆”、</w:t>
      </w:r>
      <w:r>
        <w:rPr>
          <w:rFonts w:hint="eastAsia" w:ascii="Times New Roman" w:hAnsi="Times New Roman" w:eastAsia="仿宋_GB2312" w:cs="仿宋_GB2312"/>
          <w:kern w:val="2"/>
          <w:sz w:val="32"/>
          <w:szCs w:val="32"/>
          <w:lang w:val="en-US" w:eastAsia="zh-CN" w:bidi="ar"/>
        </w:rPr>
        <w:t>287</w:t>
      </w:r>
      <w:r>
        <w:rPr>
          <w:rFonts w:hint="eastAsia" w:eastAsia="仿宋_GB2312" w:cs="仿宋_GB2312"/>
          <w:kern w:val="2"/>
          <w:sz w:val="32"/>
          <w:szCs w:val="32"/>
          <w:lang w:val="en-US" w:eastAsia="zh-CN" w:bidi="ar"/>
        </w:rPr>
        <w:t>个县级“三馆”、</w:t>
      </w:r>
      <w:r>
        <w:rPr>
          <w:rFonts w:hint="eastAsia" w:ascii="Times New Roman" w:hAnsi="Times New Roman" w:eastAsia="仿宋_GB2312" w:cs="仿宋_GB2312"/>
          <w:kern w:val="2"/>
          <w:sz w:val="32"/>
          <w:szCs w:val="32"/>
          <w:lang w:val="en-US" w:eastAsia="zh-CN" w:bidi="ar"/>
        </w:rPr>
        <w:t>2133</w:t>
      </w:r>
      <w:r>
        <w:rPr>
          <w:rFonts w:hint="eastAsia" w:eastAsia="仿宋_GB2312" w:cs="仿宋_GB2312"/>
          <w:kern w:val="2"/>
          <w:sz w:val="32"/>
          <w:szCs w:val="32"/>
          <w:lang w:val="en-US" w:eastAsia="zh-CN" w:bidi="ar"/>
        </w:rPr>
        <w:t>个乡镇综合文化站及城市社区（街道）文化中心安排中央补助资金</w:t>
      </w:r>
      <w:r>
        <w:rPr>
          <w:rFonts w:hint="eastAsia" w:ascii="Times New Roman" w:hAnsi="Times New Roman" w:eastAsia="仿宋_GB2312" w:cs="仿宋_GB2312"/>
          <w:kern w:val="2"/>
          <w:sz w:val="32"/>
          <w:szCs w:val="32"/>
          <w:lang w:val="en-US" w:eastAsia="zh-CN" w:bidi="ar"/>
        </w:rPr>
        <w:t>11472</w:t>
      </w:r>
      <w:r>
        <w:rPr>
          <w:rFonts w:hint="eastAsia" w:eastAsia="仿宋_GB2312" w:cs="仿宋_GB2312"/>
          <w:kern w:val="2"/>
          <w:sz w:val="32"/>
          <w:szCs w:val="32"/>
          <w:lang w:val="en-US" w:eastAsia="zh-CN" w:bidi="ar"/>
        </w:rPr>
        <w:t>万元（含</w:t>
      </w:r>
      <w:r>
        <w:rPr>
          <w:rFonts w:hint="eastAsia" w:ascii="Times New Roman" w:hAnsi="Times New Roman" w:eastAsia="仿宋_GB2312" w:cs="仿宋_GB2312"/>
          <w:kern w:val="2"/>
          <w:sz w:val="32"/>
          <w:szCs w:val="32"/>
          <w:lang w:val="en-US" w:eastAsia="zh-CN" w:bidi="ar"/>
        </w:rPr>
        <w:t>2024</w:t>
      </w:r>
      <w:r>
        <w:rPr>
          <w:rFonts w:hint="eastAsia" w:eastAsia="仿宋_GB2312" w:cs="仿宋_GB2312"/>
          <w:kern w:val="2"/>
          <w:sz w:val="32"/>
          <w:szCs w:val="32"/>
          <w:lang w:val="en-US" w:eastAsia="zh-CN" w:bidi="ar"/>
        </w:rPr>
        <w:t>年未下达资金</w:t>
      </w:r>
      <w:r>
        <w:rPr>
          <w:rFonts w:hint="eastAsia" w:ascii="Times New Roman" w:hAnsi="Times New Roman" w:eastAsia="仿宋_GB2312" w:cs="仿宋_GB2312"/>
          <w:kern w:val="2"/>
          <w:sz w:val="32"/>
          <w:szCs w:val="32"/>
          <w:lang w:val="en-US" w:eastAsia="zh-CN" w:bidi="ar"/>
        </w:rPr>
        <w:t>102</w:t>
      </w:r>
      <w:r>
        <w:rPr>
          <w:rFonts w:hint="eastAsia" w:eastAsia="仿宋_GB2312" w:cs="仿宋_GB2312"/>
          <w:kern w:val="2"/>
          <w:sz w:val="32"/>
          <w:szCs w:val="32"/>
          <w:lang w:val="en-US" w:eastAsia="zh-CN" w:bidi="ar"/>
        </w:rPr>
        <w:t>万元）。依据《湖南省财政厅关于明确农场管理区财政管理有关事项的通知》（湘财预〔</w:t>
      </w:r>
      <w:r>
        <w:rPr>
          <w:rFonts w:hint="eastAsia" w:ascii="Times New Roman" w:hAnsi="Times New Roman" w:eastAsia="仿宋_GB2312" w:cs="仿宋_GB2312"/>
          <w:kern w:val="2"/>
          <w:sz w:val="32"/>
          <w:szCs w:val="32"/>
          <w:lang w:val="en-US" w:eastAsia="zh-CN" w:bidi="ar"/>
        </w:rPr>
        <w:t>2010</w:t>
      </w:r>
      <w:r>
        <w:rPr>
          <w:rFonts w:hint="eastAsia" w:eastAsia="仿宋_GB2312" w:cs="仿宋_GB2312"/>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200</w:t>
      </w:r>
      <w:r>
        <w:rPr>
          <w:rFonts w:hint="eastAsia" w:eastAsia="仿宋_GB2312" w:cs="仿宋_GB2312"/>
          <w:kern w:val="2"/>
          <w:sz w:val="32"/>
          <w:szCs w:val="32"/>
          <w:lang w:val="en-US" w:eastAsia="zh-CN" w:bidi="ar"/>
        </w:rPr>
        <w:t>号），为优化资金拨付流程，将益阳市大通湖管理区、岳阳市屈原管理区等</w:t>
      </w:r>
      <w:r>
        <w:rPr>
          <w:rFonts w:hint="eastAsia" w:ascii="Times New Roman" w:hAnsi="Times New Roman" w:eastAsia="仿宋_GB2312" w:cs="仿宋_GB2312"/>
          <w:kern w:val="2"/>
          <w:sz w:val="32"/>
          <w:szCs w:val="32"/>
          <w:lang w:val="en-US" w:eastAsia="zh-CN" w:bidi="ar"/>
        </w:rPr>
        <w:t>6</w:t>
      </w:r>
      <w:r>
        <w:rPr>
          <w:rFonts w:hint="eastAsia" w:eastAsia="仿宋_GB2312" w:cs="仿宋_GB2312"/>
          <w:kern w:val="2"/>
          <w:sz w:val="32"/>
          <w:szCs w:val="32"/>
          <w:lang w:val="en-US" w:eastAsia="zh-CN" w:bidi="ar"/>
        </w:rPr>
        <w:t>个管理区共</w:t>
      </w:r>
      <w:r>
        <w:rPr>
          <w:rFonts w:hint="eastAsia" w:ascii="Times New Roman" w:hAnsi="Times New Roman" w:eastAsia="仿宋_GB2312" w:cs="仿宋_GB2312"/>
          <w:kern w:val="2"/>
          <w:sz w:val="32"/>
          <w:szCs w:val="32"/>
          <w:lang w:val="en-US" w:eastAsia="zh-CN" w:bidi="ar"/>
        </w:rPr>
        <w:t>38</w:t>
      </w:r>
      <w:r>
        <w:rPr>
          <w:rFonts w:hint="eastAsia" w:eastAsia="仿宋_GB2312" w:cs="仿宋_GB2312"/>
          <w:kern w:val="2"/>
          <w:sz w:val="32"/>
          <w:szCs w:val="32"/>
          <w:lang w:val="en-US" w:eastAsia="zh-CN" w:bidi="ar"/>
        </w:rPr>
        <w:t>家单位的中央补助资金，直接拨付至对应区财政部门。按照时间节点</w:t>
      </w:r>
      <w:r>
        <w:rPr>
          <w:rFonts w:hint="eastAsia" w:ascii="仿宋_GB2312" w:hAnsi="仿宋_GB2312" w:eastAsia="仿宋_GB2312" w:cs="仿宋_GB2312"/>
          <w:kern w:val="2"/>
          <w:sz w:val="32"/>
          <w:szCs w:val="32"/>
          <w:lang w:val="en-US" w:eastAsia="zh-CN" w:bidi="ar"/>
        </w:rPr>
        <w:t>“三馆一站”</w:t>
      </w:r>
      <w:r>
        <w:rPr>
          <w:rFonts w:hint="default" w:ascii="Times New Roman" w:hAnsi="Times New Roman" w:eastAsia="仿宋_GB2312" w:cs="Times New Roman"/>
          <w:kern w:val="2"/>
          <w:sz w:val="32"/>
          <w:szCs w:val="32"/>
          <w:lang w:val="en-US" w:eastAsia="zh-CN" w:bidi="ar"/>
        </w:rPr>
        <w:t>免费开放补助资金</w:t>
      </w:r>
      <w:r>
        <w:rPr>
          <w:rFonts w:hint="eastAsia" w:ascii="Times New Roman" w:hAnsi="Times New Roman" w:eastAsia="仿宋_GB2312" w:cs="Times New Roman"/>
          <w:kern w:val="2"/>
          <w:sz w:val="32"/>
          <w:szCs w:val="32"/>
          <w:lang w:val="en-US" w:eastAsia="zh-CN" w:bidi="ar"/>
        </w:rPr>
        <w:t>11472</w:t>
      </w:r>
      <w:r>
        <w:rPr>
          <w:rFonts w:hint="eastAsia" w:eastAsia="仿宋_GB2312" w:cs="Times New Roman"/>
          <w:kern w:val="2"/>
          <w:sz w:val="32"/>
          <w:szCs w:val="32"/>
          <w:lang w:val="en-US" w:eastAsia="zh-CN" w:bidi="ar"/>
        </w:rPr>
        <w:t>万元已</w:t>
      </w:r>
      <w:r>
        <w:rPr>
          <w:rFonts w:hint="eastAsia" w:ascii="Times New Roman" w:hAnsi="Times New Roman" w:eastAsia="仿宋_GB2312" w:cs="Times New Roman"/>
          <w:kern w:val="2"/>
          <w:sz w:val="32"/>
          <w:szCs w:val="32"/>
          <w:lang w:val="en-US" w:eastAsia="zh-CN" w:bidi="ar"/>
        </w:rPr>
        <w:t>100%</w:t>
      </w:r>
      <w:r>
        <w:rPr>
          <w:rFonts w:hint="eastAsia" w:eastAsia="仿宋_GB2312" w:cs="Times New Roman"/>
          <w:kern w:val="2"/>
          <w:sz w:val="32"/>
          <w:szCs w:val="32"/>
          <w:lang w:val="en-US" w:eastAsia="zh-CN" w:bidi="ar"/>
        </w:rPr>
        <w:t>分解下达（详见下表）。</w:t>
      </w:r>
    </w:p>
    <w:tbl>
      <w:tblPr>
        <w:tblStyle w:val="10"/>
        <w:tblW w:w="81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936"/>
        <w:gridCol w:w="4200"/>
      </w:tblGrid>
      <w:tr w14:paraId="063AFD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2597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市州</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7424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金额</w:t>
            </w:r>
          </w:p>
        </w:tc>
      </w:tr>
      <w:tr w14:paraId="579B3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8D2D6A">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长沙市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6A536">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804</w:t>
            </w:r>
          </w:p>
        </w:tc>
      </w:tr>
      <w:tr w14:paraId="5DCD2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0B45D">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株洲市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8DF2E">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693</w:t>
            </w:r>
          </w:p>
        </w:tc>
      </w:tr>
      <w:tr w14:paraId="22924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C2861">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湘潭市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8A8A2">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438</w:t>
            </w:r>
          </w:p>
        </w:tc>
      </w:tr>
      <w:tr w14:paraId="31C7E9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43244">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衡阳市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1FCE0">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1107</w:t>
            </w:r>
          </w:p>
        </w:tc>
      </w:tr>
      <w:tr w14:paraId="46FD0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B6647">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岳阳市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A22E6">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861</w:t>
            </w:r>
          </w:p>
        </w:tc>
      </w:tr>
      <w:tr w14:paraId="6A632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CB8C79">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常德市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73495">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909</w:t>
            </w:r>
          </w:p>
        </w:tc>
      </w:tr>
      <w:tr w14:paraId="61522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4A270">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郴州市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8AE118">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864</w:t>
            </w:r>
          </w:p>
        </w:tc>
      </w:tr>
      <w:tr w14:paraId="281AB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8A791">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娄底市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1F0F14">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534</w:t>
            </w:r>
          </w:p>
        </w:tc>
      </w:tr>
      <w:tr w14:paraId="40CE3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BE9D1">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邵阳市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C07FB">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1038</w:t>
            </w:r>
          </w:p>
        </w:tc>
      </w:tr>
      <w:tr w14:paraId="7F3025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C8D425">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益阳市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E42D2">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567</w:t>
            </w:r>
          </w:p>
        </w:tc>
      </w:tr>
      <w:tr w14:paraId="736BF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70143A">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永州市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5C65C0">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948</w:t>
            </w:r>
          </w:p>
        </w:tc>
      </w:tr>
      <w:tr w14:paraId="2A3CF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5B4B1">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怀化市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324C5B">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1236</w:t>
            </w:r>
          </w:p>
        </w:tc>
      </w:tr>
      <w:tr w14:paraId="41915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EBC80">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张家界市</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C4F73">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405</w:t>
            </w:r>
          </w:p>
        </w:tc>
      </w:tr>
      <w:tr w14:paraId="1FE5AC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3DFDE6">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湘西土家族苗族自治州</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A835B">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1068</w:t>
            </w:r>
          </w:p>
        </w:tc>
      </w:tr>
      <w:tr w14:paraId="14CB96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39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6E3DC">
            <w:pPr>
              <w:keepNext w:val="0"/>
              <w:keepLines w:val="0"/>
              <w:pageBreakBefore w:val="0"/>
              <w:widowControl/>
              <w:suppressLineNumbers w:val="0"/>
              <w:kinsoku/>
              <w:wordWrap/>
              <w:overflowPunct/>
              <w:topLinePunct w:val="0"/>
              <w:autoSpaceDE/>
              <w:autoSpaceDN/>
              <w:bidi w:val="0"/>
              <w:adjustRightInd/>
              <w:snapToGrid w:val="0"/>
              <w:spacing w:line="360" w:lineRule="exact"/>
              <w:jc w:val="lef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总计</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3CAD6D">
            <w:pPr>
              <w:keepNext w:val="0"/>
              <w:keepLines w:val="0"/>
              <w:pageBreakBefore w:val="0"/>
              <w:widowControl/>
              <w:suppressLineNumbers w:val="0"/>
              <w:kinsoku/>
              <w:wordWrap/>
              <w:overflowPunct/>
              <w:topLinePunct w:val="0"/>
              <w:autoSpaceDE/>
              <w:autoSpaceDN/>
              <w:bidi w:val="0"/>
              <w:adjustRightInd/>
              <w:snapToGrid w:val="0"/>
              <w:spacing w:line="360" w:lineRule="exact"/>
              <w:jc w:val="right"/>
              <w:textAlignment w:val="center"/>
              <w:rPr>
                <w:rFonts w:hint="default" w:ascii="Times New Roman" w:hAnsi="Times New Roman" w:eastAsia="仿宋_GB2312" w:cs="Times New Roman"/>
                <w:i w:val="0"/>
                <w:iCs w:val="0"/>
                <w:color w:val="000000"/>
                <w:sz w:val="28"/>
                <w:szCs w:val="28"/>
                <w:u w:val="none"/>
              </w:rPr>
            </w:pPr>
            <w:r>
              <w:rPr>
                <w:rFonts w:hint="default" w:ascii="Times New Roman" w:hAnsi="Times New Roman" w:eastAsia="仿宋_GB2312" w:cs="Times New Roman"/>
                <w:i w:val="0"/>
                <w:iCs w:val="0"/>
                <w:color w:val="000000"/>
                <w:kern w:val="0"/>
                <w:sz w:val="28"/>
                <w:szCs w:val="28"/>
                <w:u w:val="none"/>
                <w:lang w:val="en-US" w:eastAsia="zh-CN" w:bidi="ar"/>
              </w:rPr>
              <w:t>11472</w:t>
            </w:r>
          </w:p>
        </w:tc>
      </w:tr>
    </w:tbl>
    <w:p w14:paraId="55DEC902">
      <w:pPr>
        <w:keepNext w:val="0"/>
        <w:keepLines w:val="0"/>
        <w:pageBreakBefore w:val="0"/>
        <w:widowControl w:val="0"/>
        <w:numPr>
          <w:ilvl w:val="0"/>
          <w:numId w:val="1"/>
        </w:numPr>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Autospacing="0" w:afterAutospacing="0" w:line="560" w:lineRule="exact"/>
        <w:ind w:left="0" w:leftChars="0" w:right="0" w:firstLine="643" w:firstLineChars="200"/>
        <w:jc w:val="both"/>
        <w:textAlignment w:val="auto"/>
        <w:rPr>
          <w:rFonts w:hint="default" w:eastAsia="仿宋_GB2312" w:cs="仿宋_GB2312"/>
          <w:b/>
          <w:bCs/>
          <w:kern w:val="2"/>
          <w:sz w:val="32"/>
          <w:szCs w:val="32"/>
          <w:lang w:val="en-US" w:eastAsia="zh-CN" w:bidi="ar"/>
        </w:rPr>
      </w:pPr>
      <w:r>
        <w:rPr>
          <w:rFonts w:hint="eastAsia" w:eastAsia="仿宋_GB2312" w:cs="仿宋_GB2312"/>
          <w:b/>
          <w:bCs/>
          <w:kern w:val="2"/>
          <w:sz w:val="32"/>
          <w:szCs w:val="32"/>
          <w:lang w:val="en-US" w:eastAsia="zh-CN" w:bidi="ar"/>
        </w:rPr>
        <w:t>绩效目标分解下达情况</w:t>
      </w:r>
    </w:p>
    <w:p w14:paraId="1B20CC4F">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0" w:firstLineChars="200"/>
        <w:jc w:val="both"/>
        <w:textAlignment w:val="auto"/>
        <w:rPr>
          <w:rFonts w:hint="default" w:eastAsia="仿宋_GB2312" w:cs="仿宋_GB2312"/>
          <w:kern w:val="2"/>
          <w:sz w:val="32"/>
          <w:szCs w:val="32"/>
          <w:lang w:val="en-US" w:eastAsia="zh-CN" w:bidi="ar"/>
        </w:rPr>
      </w:pPr>
      <w:r>
        <w:rPr>
          <w:rFonts w:hint="default" w:eastAsia="仿宋_GB2312" w:cs="仿宋_GB2312"/>
          <w:kern w:val="2"/>
          <w:sz w:val="32"/>
          <w:szCs w:val="32"/>
          <w:lang w:val="en-US" w:eastAsia="zh-CN" w:bidi="ar"/>
        </w:rPr>
        <w:t>为持续落实国家公共文化服务体系建设要求，推动美术馆、公共图书馆、文化馆（站）免费开放，实现和保障人民群众基本文化权益，提升全民科学文化素质与思想道德水平，对全省符合要求的</w:t>
      </w:r>
      <w:r>
        <w:rPr>
          <w:rFonts w:hint="default" w:ascii="Times New Roman" w:hAnsi="Times New Roman" w:eastAsia="仿宋_GB2312" w:cs="仿宋_GB2312"/>
          <w:kern w:val="2"/>
          <w:sz w:val="32"/>
          <w:szCs w:val="32"/>
          <w:lang w:val="en-US" w:eastAsia="zh-CN" w:bidi="ar"/>
        </w:rPr>
        <w:t>42</w:t>
      </w:r>
      <w:r>
        <w:rPr>
          <w:rFonts w:hint="default" w:eastAsia="仿宋_GB2312" w:cs="仿宋_GB2312"/>
          <w:kern w:val="2"/>
          <w:sz w:val="32"/>
          <w:szCs w:val="32"/>
          <w:lang w:val="en-US" w:eastAsia="zh-CN" w:bidi="ar"/>
        </w:rPr>
        <w:t>个地市级三馆、</w:t>
      </w:r>
      <w:r>
        <w:rPr>
          <w:rFonts w:hint="default" w:ascii="Times New Roman" w:hAnsi="Times New Roman" w:eastAsia="仿宋_GB2312" w:cs="仿宋_GB2312"/>
          <w:kern w:val="2"/>
          <w:sz w:val="32"/>
          <w:szCs w:val="32"/>
          <w:lang w:val="en-US" w:eastAsia="zh-CN" w:bidi="ar"/>
        </w:rPr>
        <w:t>287</w:t>
      </w:r>
      <w:r>
        <w:rPr>
          <w:rFonts w:hint="default" w:eastAsia="仿宋_GB2312" w:cs="仿宋_GB2312"/>
          <w:kern w:val="2"/>
          <w:sz w:val="32"/>
          <w:szCs w:val="32"/>
          <w:lang w:val="en-US" w:eastAsia="zh-CN" w:bidi="ar"/>
        </w:rPr>
        <w:t>个县级三馆、</w:t>
      </w:r>
      <w:r>
        <w:rPr>
          <w:rFonts w:hint="default" w:ascii="Times New Roman" w:hAnsi="Times New Roman" w:eastAsia="仿宋_GB2312" w:cs="仿宋_GB2312"/>
          <w:kern w:val="2"/>
          <w:sz w:val="32"/>
          <w:szCs w:val="32"/>
          <w:lang w:val="en-US" w:eastAsia="zh-CN" w:bidi="ar"/>
        </w:rPr>
        <w:t>2133</w:t>
      </w:r>
      <w:r>
        <w:rPr>
          <w:rFonts w:hint="default" w:eastAsia="仿宋_GB2312" w:cs="仿宋_GB2312"/>
          <w:kern w:val="2"/>
          <w:sz w:val="32"/>
          <w:szCs w:val="32"/>
          <w:lang w:val="en-US" w:eastAsia="zh-CN" w:bidi="ar"/>
        </w:rPr>
        <w:t>个乡镇综合文化站及城市社区（街道）文化中心，安排下达中央补助资金，保障基层公共文化服务免费开放的资金需求。根据项目实际情况制定了绩效目标，并进行了分解，从产出指标、效益指标、满意度指标</w:t>
      </w:r>
      <w:r>
        <w:rPr>
          <w:rFonts w:hint="eastAsia" w:eastAsia="仿宋_GB2312" w:cs="仿宋_GB2312"/>
          <w:kern w:val="2"/>
          <w:sz w:val="32"/>
          <w:szCs w:val="32"/>
          <w:lang w:val="en-US" w:eastAsia="zh-CN" w:bidi="ar"/>
        </w:rPr>
        <w:t>三个维度，</w:t>
      </w:r>
      <w:r>
        <w:rPr>
          <w:rFonts w:hint="eastAsia" w:ascii="Times New Roman" w:hAnsi="Times New Roman" w:eastAsia="仿宋_GB2312" w:cs="仿宋_GB2312"/>
          <w:kern w:val="2"/>
          <w:sz w:val="32"/>
          <w:szCs w:val="32"/>
          <w:lang w:val="en-US" w:eastAsia="zh-CN" w:bidi="ar"/>
        </w:rPr>
        <w:t>7</w:t>
      </w:r>
      <w:r>
        <w:rPr>
          <w:rFonts w:hint="eastAsia" w:eastAsia="仿宋_GB2312" w:cs="仿宋_GB2312"/>
          <w:kern w:val="2"/>
          <w:sz w:val="32"/>
          <w:szCs w:val="32"/>
          <w:lang w:val="en-US" w:eastAsia="zh-CN" w:bidi="ar"/>
        </w:rPr>
        <w:t>个二级</w:t>
      </w:r>
      <w:r>
        <w:rPr>
          <w:rFonts w:hint="default" w:eastAsia="仿宋_GB2312" w:cs="仿宋_GB2312"/>
          <w:kern w:val="2"/>
          <w:sz w:val="32"/>
          <w:szCs w:val="32"/>
          <w:lang w:val="en-US" w:eastAsia="zh-CN" w:bidi="ar"/>
        </w:rPr>
        <w:t>指标</w:t>
      </w:r>
      <w:r>
        <w:rPr>
          <w:rFonts w:hint="eastAsia" w:eastAsia="仿宋_GB2312" w:cs="仿宋_GB2312"/>
          <w:kern w:val="2"/>
          <w:sz w:val="32"/>
          <w:szCs w:val="32"/>
          <w:lang w:val="en-US" w:eastAsia="zh-CN" w:bidi="ar"/>
        </w:rPr>
        <w:t>和</w:t>
      </w:r>
      <w:r>
        <w:rPr>
          <w:rFonts w:hint="eastAsia" w:ascii="Times New Roman" w:hAnsi="Times New Roman" w:eastAsia="仿宋_GB2312" w:cs="仿宋_GB2312"/>
          <w:kern w:val="2"/>
          <w:sz w:val="32"/>
          <w:szCs w:val="32"/>
          <w:lang w:val="en-US" w:eastAsia="zh-CN" w:bidi="ar"/>
        </w:rPr>
        <w:t>13</w:t>
      </w:r>
      <w:r>
        <w:rPr>
          <w:rFonts w:hint="eastAsia" w:eastAsia="仿宋_GB2312" w:cs="仿宋_GB2312"/>
          <w:kern w:val="2"/>
          <w:sz w:val="32"/>
          <w:szCs w:val="32"/>
          <w:lang w:val="en-US" w:eastAsia="zh-CN" w:bidi="ar"/>
        </w:rPr>
        <w:t>个三级指标</w:t>
      </w:r>
      <w:r>
        <w:rPr>
          <w:rFonts w:hint="default" w:eastAsia="仿宋_GB2312" w:cs="仿宋_GB2312"/>
          <w:kern w:val="2"/>
          <w:sz w:val="32"/>
          <w:szCs w:val="32"/>
          <w:lang w:val="en-US" w:eastAsia="zh-CN" w:bidi="ar"/>
        </w:rPr>
        <w:t>，并将细化的绩效目标</w:t>
      </w:r>
      <w:r>
        <w:rPr>
          <w:rFonts w:hint="eastAsia" w:eastAsia="仿宋_GB2312" w:cs="仿宋_GB2312"/>
          <w:kern w:val="2"/>
          <w:sz w:val="32"/>
          <w:szCs w:val="32"/>
          <w:lang w:val="en-US" w:eastAsia="zh-CN" w:bidi="ar"/>
        </w:rPr>
        <w:t>与资金分配方案同步下达</w:t>
      </w:r>
      <w:r>
        <w:rPr>
          <w:rFonts w:hint="default" w:eastAsia="仿宋_GB2312" w:cs="仿宋_GB2312"/>
          <w:kern w:val="2"/>
          <w:sz w:val="32"/>
          <w:szCs w:val="32"/>
          <w:lang w:val="en-US" w:eastAsia="zh-CN" w:bidi="ar"/>
        </w:rPr>
        <w:t>至各项目实施单位。</w:t>
      </w:r>
    </w:p>
    <w:p w14:paraId="6FB8D101">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0" w:firstLineChars="200"/>
        <w:jc w:val="both"/>
        <w:textAlignment w:val="auto"/>
        <w:rPr>
          <w:rFonts w:hint="default" w:eastAsia="仿宋_GB2312" w:cs="仿宋_GB2312"/>
          <w:kern w:val="2"/>
          <w:sz w:val="32"/>
          <w:szCs w:val="32"/>
          <w:lang w:val="en-US" w:eastAsia="zh-CN" w:bidi="ar"/>
        </w:rPr>
      </w:pPr>
      <w:r>
        <w:rPr>
          <w:rFonts w:hint="default" w:eastAsia="仿宋_GB2312" w:cs="Times New Roman"/>
          <w:kern w:val="2"/>
          <w:sz w:val="32"/>
          <w:szCs w:val="32"/>
          <w:lang w:val="en-US" w:eastAsia="zh-CN" w:bidi="ar"/>
        </w:rPr>
        <w:t>（</w:t>
      </w:r>
      <w:r>
        <w:rPr>
          <w:rFonts w:hint="default" w:ascii="Times New Roman" w:hAnsi="Times New Roman" w:eastAsia="仿宋_GB2312" w:cs="Times New Roman"/>
          <w:kern w:val="2"/>
          <w:sz w:val="32"/>
          <w:szCs w:val="32"/>
          <w:lang w:val="en-US" w:eastAsia="zh-CN" w:bidi="ar"/>
        </w:rPr>
        <w:t>1</w:t>
      </w:r>
      <w:r>
        <w:rPr>
          <w:rFonts w:hint="default" w:eastAsia="仿宋_GB2312" w:cs="Times New Roman"/>
          <w:kern w:val="2"/>
          <w:sz w:val="32"/>
          <w:szCs w:val="32"/>
          <w:lang w:val="en-US" w:eastAsia="zh-CN" w:bidi="ar"/>
        </w:rPr>
        <w:t>）产出指标。产出数量指标主要包括公共图书馆按规定免费开放个数</w:t>
      </w:r>
      <w:r>
        <w:rPr>
          <w:rFonts w:hint="default" w:eastAsia="仿宋_GB2312" w:cs="仿宋_GB2312"/>
          <w:kern w:val="2"/>
          <w:sz w:val="32"/>
          <w:szCs w:val="32"/>
          <w:lang w:val="en-US" w:eastAsia="zh-CN" w:bidi="ar"/>
        </w:rPr>
        <w:t>、文化馆（站）按规定免费开放个数、美术馆按规定免费开放个数</w:t>
      </w:r>
      <w:r>
        <w:rPr>
          <w:rFonts w:hint="eastAsia" w:ascii="Times New Roman" w:hAnsi="Times New Roman" w:eastAsia="仿宋_GB2312" w:cs="仿宋_GB2312"/>
          <w:kern w:val="2"/>
          <w:sz w:val="32"/>
          <w:szCs w:val="32"/>
          <w:lang w:val="en-US" w:eastAsia="zh-CN" w:bidi="ar"/>
        </w:rPr>
        <w:t>3</w:t>
      </w:r>
      <w:r>
        <w:rPr>
          <w:rFonts w:hint="eastAsia" w:eastAsia="仿宋_GB2312" w:cs="仿宋_GB2312"/>
          <w:kern w:val="2"/>
          <w:sz w:val="32"/>
          <w:szCs w:val="32"/>
          <w:lang w:val="en-US" w:eastAsia="zh-CN" w:bidi="ar"/>
        </w:rPr>
        <w:t>项</w:t>
      </w:r>
      <w:r>
        <w:rPr>
          <w:rFonts w:hint="default" w:eastAsia="仿宋_GB2312" w:cs="仿宋_GB2312"/>
          <w:kern w:val="2"/>
          <w:sz w:val="32"/>
          <w:szCs w:val="32"/>
          <w:lang w:val="en-US" w:eastAsia="zh-CN" w:bidi="ar"/>
        </w:rPr>
        <w:t>；产出质量指标包括补助对象精准率、场馆设施完好率、开放时长达标率</w:t>
      </w:r>
      <w:r>
        <w:rPr>
          <w:rFonts w:hint="eastAsia" w:ascii="Times New Roman" w:hAnsi="Times New Roman" w:eastAsia="仿宋_GB2312" w:cs="仿宋_GB2312"/>
          <w:kern w:val="2"/>
          <w:sz w:val="32"/>
          <w:szCs w:val="32"/>
          <w:lang w:val="en-US" w:eastAsia="zh-CN" w:bidi="ar"/>
        </w:rPr>
        <w:t>3</w:t>
      </w:r>
      <w:r>
        <w:rPr>
          <w:rFonts w:hint="eastAsia" w:eastAsia="仿宋_GB2312" w:cs="仿宋_GB2312"/>
          <w:kern w:val="2"/>
          <w:sz w:val="32"/>
          <w:szCs w:val="32"/>
          <w:lang w:val="en-US" w:eastAsia="zh-CN" w:bidi="ar"/>
        </w:rPr>
        <w:t>项；产出时效指标设定年度任务完成时限</w:t>
      </w:r>
      <w:r>
        <w:rPr>
          <w:rFonts w:hint="eastAsia" w:ascii="Times New Roman" w:hAnsi="Times New Roman" w:eastAsia="仿宋_GB2312" w:cs="仿宋_GB2312"/>
          <w:kern w:val="2"/>
          <w:sz w:val="32"/>
          <w:szCs w:val="32"/>
          <w:lang w:val="en-US" w:eastAsia="zh-CN" w:bidi="ar"/>
        </w:rPr>
        <w:t>1</w:t>
      </w:r>
      <w:r>
        <w:rPr>
          <w:rFonts w:hint="eastAsia" w:eastAsia="仿宋_GB2312" w:cs="仿宋_GB2312"/>
          <w:kern w:val="2"/>
          <w:sz w:val="32"/>
          <w:szCs w:val="32"/>
          <w:lang w:val="en-US" w:eastAsia="zh-CN" w:bidi="ar"/>
        </w:rPr>
        <w:t>项；成本指标设定成本控制率</w:t>
      </w:r>
      <w:r>
        <w:rPr>
          <w:rFonts w:hint="eastAsia" w:ascii="Times New Roman" w:hAnsi="Times New Roman" w:eastAsia="仿宋_GB2312" w:cs="仿宋_GB2312"/>
          <w:kern w:val="2"/>
          <w:sz w:val="32"/>
          <w:szCs w:val="32"/>
          <w:lang w:val="en-US" w:eastAsia="zh-CN" w:bidi="ar"/>
        </w:rPr>
        <w:t>1</w:t>
      </w:r>
      <w:r>
        <w:rPr>
          <w:rFonts w:hint="eastAsia" w:eastAsia="仿宋_GB2312" w:cs="仿宋_GB2312"/>
          <w:kern w:val="2"/>
          <w:sz w:val="32"/>
          <w:szCs w:val="32"/>
          <w:lang w:val="en-US" w:eastAsia="zh-CN" w:bidi="ar"/>
        </w:rPr>
        <w:t>项。</w:t>
      </w:r>
    </w:p>
    <w:p w14:paraId="404E9C6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0" w:firstLineChars="200"/>
        <w:jc w:val="both"/>
        <w:textAlignment w:val="auto"/>
        <w:rPr>
          <w:rFonts w:hint="default" w:eastAsia="仿宋_GB2312" w:cs="仿宋_GB2312"/>
          <w:kern w:val="2"/>
          <w:sz w:val="32"/>
          <w:szCs w:val="32"/>
          <w:lang w:val="en-US" w:eastAsia="zh-CN" w:bidi="ar"/>
        </w:rPr>
      </w:pPr>
      <w:r>
        <w:rPr>
          <w:rFonts w:hint="default" w:eastAsia="仿宋_GB2312" w:cs="仿宋_GB2312"/>
          <w:kern w:val="2"/>
          <w:sz w:val="32"/>
          <w:szCs w:val="32"/>
          <w:lang w:val="en-US" w:eastAsia="zh-CN" w:bidi="ar"/>
        </w:rPr>
        <w:t>（</w:t>
      </w:r>
      <w:r>
        <w:rPr>
          <w:rFonts w:hint="default" w:ascii="Times New Roman" w:hAnsi="Times New Roman" w:eastAsia="仿宋_GB2312" w:cs="仿宋_GB2312"/>
          <w:kern w:val="2"/>
          <w:sz w:val="32"/>
          <w:szCs w:val="32"/>
          <w:lang w:val="en-US" w:eastAsia="zh-CN" w:bidi="ar"/>
        </w:rPr>
        <w:t>2</w:t>
      </w:r>
      <w:r>
        <w:rPr>
          <w:rFonts w:hint="default" w:eastAsia="仿宋_GB2312" w:cs="仿宋_GB2312"/>
          <w:kern w:val="2"/>
          <w:sz w:val="32"/>
          <w:szCs w:val="32"/>
          <w:lang w:val="en-US" w:eastAsia="zh-CN" w:bidi="ar"/>
        </w:rPr>
        <w:t>）效益指标。</w:t>
      </w:r>
      <w:r>
        <w:rPr>
          <w:rFonts w:hint="eastAsia" w:eastAsia="仿宋_GB2312" w:cs="仿宋_GB2312"/>
          <w:kern w:val="2"/>
          <w:sz w:val="32"/>
          <w:szCs w:val="32"/>
          <w:lang w:val="en-US" w:eastAsia="zh-CN" w:bidi="ar"/>
        </w:rPr>
        <w:t>经济效益指标设定文化消费带动增长率</w:t>
      </w:r>
      <w:r>
        <w:rPr>
          <w:rFonts w:hint="eastAsia" w:ascii="Times New Roman" w:hAnsi="Times New Roman" w:eastAsia="仿宋_GB2312" w:cs="仿宋_GB2312"/>
          <w:kern w:val="2"/>
          <w:sz w:val="32"/>
          <w:szCs w:val="32"/>
          <w:lang w:val="en-US" w:eastAsia="zh-CN" w:bidi="ar"/>
        </w:rPr>
        <w:t>1</w:t>
      </w:r>
      <w:r>
        <w:rPr>
          <w:rFonts w:hint="eastAsia" w:eastAsia="仿宋_GB2312" w:cs="仿宋_GB2312"/>
          <w:kern w:val="2"/>
          <w:sz w:val="32"/>
          <w:szCs w:val="32"/>
          <w:lang w:val="en-US" w:eastAsia="zh-CN" w:bidi="ar"/>
        </w:rPr>
        <w:t>项；</w:t>
      </w:r>
      <w:r>
        <w:rPr>
          <w:rFonts w:hint="default" w:eastAsia="仿宋_GB2312" w:cs="仿宋_GB2312"/>
          <w:kern w:val="2"/>
          <w:sz w:val="32"/>
          <w:szCs w:val="32"/>
          <w:lang w:val="en-US" w:eastAsia="zh-CN" w:bidi="ar"/>
        </w:rPr>
        <w:t>社会效益指标主要包括年度免费服务总人次</w:t>
      </w:r>
      <w:r>
        <w:rPr>
          <w:rFonts w:hint="eastAsia" w:eastAsia="仿宋_GB2312" w:cs="仿宋_GB2312"/>
          <w:kern w:val="2"/>
          <w:sz w:val="32"/>
          <w:szCs w:val="32"/>
          <w:lang w:val="en-US" w:eastAsia="zh-CN" w:bidi="ar"/>
        </w:rPr>
        <w:t>、重大安全事故发生率</w:t>
      </w:r>
      <w:r>
        <w:rPr>
          <w:rFonts w:hint="eastAsia" w:ascii="Times New Roman" w:hAnsi="Times New Roman" w:eastAsia="仿宋_GB2312" w:cs="仿宋_GB2312"/>
          <w:kern w:val="2"/>
          <w:sz w:val="32"/>
          <w:szCs w:val="32"/>
          <w:lang w:val="en-US" w:eastAsia="zh-CN" w:bidi="ar"/>
        </w:rPr>
        <w:t>2</w:t>
      </w:r>
      <w:r>
        <w:rPr>
          <w:rFonts w:hint="eastAsia" w:eastAsia="仿宋_GB2312" w:cs="仿宋_GB2312"/>
          <w:kern w:val="2"/>
          <w:sz w:val="32"/>
          <w:szCs w:val="32"/>
          <w:lang w:val="en-US" w:eastAsia="zh-CN" w:bidi="ar"/>
        </w:rPr>
        <w:t>项</w:t>
      </w:r>
      <w:r>
        <w:rPr>
          <w:rFonts w:hint="default" w:eastAsia="仿宋_GB2312" w:cs="仿宋_GB2312"/>
          <w:kern w:val="2"/>
          <w:sz w:val="32"/>
          <w:szCs w:val="32"/>
          <w:lang w:val="en-US" w:eastAsia="zh-CN" w:bidi="ar"/>
        </w:rPr>
        <w:t>。</w:t>
      </w:r>
    </w:p>
    <w:p w14:paraId="50F1FB32">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0" w:firstLineChars="200"/>
        <w:jc w:val="both"/>
        <w:textAlignment w:val="auto"/>
        <w:rPr>
          <w:rFonts w:hint="default" w:eastAsia="仿宋_GB2312" w:cs="仿宋_GB2312"/>
          <w:kern w:val="2"/>
          <w:sz w:val="32"/>
          <w:szCs w:val="32"/>
          <w:lang w:val="en-US" w:eastAsia="zh-CN" w:bidi="ar"/>
        </w:rPr>
      </w:pPr>
      <w:r>
        <w:rPr>
          <w:rFonts w:hint="default" w:eastAsia="仿宋_GB2312" w:cs="仿宋_GB2312"/>
          <w:kern w:val="2"/>
          <w:sz w:val="32"/>
          <w:szCs w:val="32"/>
          <w:lang w:val="en-US" w:eastAsia="zh-CN" w:bidi="ar"/>
        </w:rPr>
        <w:t>（</w:t>
      </w:r>
      <w:r>
        <w:rPr>
          <w:rFonts w:hint="default" w:ascii="Times New Roman" w:hAnsi="Times New Roman" w:eastAsia="仿宋_GB2312" w:cs="仿宋_GB2312"/>
          <w:kern w:val="2"/>
          <w:sz w:val="32"/>
          <w:szCs w:val="32"/>
          <w:lang w:val="en-US" w:eastAsia="zh-CN" w:bidi="ar"/>
        </w:rPr>
        <w:t>3</w:t>
      </w:r>
      <w:r>
        <w:rPr>
          <w:rFonts w:hint="default" w:eastAsia="仿宋_GB2312" w:cs="仿宋_GB2312"/>
          <w:kern w:val="2"/>
          <w:sz w:val="32"/>
          <w:szCs w:val="32"/>
          <w:lang w:val="en-US" w:eastAsia="zh-CN" w:bidi="ar"/>
        </w:rPr>
        <w:t>）满意度指标。主要包括</w:t>
      </w:r>
      <w:r>
        <w:rPr>
          <w:rFonts w:hint="eastAsia" w:eastAsia="仿宋_GB2312" w:cs="仿宋_GB2312"/>
          <w:kern w:val="2"/>
          <w:sz w:val="32"/>
          <w:szCs w:val="32"/>
          <w:lang w:val="en-US" w:eastAsia="zh-CN" w:bidi="ar"/>
        </w:rPr>
        <w:t>观众及项目实施单位</w:t>
      </w:r>
      <w:r>
        <w:rPr>
          <w:rFonts w:hint="default" w:eastAsia="仿宋_GB2312" w:cs="仿宋_GB2312"/>
          <w:kern w:val="2"/>
          <w:sz w:val="32"/>
          <w:szCs w:val="32"/>
          <w:lang w:val="en-US" w:eastAsia="zh-CN" w:bidi="ar"/>
        </w:rPr>
        <w:t>对免费开放项目的满意度等。</w:t>
      </w:r>
    </w:p>
    <w:p w14:paraId="6A25533C">
      <w:pPr>
        <w:pStyle w:val="3"/>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Lines="0" w:beforeAutospacing="0" w:after="0" w:afterLines="0" w:afterAutospacing="0" w:line="560" w:lineRule="exact"/>
        <w:ind w:left="0" w:right="0" w:firstLine="640" w:firstLineChars="200"/>
        <w:textAlignment w:val="auto"/>
        <w:rPr>
          <w:rFonts w:hint="default" w:ascii="Times New Roman" w:hAnsi="Times New Roman" w:eastAsia="黑体" w:cs="Times New Roman"/>
          <w:b w:val="0"/>
          <w:bCs/>
          <w:kern w:val="44"/>
          <w:sz w:val="32"/>
          <w:szCs w:val="32"/>
          <w:lang w:val="en-US" w:eastAsia="zh-CN"/>
        </w:rPr>
      </w:pPr>
      <w:r>
        <w:rPr>
          <w:rFonts w:hint="eastAsia" w:ascii="Times New Roman" w:hAnsi="Times New Roman" w:eastAsia="黑体" w:cs="黑体"/>
          <w:b w:val="0"/>
          <w:bCs/>
          <w:kern w:val="44"/>
          <w:sz w:val="32"/>
          <w:szCs w:val="32"/>
        </w:rPr>
        <w:t>二、绩效目标</w:t>
      </w:r>
      <w:r>
        <w:rPr>
          <w:rFonts w:hint="eastAsia" w:cs="黑体"/>
          <w:b w:val="0"/>
          <w:bCs/>
          <w:kern w:val="44"/>
          <w:sz w:val="32"/>
          <w:szCs w:val="32"/>
          <w:lang w:val="en-US" w:eastAsia="zh-CN"/>
        </w:rPr>
        <w:t>完成情况</w:t>
      </w:r>
    </w:p>
    <w:p w14:paraId="21B3AB56">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0" w:beforeAutospacing="0" w:after="0" w:afterAutospacing="0" w:line="560" w:lineRule="exact"/>
        <w:ind w:left="0" w:right="0" w:firstLine="643" w:firstLineChars="200"/>
        <w:textAlignment w:val="auto"/>
        <w:rPr>
          <w:rFonts w:hint="eastAsia" w:ascii="Times New Roman" w:hAnsi="Times New Roman" w:eastAsia="楷体_GB2312" w:cs="楷体_GB2312"/>
          <w:b/>
          <w:bCs w:val="0"/>
          <w:kern w:val="2"/>
          <w:sz w:val="32"/>
          <w:szCs w:val="32"/>
          <w:lang w:val="en-US" w:eastAsia="zh-CN"/>
        </w:rPr>
      </w:pPr>
      <w:r>
        <w:rPr>
          <w:rFonts w:hint="eastAsia" w:ascii="Times New Roman" w:hAnsi="Times New Roman" w:eastAsia="楷体_GB2312" w:cs="楷体_GB2312"/>
          <w:b/>
          <w:bCs w:val="0"/>
          <w:kern w:val="2"/>
          <w:sz w:val="32"/>
          <w:szCs w:val="32"/>
          <w:lang w:val="en-US" w:eastAsia="zh-CN"/>
        </w:rPr>
        <w:t>（一）资金投入情况分析</w:t>
      </w:r>
    </w:p>
    <w:p w14:paraId="4D77136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highlight w:val="none"/>
          <w:lang w:val="en-US" w:eastAsia="zh-CN" w:bidi="ar"/>
        </w:rPr>
      </w:pPr>
      <w:r>
        <w:rPr>
          <w:rFonts w:hint="eastAsia" w:ascii="Times New Roman" w:hAnsi="Times New Roman" w:eastAsia="仿宋_GB2312" w:cs="仿宋_GB2312"/>
          <w:kern w:val="2"/>
          <w:sz w:val="32"/>
          <w:szCs w:val="32"/>
          <w:highlight w:val="none"/>
          <w:lang w:val="en-US" w:eastAsia="zh-CN" w:bidi="ar"/>
        </w:rPr>
        <w:t>2025年度</w:t>
      </w:r>
      <w:r>
        <w:rPr>
          <w:rFonts w:hint="eastAsia" w:eastAsia="仿宋_GB2312" w:cs="仿宋_GB2312"/>
          <w:kern w:val="2"/>
          <w:sz w:val="32"/>
          <w:szCs w:val="32"/>
          <w:highlight w:val="none"/>
          <w:lang w:val="en-US" w:eastAsia="zh-CN" w:bidi="ar"/>
        </w:rPr>
        <w:t>，</w:t>
      </w:r>
      <w:r>
        <w:rPr>
          <w:rFonts w:hint="eastAsia" w:ascii="仿宋_GB2312" w:hAnsi="仿宋_GB2312" w:eastAsia="仿宋_GB2312" w:cs="仿宋_GB2312"/>
          <w:kern w:val="2"/>
          <w:sz w:val="32"/>
          <w:szCs w:val="32"/>
          <w:lang w:val="en-US" w:eastAsia="zh-CN" w:bidi="ar"/>
        </w:rPr>
        <w:t>“三馆一站”</w:t>
      </w:r>
      <w:r>
        <w:rPr>
          <w:rFonts w:hint="default" w:ascii="Times New Roman" w:hAnsi="Times New Roman" w:eastAsia="仿宋_GB2312" w:cs="Times New Roman"/>
          <w:kern w:val="2"/>
          <w:sz w:val="32"/>
          <w:szCs w:val="32"/>
          <w:lang w:val="en-US" w:eastAsia="zh-CN" w:bidi="ar"/>
        </w:rPr>
        <w:t>免费开放补助资金</w:t>
      </w:r>
      <w:r>
        <w:rPr>
          <w:rFonts w:hint="eastAsia" w:ascii="Times New Roman" w:hAnsi="Times New Roman" w:eastAsia="仿宋_GB2312" w:cs="仿宋_GB2312"/>
          <w:kern w:val="2"/>
          <w:sz w:val="32"/>
          <w:szCs w:val="32"/>
          <w:highlight w:val="none"/>
          <w:lang w:val="en-US" w:eastAsia="zh-CN" w:bidi="ar"/>
        </w:rPr>
        <w:t>全年预算总额</w:t>
      </w:r>
      <w:r>
        <w:rPr>
          <w:rFonts w:hint="eastAsia" w:ascii="Times New Roman" w:hAnsi="Times New Roman" w:eastAsia="仿宋_GB2312" w:cs="Times New Roman"/>
          <w:kern w:val="2"/>
          <w:sz w:val="32"/>
          <w:szCs w:val="32"/>
          <w:lang w:val="en-US" w:eastAsia="zh-CN" w:bidi="ar"/>
        </w:rPr>
        <w:t>11472</w:t>
      </w:r>
      <w:r>
        <w:rPr>
          <w:rFonts w:hint="eastAsia" w:ascii="Times New Roman" w:hAnsi="Times New Roman" w:eastAsia="仿宋_GB2312" w:cs="仿宋_GB2312"/>
          <w:kern w:val="2"/>
          <w:sz w:val="32"/>
          <w:szCs w:val="32"/>
          <w:highlight w:val="none"/>
          <w:lang w:val="en-US" w:eastAsia="zh-CN" w:bidi="ar"/>
        </w:rPr>
        <w:t>万元，</w:t>
      </w:r>
      <w:r>
        <w:rPr>
          <w:rFonts w:hint="eastAsia" w:eastAsia="仿宋_GB2312" w:cs="仿宋_GB2312"/>
          <w:kern w:val="2"/>
          <w:sz w:val="32"/>
          <w:szCs w:val="32"/>
          <w:highlight w:val="none"/>
          <w:lang w:val="en-US" w:eastAsia="zh-CN" w:bidi="ar"/>
        </w:rPr>
        <w:t>截至自评基准日，已支出</w:t>
      </w:r>
      <w:r>
        <w:rPr>
          <w:rFonts w:hint="eastAsia" w:ascii="Times New Roman" w:hAnsi="Times New Roman" w:eastAsia="仿宋_GB2312" w:cs="仿宋_GB2312"/>
          <w:i w:val="0"/>
          <w:iCs w:val="0"/>
          <w:color w:val="auto"/>
          <w:sz w:val="32"/>
          <w:szCs w:val="32"/>
          <w:highlight w:val="none"/>
          <w:u w:val="none"/>
          <w:lang w:val="en-US" w:eastAsia="zh-CN" w:bidi="ar"/>
        </w:rPr>
        <w:t>8454</w:t>
      </w:r>
      <w:r>
        <w:rPr>
          <w:rFonts w:hint="eastAsia" w:eastAsia="仿宋_GB2312" w:cs="仿宋_GB2312"/>
          <w:i w:val="0"/>
          <w:iCs w:val="0"/>
          <w:color w:val="auto"/>
          <w:sz w:val="32"/>
          <w:szCs w:val="32"/>
          <w:highlight w:val="none"/>
          <w:u w:val="none"/>
          <w:lang w:val="en-US" w:eastAsia="zh-CN" w:bidi="ar"/>
        </w:rPr>
        <w:t>.</w:t>
      </w:r>
      <w:r>
        <w:rPr>
          <w:rFonts w:hint="eastAsia" w:ascii="Times New Roman" w:hAnsi="Times New Roman" w:eastAsia="仿宋_GB2312" w:cs="仿宋_GB2312"/>
          <w:i w:val="0"/>
          <w:iCs w:val="0"/>
          <w:color w:val="auto"/>
          <w:sz w:val="32"/>
          <w:szCs w:val="32"/>
          <w:highlight w:val="none"/>
          <w:u w:val="none"/>
          <w:lang w:val="en-US" w:eastAsia="zh-CN" w:bidi="ar"/>
        </w:rPr>
        <w:t>26</w:t>
      </w:r>
      <w:r>
        <w:rPr>
          <w:rFonts w:hint="eastAsia" w:ascii="Times New Roman" w:hAnsi="Times New Roman" w:eastAsia="仿宋_GB2312" w:cs="仿宋_GB2312"/>
          <w:kern w:val="2"/>
          <w:sz w:val="32"/>
          <w:szCs w:val="32"/>
          <w:highlight w:val="none"/>
          <w:lang w:val="en-US" w:eastAsia="zh-CN" w:bidi="ar"/>
        </w:rPr>
        <w:t>万元，预算执行率73</w:t>
      </w:r>
      <w:r>
        <w:rPr>
          <w:rFonts w:hint="eastAsia" w:eastAsia="仿宋_GB2312" w:cs="仿宋_GB2312"/>
          <w:kern w:val="2"/>
          <w:sz w:val="32"/>
          <w:szCs w:val="32"/>
          <w:highlight w:val="none"/>
          <w:lang w:val="en-US" w:eastAsia="zh-CN" w:bidi="ar"/>
        </w:rPr>
        <w:t>.</w:t>
      </w:r>
      <w:r>
        <w:rPr>
          <w:rFonts w:hint="eastAsia" w:ascii="Times New Roman" w:hAnsi="Times New Roman" w:eastAsia="仿宋_GB2312" w:cs="仿宋_GB2312"/>
          <w:kern w:val="2"/>
          <w:sz w:val="32"/>
          <w:szCs w:val="32"/>
          <w:highlight w:val="none"/>
          <w:lang w:val="en-US" w:eastAsia="zh-CN" w:bidi="ar"/>
        </w:rPr>
        <w:t>69%，资金拨付及时、支出合规，执行进度符合年度要求，无滞留、闲置、沉淀情况。</w:t>
      </w:r>
    </w:p>
    <w:tbl>
      <w:tblPr>
        <w:tblStyle w:val="10"/>
        <w:tblW w:w="900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479"/>
        <w:gridCol w:w="2175"/>
        <w:gridCol w:w="2175"/>
        <w:gridCol w:w="2175"/>
      </w:tblGrid>
      <w:tr w14:paraId="0B0A0D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916F2">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市州</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8B9A1">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default" w:ascii="Times New Roman" w:hAnsi="Times New Roman" w:eastAsia="仿宋_GB2312" w:cs="Times New Roman"/>
                <w:i w:val="0"/>
                <w:iCs w:val="0"/>
                <w:color w:val="000000"/>
                <w:kern w:val="0"/>
                <w:sz w:val="28"/>
                <w:szCs w:val="28"/>
                <w:u w:val="none"/>
                <w:lang w:val="en-US" w:eastAsia="zh-CN" w:bidi="ar"/>
              </w:rPr>
              <w:t>金额</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3159CA">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支出金额</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D5529">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执行率</w:t>
            </w:r>
          </w:p>
        </w:tc>
      </w:tr>
      <w:tr w14:paraId="2A5DB3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CA3A0D">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长沙市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1E4E8">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804</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1CAD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461.70</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153D8">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57.43%</w:t>
            </w:r>
          </w:p>
        </w:tc>
      </w:tr>
      <w:tr w14:paraId="4F76A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B6905">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株洲市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54AC83">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693</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FC55C">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491.01</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833A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70.85%</w:t>
            </w:r>
          </w:p>
        </w:tc>
      </w:tr>
      <w:tr w14:paraId="1D5683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F586B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湘潭市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729DA">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438</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22340">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393.32</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26295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89.80%</w:t>
            </w:r>
          </w:p>
        </w:tc>
      </w:tr>
      <w:tr w14:paraId="5D2F9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64AF">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衡阳市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FD49A3">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1107</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71A8C">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653.87</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D511E">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59.07%</w:t>
            </w:r>
          </w:p>
        </w:tc>
      </w:tr>
      <w:tr w14:paraId="5B8F00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ACD9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岳阳市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1F54D">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861</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EEB83">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805.25</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A2B540">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93.53%</w:t>
            </w:r>
          </w:p>
        </w:tc>
      </w:tr>
      <w:tr w14:paraId="55934E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5D05D">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常德市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034FE">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909</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737AD">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795.75</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8BF254">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87.54%</w:t>
            </w:r>
          </w:p>
        </w:tc>
      </w:tr>
      <w:tr w14:paraId="7F7CA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84F75">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郴州市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BF42C">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864</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1CFE00">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715.66</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5D25C">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82.83%</w:t>
            </w:r>
          </w:p>
        </w:tc>
      </w:tr>
      <w:tr w14:paraId="12AC1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F52FEF">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娄底市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B6A59">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534</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B2549">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503.31</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39CD0">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94.25%</w:t>
            </w:r>
          </w:p>
        </w:tc>
      </w:tr>
      <w:tr w14:paraId="256E5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80CBC">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邵阳市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481E2">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1038</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4AE54">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541.24</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4CA0B">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52.14%</w:t>
            </w:r>
          </w:p>
        </w:tc>
      </w:tr>
      <w:tr w14:paraId="4D55F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A1B497">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益阳市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26BEA">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567</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B7D2C">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563.00</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A1A647">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99.29%</w:t>
            </w:r>
          </w:p>
        </w:tc>
      </w:tr>
      <w:tr w14:paraId="721DE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8890B4">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永州市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A8353">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948</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F75BC">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744.03</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25E62F">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78.48%</w:t>
            </w:r>
          </w:p>
        </w:tc>
      </w:tr>
      <w:tr w14:paraId="1E622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0F75">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怀化市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D4A3F">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1236</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827443">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906.16</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74D8D">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73.31%</w:t>
            </w:r>
          </w:p>
        </w:tc>
      </w:tr>
      <w:tr w14:paraId="6BDA9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354C90">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张家界市</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FC23EB">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405</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940B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274.64</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BDD9E">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67.81%</w:t>
            </w:r>
          </w:p>
        </w:tc>
      </w:tr>
      <w:tr w14:paraId="76585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BA0E4">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湘西土家族苗族自治州</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08A7AD">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1068</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16916">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557.73</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B7619">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52.22%</w:t>
            </w:r>
          </w:p>
        </w:tc>
      </w:tr>
      <w:tr w14:paraId="787CA0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2" w:hRule="atLeast"/>
          <w:jc w:val="center"/>
        </w:trPr>
        <w:tc>
          <w:tcPr>
            <w:tcW w:w="247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06C4B">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总计</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1460B0">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11472</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523D22">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8454.26</w:t>
            </w:r>
          </w:p>
        </w:tc>
        <w:tc>
          <w:tcPr>
            <w:tcW w:w="21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4FFAA">
            <w:pPr>
              <w:keepNext w:val="0"/>
              <w:keepLines w:val="0"/>
              <w:pageBreakBefore w:val="0"/>
              <w:widowControl/>
              <w:suppressLineNumbers w:val="0"/>
              <w:kinsoku/>
              <w:wordWrap/>
              <w:overflowPunct/>
              <w:topLinePunct w:val="0"/>
              <w:autoSpaceDE/>
              <w:autoSpaceDN/>
              <w:bidi w:val="0"/>
              <w:adjustRightInd/>
              <w:snapToGrid w:val="0"/>
              <w:spacing w:line="360" w:lineRule="exact"/>
              <w:jc w:val="center"/>
              <w:textAlignment w:val="center"/>
              <w:rPr>
                <w:rFonts w:hint="default" w:ascii="Times New Roman" w:hAnsi="Times New Roman" w:eastAsia="仿宋_GB2312" w:cs="Times New Roman"/>
                <w:i w:val="0"/>
                <w:iCs w:val="0"/>
                <w:color w:val="000000"/>
                <w:kern w:val="0"/>
                <w:sz w:val="28"/>
                <w:szCs w:val="28"/>
                <w:u w:val="none"/>
                <w:lang w:val="en-US" w:eastAsia="zh-CN" w:bidi="ar"/>
              </w:rPr>
            </w:pPr>
            <w:r>
              <w:rPr>
                <w:rFonts w:hint="eastAsia" w:ascii="Times New Roman" w:hAnsi="Times New Roman" w:eastAsia="仿宋_GB2312" w:cs="Times New Roman"/>
                <w:i w:val="0"/>
                <w:iCs w:val="0"/>
                <w:color w:val="000000"/>
                <w:kern w:val="0"/>
                <w:sz w:val="28"/>
                <w:szCs w:val="28"/>
                <w:u w:val="none"/>
                <w:lang w:val="en-US" w:eastAsia="zh-CN" w:bidi="ar"/>
              </w:rPr>
              <w:t>73.69%</w:t>
            </w:r>
          </w:p>
        </w:tc>
      </w:tr>
    </w:tbl>
    <w:p w14:paraId="1B0E71A4">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3" w:firstLineChars="200"/>
        <w:textAlignment w:val="auto"/>
        <w:rPr>
          <w:rFonts w:hint="eastAsia" w:ascii="Times New Roman" w:hAnsi="Times New Roman" w:eastAsia="楷体_GB2312" w:cs="楷体_GB2312"/>
          <w:b/>
          <w:bCs w:val="0"/>
          <w:kern w:val="2"/>
          <w:sz w:val="32"/>
          <w:szCs w:val="32"/>
          <w:highlight w:val="none"/>
          <w:lang w:val="en-US" w:eastAsia="zh-CN"/>
        </w:rPr>
      </w:pPr>
      <w:r>
        <w:rPr>
          <w:rFonts w:hint="eastAsia" w:ascii="Times New Roman" w:hAnsi="Times New Roman" w:eastAsia="楷体_GB2312" w:cs="楷体_GB2312"/>
          <w:b/>
          <w:bCs w:val="0"/>
          <w:kern w:val="2"/>
          <w:sz w:val="32"/>
          <w:szCs w:val="32"/>
          <w:highlight w:val="none"/>
          <w:lang w:val="en-US" w:eastAsia="zh-CN"/>
        </w:rPr>
        <w:t>（二）资金管理情况分析</w:t>
      </w:r>
    </w:p>
    <w:p w14:paraId="00440D91">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rPr>
      </w:pPr>
      <w:r>
        <w:rPr>
          <w:rFonts w:hint="eastAsia" w:ascii="Times New Roman" w:hAnsi="Times New Roman" w:eastAsia="仿宋_GB2312" w:cs="仿宋_GB2312"/>
          <w:kern w:val="2"/>
          <w:sz w:val="32"/>
          <w:szCs w:val="32"/>
          <w:lang w:val="en-US" w:eastAsia="zh-CN" w:bidi="ar"/>
        </w:rPr>
        <w:t>我省根据《中华人民共和国预算法》《中华人民共和国公共文化服务保障法》等有关法律法规的规定，制定了《湖南省实施〈中华人民共和国公共文化服务保障法〉办法》《湖南省文化旅游发展专项资金管理办法》，规范资金管理。各市州根据相关规定，结合实际情况，制定了相应的专项资金管理制度，从制度层面上对该专项资金的使用和管理作出了规定，为风险控制和资金管理提供了制度保障，有助于规范项目资金使用。从自评情况来看，各市州基本能够按照专项资金管理要求使用专项资金，未发现挪用、挤占专项资金行为。</w:t>
      </w:r>
    </w:p>
    <w:p w14:paraId="6DE22E10">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3"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1</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仿宋_GB2312"/>
          <w:b/>
          <w:bCs/>
          <w:kern w:val="2"/>
          <w:sz w:val="32"/>
          <w:szCs w:val="32"/>
          <w:lang w:val="en-US" w:eastAsia="zh-CN" w:bidi="ar"/>
        </w:rPr>
        <w:t>分配科学性。</w:t>
      </w:r>
      <w:r>
        <w:rPr>
          <w:rFonts w:hint="eastAsia" w:ascii="Times New Roman" w:hAnsi="Times New Roman" w:eastAsia="仿宋_GB2312" w:cs="仿宋_GB2312"/>
          <w:kern w:val="2"/>
          <w:sz w:val="32"/>
          <w:szCs w:val="32"/>
          <w:lang w:val="en-US" w:eastAsia="zh-CN" w:bidi="ar"/>
        </w:rPr>
        <w:t>严格遵循《中央支持地方公共文化服务体系建设补助资金管理办法》</w:t>
      </w:r>
      <w:r>
        <w:rPr>
          <w:rFonts w:hint="eastAsia" w:eastAsia="仿宋_GB2312" w:cs="仿宋_GB2312"/>
          <w:kern w:val="2"/>
          <w:sz w:val="32"/>
          <w:szCs w:val="32"/>
          <w:lang w:val="en-US" w:eastAsia="zh-CN" w:bidi="ar"/>
        </w:rPr>
        <w:t>及湖南省专项资金管理有关</w:t>
      </w:r>
      <w:r>
        <w:rPr>
          <w:rFonts w:hint="eastAsia" w:ascii="Times New Roman" w:hAnsi="Times New Roman" w:eastAsia="仿宋_GB2312" w:cs="仿宋_GB2312"/>
          <w:kern w:val="2"/>
          <w:sz w:val="32"/>
          <w:szCs w:val="32"/>
          <w:lang w:val="en-US" w:eastAsia="zh-CN" w:bidi="ar"/>
        </w:rPr>
        <w:t>规定的资金分配范围与标准，结合湖南省公共文化服务体系建设实际需求，拟定省内资金分配方案。分配过程中充分衔接湖南省文化和旅游厅年度工作部署，确保资金投向与全省公共文化服务标准化、均等化建设目标高度契合，分配结果公开透明、依据充分，有效保障资金配置的科学性与合理性。</w:t>
      </w:r>
    </w:p>
    <w:p w14:paraId="28AA9D88">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3"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2</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Times New Roman"/>
          <w:b/>
          <w:bCs/>
          <w:kern w:val="2"/>
          <w:sz w:val="32"/>
          <w:szCs w:val="32"/>
          <w:lang w:val="en-US" w:eastAsia="zh-CN" w:bidi="ar"/>
        </w:rPr>
        <w:t>下达及时性。</w:t>
      </w:r>
      <w:r>
        <w:rPr>
          <w:rFonts w:hint="eastAsia" w:ascii="Times New Roman" w:hAnsi="Times New Roman" w:eastAsia="仿宋_GB2312" w:cs="仿宋_GB2312"/>
          <w:kern w:val="2"/>
          <w:sz w:val="32"/>
          <w:szCs w:val="32"/>
          <w:lang w:val="en-US" w:eastAsia="zh-CN" w:bidi="ar"/>
        </w:rPr>
        <w:t>严格依照《</w:t>
      </w:r>
      <w:r>
        <w:rPr>
          <w:rFonts w:hint="eastAsia" w:eastAsia="仿宋_GB2312" w:cs="仿宋_GB2312"/>
          <w:kern w:val="2"/>
          <w:sz w:val="32"/>
          <w:szCs w:val="32"/>
          <w:lang w:val="en-US" w:eastAsia="zh-CN" w:bidi="ar"/>
        </w:rPr>
        <w:t>中华人民共和国预算法</w:t>
      </w:r>
      <w:r>
        <w:rPr>
          <w:rFonts w:hint="eastAsia" w:ascii="Times New Roman" w:hAnsi="Times New Roman" w:eastAsia="仿宋_GB2312" w:cs="仿宋_GB2312"/>
          <w:kern w:val="2"/>
          <w:sz w:val="32"/>
          <w:szCs w:val="32"/>
          <w:lang w:val="en-US" w:eastAsia="zh-CN" w:bidi="ar"/>
        </w:rPr>
        <w:t>》及其实施条例、转移支付管理制度和资金管理办法规定的时限要求，开展省内资金分解下达工作。省财政厅会同省文化和旅游厅，在完成资金分配方案审核、报批等程序后，第一时间印发资金分解下达文件，明确资金额度、使用范围、实施要求及完成时限，确保省内资金与中央下达资金同步衔接、及时落地。</w:t>
      </w:r>
    </w:p>
    <w:p w14:paraId="32CF76B0">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3"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3</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Times New Roman"/>
          <w:b/>
          <w:bCs/>
          <w:kern w:val="2"/>
          <w:sz w:val="32"/>
          <w:szCs w:val="32"/>
          <w:lang w:val="en-US" w:eastAsia="zh-CN" w:bidi="ar"/>
        </w:rPr>
        <w:t>拨付合规性。</w:t>
      </w:r>
      <w:r>
        <w:rPr>
          <w:rFonts w:hint="eastAsia" w:ascii="Times New Roman" w:hAnsi="Times New Roman" w:eastAsia="仿宋_GB2312" w:cs="仿宋_GB2312"/>
          <w:kern w:val="2"/>
          <w:sz w:val="32"/>
          <w:szCs w:val="32"/>
          <w:lang w:val="en-US" w:eastAsia="zh-CN" w:bidi="ar"/>
        </w:rPr>
        <w:t>严格依照《</w:t>
      </w:r>
      <w:r>
        <w:rPr>
          <w:rFonts w:hint="eastAsia" w:eastAsia="仿宋_GB2312" w:cs="仿宋_GB2312"/>
          <w:kern w:val="2"/>
          <w:sz w:val="32"/>
          <w:szCs w:val="32"/>
          <w:lang w:val="en-US" w:eastAsia="zh-CN" w:bidi="ar"/>
        </w:rPr>
        <w:t>中华人民共和国预算法</w:t>
      </w:r>
      <w:r>
        <w:rPr>
          <w:rFonts w:hint="eastAsia" w:ascii="Times New Roman" w:hAnsi="Times New Roman" w:eastAsia="仿宋_GB2312" w:cs="仿宋_GB2312"/>
          <w:kern w:val="2"/>
          <w:sz w:val="32"/>
          <w:szCs w:val="32"/>
          <w:lang w:val="en-US" w:eastAsia="zh-CN" w:bidi="ar"/>
        </w:rPr>
        <w:t>》及其实施条例、转移支付管理制度和资金管理办法规定的时限要求，开展省内资金分解下达工作。省财政厅会同省文化和旅游厅，在完成资金分配方案审核、报批等程序后，第一时间印发资金分解下达文件，明确资金额度、使用范围、实施要求及完成时限，确保省内资金与中央下达资金同步衔接、及时落地，未出现超时限下达、延迟拨付等情况。</w:t>
      </w:r>
    </w:p>
    <w:p w14:paraId="4F4B4C0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4</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Times New Roman"/>
          <w:b/>
          <w:bCs/>
          <w:kern w:val="2"/>
          <w:sz w:val="32"/>
          <w:szCs w:val="32"/>
          <w:lang w:val="en-US" w:eastAsia="zh-CN" w:bidi="ar"/>
        </w:rPr>
        <w:t>使用规范性。</w:t>
      </w:r>
      <w:r>
        <w:rPr>
          <w:rFonts w:hint="eastAsia" w:ascii="Times New Roman" w:hAnsi="Times New Roman" w:eastAsia="仿宋_GB2312" w:cs="仿宋_GB2312"/>
          <w:kern w:val="2"/>
          <w:sz w:val="32"/>
          <w:szCs w:val="32"/>
          <w:lang w:val="en-US" w:eastAsia="zh-CN" w:bidi="ar"/>
        </w:rPr>
        <w:t>明确资金用于基层公共文化体育设施改善、公共文化服务人才队伍建设、基本公共文化服务项目开展等指定领域，未发生截留、挤占、挪用或擅自调整资金用途等违规行为。项目实施单位严格落实专款专用、专账核算要求，建立健全财务管理制度，规范会计核算流程，确保资金使用全程可追溯、合规性可控。</w:t>
      </w:r>
    </w:p>
    <w:p w14:paraId="2AD646B9">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3"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b/>
          <w:bCs/>
          <w:kern w:val="2"/>
          <w:sz w:val="32"/>
          <w:szCs w:val="32"/>
          <w:lang w:val="en-US" w:eastAsia="zh-CN" w:bidi="ar"/>
        </w:rPr>
        <w:t>5</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Times New Roman"/>
          <w:b/>
          <w:bCs/>
          <w:kern w:val="2"/>
          <w:sz w:val="32"/>
          <w:szCs w:val="32"/>
          <w:lang w:val="en-US" w:eastAsia="zh-CN" w:bidi="ar"/>
        </w:rPr>
        <w:t>执行准确性。</w:t>
      </w:r>
      <w:r>
        <w:rPr>
          <w:rFonts w:hint="eastAsia" w:ascii="Times New Roman" w:hAnsi="Times New Roman" w:eastAsia="仿宋_GB2312" w:cs="仿宋_GB2312"/>
          <w:kern w:val="2"/>
          <w:sz w:val="32"/>
          <w:szCs w:val="32"/>
          <w:lang w:val="en-US" w:eastAsia="zh-CN" w:bidi="ar"/>
        </w:rPr>
        <w:t>遵循年度预算安排的金额组织资金执行，强化预算执行全过程监控，实时跟踪资金拨付、项目实施进度，确保实际执行数与预算安排数高度匹配，不存在执行数偏离预算数较多、预算执行偏差过大等情况，切实维护预算的严肃性与执行力。</w:t>
      </w:r>
      <w:r>
        <w:rPr>
          <w:rFonts w:hint="eastAsia" w:eastAsia="仿宋_GB2312" w:cs="仿宋_GB2312"/>
          <w:kern w:val="2"/>
          <w:sz w:val="32"/>
          <w:szCs w:val="32"/>
          <w:lang w:val="en-US" w:eastAsia="zh-CN" w:bidi="ar"/>
        </w:rPr>
        <w:t>但存在</w:t>
      </w:r>
      <w:r>
        <w:rPr>
          <w:rFonts w:hint="eastAsia" w:ascii="Times New Roman" w:hAnsi="Times New Roman" w:eastAsia="仿宋_GB2312" w:cs="仿宋_GB2312"/>
          <w:kern w:val="2"/>
          <w:sz w:val="32"/>
          <w:szCs w:val="32"/>
          <w:lang w:val="en-US" w:eastAsia="zh-CN" w:bidi="ar"/>
        </w:rPr>
        <w:t>部分项目资金因项目进展较缓慢，</w:t>
      </w:r>
      <w:r>
        <w:rPr>
          <w:rFonts w:hint="eastAsia" w:eastAsia="仿宋_GB2312" w:cs="仿宋_GB2312"/>
          <w:kern w:val="2"/>
          <w:sz w:val="32"/>
          <w:szCs w:val="32"/>
          <w:lang w:val="en-US" w:eastAsia="zh-CN" w:bidi="ar"/>
        </w:rPr>
        <w:t>资金</w:t>
      </w:r>
      <w:r>
        <w:rPr>
          <w:rFonts w:hint="eastAsia" w:ascii="Times New Roman" w:hAnsi="Times New Roman" w:eastAsia="仿宋_GB2312" w:cs="仿宋_GB2312"/>
          <w:kern w:val="2"/>
          <w:sz w:val="32"/>
          <w:szCs w:val="32"/>
          <w:lang w:val="en-US" w:eastAsia="zh-CN" w:bidi="ar"/>
        </w:rPr>
        <w:t>执行率不高的情况。</w:t>
      </w:r>
    </w:p>
    <w:p w14:paraId="21823FE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Times New Roman"/>
          <w:b/>
          <w:bCs/>
          <w:kern w:val="2"/>
          <w:sz w:val="32"/>
          <w:szCs w:val="32"/>
          <w:lang w:val="en-US" w:eastAsia="zh-CN" w:bidi="ar"/>
        </w:rPr>
        <w:t>6</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Times New Roman"/>
          <w:b/>
          <w:bCs/>
          <w:kern w:val="2"/>
          <w:sz w:val="32"/>
          <w:szCs w:val="32"/>
          <w:lang w:val="en-US" w:eastAsia="zh-CN" w:bidi="ar"/>
        </w:rPr>
        <w:t>预算绩效管理情况。</w:t>
      </w:r>
      <w:r>
        <w:rPr>
          <w:rFonts w:hint="eastAsia" w:ascii="Times New Roman" w:hAnsi="Times New Roman" w:eastAsia="仿宋_GB2312" w:cs="仿宋_GB2312"/>
          <w:kern w:val="2"/>
          <w:sz w:val="32"/>
          <w:szCs w:val="32"/>
          <w:lang w:val="en-US" w:eastAsia="zh-CN" w:bidi="ar"/>
        </w:rPr>
        <w:t>在细化下达省内预算的同时，同步分解下达对应绩效目标，明确各项资金的产出指标、效益指标及服务对象满意度指标。将省内公共文化服务体系建设资金全面纳入本级预算绩效管理及对下转移支付绩效管理体系，构建“预算编制有目标、预算执行有监控、预算完成有评价、评价结果有应用”的全过程绩效管理机制。</w:t>
      </w:r>
      <w:r>
        <w:rPr>
          <w:rFonts w:hint="eastAsia" w:eastAsia="仿宋_GB2312" w:cs="仿宋_GB2312"/>
          <w:kern w:val="2"/>
          <w:sz w:val="32"/>
          <w:szCs w:val="32"/>
          <w:lang w:val="en-US" w:eastAsia="zh-CN" w:bidi="ar"/>
        </w:rPr>
        <w:t>存在部分项目未按计划达成预期目标。</w:t>
      </w:r>
    </w:p>
    <w:p w14:paraId="7D282D6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eastAsia" w:ascii="Times New Roman" w:hAnsi="Times New Roman" w:eastAsia="仿宋_GB2312" w:cs="仿宋_GB2312"/>
          <w:kern w:val="2"/>
          <w:sz w:val="32"/>
          <w:szCs w:val="32"/>
          <w:lang w:val="en-US" w:eastAsia="zh-CN" w:bidi="ar"/>
        </w:rPr>
      </w:pPr>
      <w:r>
        <w:rPr>
          <w:rFonts w:hint="default" w:ascii="Times New Roman" w:hAnsi="Times New Roman" w:eastAsia="仿宋_GB2312" w:cs="Times New Roman"/>
          <w:b/>
          <w:bCs/>
          <w:kern w:val="2"/>
          <w:sz w:val="32"/>
          <w:szCs w:val="32"/>
          <w:lang w:val="en-US" w:eastAsia="zh-CN" w:bidi="ar"/>
        </w:rPr>
        <w:t>7</w:t>
      </w:r>
      <w:r>
        <w:rPr>
          <w:rFonts w:hint="default" w:ascii="Times New Roman" w:hAnsi="Times New Roman" w:eastAsia="仿宋_GB2312" w:cs="仿宋_GB2312"/>
          <w:b/>
          <w:bCs w:val="0"/>
          <w:kern w:val="2"/>
          <w:sz w:val="32"/>
          <w:szCs w:val="32"/>
          <w:lang w:val="en-US" w:eastAsia="zh-CN" w:bidi="ar"/>
        </w:rPr>
        <w:t>.</w:t>
      </w:r>
      <w:r>
        <w:rPr>
          <w:rFonts w:hint="eastAsia" w:ascii="Times New Roman" w:hAnsi="Times New Roman" w:eastAsia="仿宋_GB2312" w:cs="仿宋_GB2312"/>
          <w:b/>
          <w:bCs w:val="0"/>
          <w:kern w:val="2"/>
          <w:sz w:val="32"/>
          <w:szCs w:val="32"/>
          <w:lang w:val="en-US" w:eastAsia="zh-CN" w:bidi="ar"/>
        </w:rPr>
        <w:t>支</w:t>
      </w:r>
      <w:r>
        <w:rPr>
          <w:rFonts w:hint="eastAsia" w:ascii="Times New Roman" w:hAnsi="Times New Roman" w:eastAsia="仿宋_GB2312" w:cs="Times New Roman"/>
          <w:b/>
          <w:bCs/>
          <w:kern w:val="2"/>
          <w:sz w:val="32"/>
          <w:szCs w:val="32"/>
          <w:lang w:val="en-US" w:eastAsia="zh-CN" w:bidi="ar"/>
        </w:rPr>
        <w:t>出责任履行情况。</w:t>
      </w:r>
      <w:r>
        <w:rPr>
          <w:rFonts w:hint="eastAsia" w:ascii="Times New Roman" w:hAnsi="Times New Roman" w:eastAsia="仿宋_GB2312" w:cs="仿宋_GB2312"/>
          <w:kern w:val="2"/>
          <w:sz w:val="32"/>
          <w:szCs w:val="32"/>
          <w:lang w:val="en-US" w:eastAsia="zh-CN" w:bidi="ar"/>
        </w:rPr>
        <w:t>严格执行《中央支持地方公共文化服务体系建设补助资金管理办法》及湖南省文化和旅游厅配套管理</w:t>
      </w:r>
      <w:r>
        <w:rPr>
          <w:rFonts w:hint="eastAsia" w:eastAsia="仿宋_GB2312" w:cs="仿宋_GB2312"/>
          <w:kern w:val="2"/>
          <w:sz w:val="32"/>
          <w:szCs w:val="32"/>
          <w:lang w:val="en-US" w:eastAsia="zh-CN" w:bidi="ar"/>
        </w:rPr>
        <w:t>制度</w:t>
      </w:r>
      <w:r>
        <w:rPr>
          <w:rFonts w:hint="eastAsia" w:ascii="Times New Roman" w:hAnsi="Times New Roman" w:eastAsia="仿宋_GB2312" w:cs="仿宋_GB2312"/>
          <w:kern w:val="2"/>
          <w:sz w:val="32"/>
          <w:szCs w:val="32"/>
          <w:lang w:val="en-US" w:eastAsia="zh-CN" w:bidi="ar"/>
        </w:rPr>
        <w:t>，资金分配流程公开透明，分配依据结合我省基层公共文化服务实际情况科学设定，确保本级支出责任落实到位，为全省公共文化服务体系建设提供坚实的资金保障。</w:t>
      </w:r>
    </w:p>
    <w:p w14:paraId="55E687E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Times New Roman"/>
          <w:b/>
          <w:bCs/>
          <w:kern w:val="2"/>
          <w:sz w:val="32"/>
          <w:szCs w:val="32"/>
          <w:lang w:val="en-US" w:eastAsia="zh-CN" w:bidi="ar"/>
        </w:rPr>
        <w:t>8.政策目标实现情况</w:t>
      </w:r>
      <w:r>
        <w:rPr>
          <w:rFonts w:hint="eastAsia" w:eastAsia="仿宋_GB2312" w:cs="仿宋_GB2312"/>
          <w:kern w:val="2"/>
          <w:sz w:val="32"/>
          <w:szCs w:val="32"/>
          <w:lang w:val="en-US" w:eastAsia="zh-CN" w:bidi="ar"/>
        </w:rPr>
        <w:t>。按照中央支持地方公共文化服务体系建设补助资金相关政策要求，紧扣公共文化服务体系建设规划及湖南省文化强省建设部署，全面落实各项政策目标，成效显著、落地见效。</w:t>
      </w:r>
    </w:p>
    <w:p w14:paraId="6A444080">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left="0" w:right="0" w:firstLine="643" w:firstLineChars="200"/>
        <w:textAlignment w:val="auto"/>
        <w:rPr>
          <w:rFonts w:hint="eastAsia" w:ascii="Times New Roman" w:hAnsi="Times New Roman" w:eastAsia="楷体_GB2312" w:cs="楷体_GB2312"/>
          <w:b/>
          <w:bCs w:val="0"/>
          <w:kern w:val="2"/>
          <w:sz w:val="32"/>
          <w:szCs w:val="32"/>
          <w:lang w:val="en-US" w:eastAsia="zh-CN"/>
        </w:rPr>
      </w:pPr>
      <w:r>
        <w:rPr>
          <w:rFonts w:hint="eastAsia" w:ascii="Times New Roman" w:hAnsi="Times New Roman" w:eastAsia="楷体_GB2312" w:cs="楷体_GB2312"/>
          <w:b/>
          <w:bCs w:val="0"/>
          <w:kern w:val="2"/>
          <w:sz w:val="32"/>
          <w:szCs w:val="32"/>
          <w:lang w:val="en-US" w:eastAsia="zh-CN"/>
        </w:rPr>
        <w:t>（三）总体绩效目标完成情况分析</w:t>
      </w:r>
    </w:p>
    <w:p w14:paraId="58BF8E3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2025年度，湖南省严格落实国家公共文化服务体系建设要求，全面推进美术馆、公共图书馆、文化馆（站）免费开放工作，中央补助资金精准覆盖全省42个地市级“三馆”、287个县级“三馆”、2133个乡镇综合文化站及城市社区（街道）文化中心，有效保障了基层公共文化服务免费开放的资金需求，圆满完成年度总体目标，切实保障了人民群众基本文化权益，提升了全民科学文化素质与思想道德水平。</w:t>
      </w:r>
    </w:p>
    <w:p w14:paraId="4E0A20D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default" w:ascii="Times New Roman" w:hAnsi="Times New Roman" w:eastAsia="仿宋_GB2312" w:cs="仿宋_GB2312"/>
          <w:b/>
          <w:bCs/>
          <w:kern w:val="2"/>
          <w:sz w:val="32"/>
          <w:szCs w:val="32"/>
          <w:lang w:val="en-US" w:eastAsia="zh-CN" w:bidi="ar"/>
        </w:rPr>
      </w:pPr>
      <w:bookmarkStart w:id="0" w:name="_Toc21183"/>
      <w:r>
        <w:rPr>
          <w:rFonts w:hint="default" w:ascii="Times New Roman" w:hAnsi="Times New Roman" w:eastAsia="仿宋_GB2312" w:cs="仿宋_GB2312"/>
          <w:b/>
          <w:bCs/>
          <w:kern w:val="2"/>
          <w:sz w:val="32"/>
          <w:szCs w:val="32"/>
          <w:lang w:val="en-US" w:eastAsia="zh-CN" w:bidi="ar"/>
        </w:rPr>
        <w:t>1.产出指标完成情况</w:t>
      </w:r>
      <w:bookmarkEnd w:id="0"/>
    </w:p>
    <w:p w14:paraId="62D1430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（1）</w:t>
      </w:r>
      <w:r>
        <w:rPr>
          <w:rFonts w:hint="default" w:ascii="Times New Roman" w:hAnsi="Times New Roman" w:eastAsia="仿宋_GB2312" w:cs="仿宋_GB2312"/>
          <w:kern w:val="2"/>
          <w:sz w:val="32"/>
          <w:szCs w:val="32"/>
          <w:lang w:val="en-US" w:eastAsia="zh-CN" w:bidi="ar"/>
        </w:rPr>
        <w:t>数量指标</w:t>
      </w:r>
    </w:p>
    <w:p w14:paraId="11E025B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公共图书馆按规定免费开放个数：实际完成数量148个，完成年度目标。</w:t>
      </w:r>
    </w:p>
    <w:p w14:paraId="20E7B23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文化馆（站）按规定免费开放个数：实际完成数量2282个，完成年度目标。</w:t>
      </w:r>
    </w:p>
    <w:p w14:paraId="34DC66F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美术馆按规定免费开放个数：实际完成数量38个，完成年度目标。</w:t>
      </w:r>
    </w:p>
    <w:p w14:paraId="1E38F40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w:t>
      </w:r>
      <w:r>
        <w:rPr>
          <w:rFonts w:hint="default" w:ascii="Times New Roman" w:hAnsi="Times New Roman" w:eastAsia="仿宋_GB2312" w:cs="仿宋_GB2312"/>
          <w:kern w:val="2"/>
          <w:sz w:val="32"/>
          <w:szCs w:val="32"/>
          <w:lang w:val="en-US" w:eastAsia="zh-CN" w:bidi="ar"/>
        </w:rPr>
        <w:t>质量指标</w:t>
      </w:r>
    </w:p>
    <w:p w14:paraId="3E23B61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补助对象精准率：实现100%，精准覆盖符合条件的</w:t>
      </w:r>
      <w:r>
        <w:rPr>
          <w:rFonts w:hint="eastAsia" w:ascii="仿宋_GB2312" w:hAnsi="仿宋_GB2312" w:eastAsia="仿宋_GB2312" w:cs="仿宋_GB2312"/>
          <w:kern w:val="2"/>
          <w:sz w:val="32"/>
          <w:szCs w:val="32"/>
          <w:lang w:val="en-US" w:eastAsia="zh-CN" w:bidi="ar"/>
        </w:rPr>
        <w:t>“三馆一站”</w:t>
      </w:r>
      <w:r>
        <w:rPr>
          <w:rFonts w:hint="default" w:ascii="Times New Roman" w:hAnsi="Times New Roman" w:eastAsia="仿宋_GB2312" w:cs="仿宋_GB2312"/>
          <w:kern w:val="2"/>
          <w:sz w:val="32"/>
          <w:szCs w:val="32"/>
          <w:lang w:val="en-US" w:eastAsia="zh-CN" w:bidi="ar"/>
        </w:rPr>
        <w:t>及社区文化中心，完成年度目标。</w:t>
      </w:r>
    </w:p>
    <w:p w14:paraId="0B0205C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场馆设施完好率：实际</w:t>
      </w:r>
      <w:r>
        <w:rPr>
          <w:rFonts w:hint="eastAsia" w:ascii="Times New Roman" w:hAnsi="Times New Roman" w:eastAsia="仿宋_GB2312" w:cs="仿宋_GB2312"/>
          <w:kern w:val="2"/>
          <w:sz w:val="32"/>
          <w:szCs w:val="32"/>
          <w:lang w:val="en-US" w:eastAsia="zh-CN" w:bidi="ar"/>
        </w:rPr>
        <w:t>达到95%以上</w:t>
      </w:r>
      <w:r>
        <w:rPr>
          <w:rFonts w:hint="default" w:ascii="Times New Roman" w:hAnsi="Times New Roman" w:eastAsia="仿宋_GB2312" w:cs="仿宋_GB2312"/>
          <w:kern w:val="2"/>
          <w:sz w:val="32"/>
          <w:szCs w:val="32"/>
          <w:lang w:val="en-US" w:eastAsia="zh-CN" w:bidi="ar"/>
        </w:rPr>
        <w:t>，保障了场馆正常开放与服务供给，完成年度目标。</w:t>
      </w:r>
    </w:p>
    <w:p w14:paraId="37BF74E0">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开放时长达标率：实现100%，所有场馆均按规定时长免费开放，完成年度目标。</w:t>
      </w:r>
    </w:p>
    <w:p w14:paraId="5A2B88D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（3）</w:t>
      </w:r>
      <w:r>
        <w:rPr>
          <w:rFonts w:hint="default" w:ascii="Times New Roman" w:hAnsi="Times New Roman" w:eastAsia="仿宋_GB2312" w:cs="仿宋_GB2312"/>
          <w:kern w:val="2"/>
          <w:sz w:val="32"/>
          <w:szCs w:val="32"/>
          <w:lang w:val="en-US" w:eastAsia="zh-CN" w:bidi="ar"/>
        </w:rPr>
        <w:t>时效指标</w:t>
      </w:r>
    </w:p>
    <w:p w14:paraId="5972BC91">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年度任务完成时限：</w:t>
      </w:r>
      <w:r>
        <w:rPr>
          <w:rFonts w:hint="eastAsia" w:eastAsia="仿宋_GB2312" w:cs="仿宋_GB2312"/>
          <w:kern w:val="2"/>
          <w:sz w:val="32"/>
          <w:szCs w:val="32"/>
          <w:lang w:val="en-US" w:eastAsia="zh-CN" w:bidi="ar"/>
        </w:rPr>
        <w:t>部分项目进度滞后，未</w:t>
      </w:r>
      <w:r>
        <w:rPr>
          <w:rFonts w:hint="default" w:ascii="Times New Roman" w:hAnsi="Times New Roman" w:eastAsia="仿宋_GB2312" w:cs="仿宋_GB2312"/>
          <w:kern w:val="2"/>
          <w:sz w:val="32"/>
          <w:szCs w:val="32"/>
          <w:lang w:val="en-US" w:eastAsia="zh-CN" w:bidi="ar"/>
        </w:rPr>
        <w:t>于2025年12月底前全面完成。</w:t>
      </w:r>
    </w:p>
    <w:p w14:paraId="6E90B95F">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（4）</w:t>
      </w:r>
      <w:r>
        <w:rPr>
          <w:rFonts w:hint="default" w:ascii="Times New Roman" w:hAnsi="Times New Roman" w:eastAsia="仿宋_GB2312" w:cs="仿宋_GB2312"/>
          <w:kern w:val="2"/>
          <w:sz w:val="32"/>
          <w:szCs w:val="32"/>
          <w:lang w:val="en-US" w:eastAsia="zh-CN" w:bidi="ar"/>
        </w:rPr>
        <w:t>成本指标</w:t>
      </w:r>
    </w:p>
    <w:p w14:paraId="23C6620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成本控制率：实际控制在≤100%范围内，严格执行预算管理，未发生超支情况，完成年度目标。</w:t>
      </w:r>
    </w:p>
    <w:p w14:paraId="055053D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default" w:ascii="Times New Roman" w:hAnsi="Times New Roman" w:eastAsia="仿宋_GB2312" w:cs="仿宋_GB2312"/>
          <w:b/>
          <w:bCs/>
          <w:kern w:val="2"/>
          <w:sz w:val="32"/>
          <w:szCs w:val="32"/>
          <w:lang w:val="en-US" w:eastAsia="zh-CN" w:bidi="ar"/>
        </w:rPr>
      </w:pPr>
      <w:bookmarkStart w:id="1" w:name="_Toc2751"/>
      <w:r>
        <w:rPr>
          <w:rFonts w:hint="eastAsia" w:ascii="Times New Roman" w:hAnsi="Times New Roman" w:eastAsia="仿宋_GB2312" w:cs="仿宋_GB2312"/>
          <w:b/>
          <w:bCs/>
          <w:kern w:val="2"/>
          <w:sz w:val="32"/>
          <w:szCs w:val="32"/>
          <w:lang w:val="en-US" w:eastAsia="zh-CN" w:bidi="ar"/>
        </w:rPr>
        <w:t>2.</w:t>
      </w:r>
      <w:r>
        <w:rPr>
          <w:rFonts w:hint="default" w:ascii="Times New Roman" w:hAnsi="Times New Roman" w:eastAsia="仿宋_GB2312" w:cs="仿宋_GB2312"/>
          <w:b/>
          <w:bCs/>
          <w:kern w:val="2"/>
          <w:sz w:val="32"/>
          <w:szCs w:val="32"/>
          <w:lang w:val="en-US" w:eastAsia="zh-CN" w:bidi="ar"/>
        </w:rPr>
        <w:t>效益指标完成情况</w:t>
      </w:r>
      <w:bookmarkEnd w:id="1"/>
    </w:p>
    <w:p w14:paraId="02A5884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（1）</w:t>
      </w:r>
      <w:r>
        <w:rPr>
          <w:rFonts w:hint="default" w:ascii="Times New Roman" w:hAnsi="Times New Roman" w:eastAsia="仿宋_GB2312" w:cs="仿宋_GB2312"/>
          <w:kern w:val="2"/>
          <w:sz w:val="32"/>
          <w:szCs w:val="32"/>
          <w:lang w:val="en-US" w:eastAsia="zh-CN" w:bidi="ar"/>
        </w:rPr>
        <w:t>经济效益指标</w:t>
      </w:r>
    </w:p>
    <w:p w14:paraId="386EBD17">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文化消费带动增长率：实际水平≥6%，有效激发了城乡文化消费活力，完成年度目标。</w:t>
      </w:r>
    </w:p>
    <w:p w14:paraId="06E2395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w:t>
      </w:r>
      <w:r>
        <w:rPr>
          <w:rFonts w:hint="default" w:ascii="Times New Roman" w:hAnsi="Times New Roman" w:eastAsia="仿宋_GB2312" w:cs="仿宋_GB2312"/>
          <w:kern w:val="2"/>
          <w:sz w:val="32"/>
          <w:szCs w:val="32"/>
          <w:lang w:val="en-US" w:eastAsia="zh-CN" w:bidi="ar"/>
        </w:rPr>
        <w:t>社会效益指标</w:t>
      </w:r>
    </w:p>
    <w:p w14:paraId="2A441F1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年度免费服务总人次：较上年度实现稳步增长，公共文化服务覆盖面持续扩大，完成年度目标。</w:t>
      </w:r>
    </w:p>
    <w:p w14:paraId="6B8CD438">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重大安全事故发生率：全年为0，未发生影响公共文化服务的重大安全事件，完成年度目标。</w:t>
      </w:r>
    </w:p>
    <w:p w14:paraId="6A1C8CE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3" w:firstLineChars="200"/>
        <w:jc w:val="both"/>
        <w:textAlignment w:val="auto"/>
        <w:rPr>
          <w:rFonts w:hint="default" w:ascii="Times New Roman" w:hAnsi="Times New Roman" w:eastAsia="仿宋_GB2312" w:cs="仿宋_GB2312"/>
          <w:b/>
          <w:bCs/>
          <w:kern w:val="2"/>
          <w:sz w:val="32"/>
          <w:szCs w:val="32"/>
          <w:lang w:val="en-US" w:eastAsia="zh-CN" w:bidi="ar"/>
        </w:rPr>
      </w:pPr>
      <w:bookmarkStart w:id="2" w:name="_Toc23275"/>
      <w:r>
        <w:rPr>
          <w:rFonts w:hint="default" w:ascii="Times New Roman" w:hAnsi="Times New Roman" w:eastAsia="仿宋_GB2312" w:cs="仿宋_GB2312"/>
          <w:b/>
          <w:bCs/>
          <w:kern w:val="2"/>
          <w:sz w:val="32"/>
          <w:szCs w:val="32"/>
          <w:lang w:val="en-US" w:eastAsia="zh-CN" w:bidi="ar"/>
        </w:rPr>
        <w:t>3.满意度指标完成情况</w:t>
      </w:r>
      <w:bookmarkEnd w:id="2"/>
    </w:p>
    <w:p w14:paraId="6980D60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default" w:ascii="Times New Roman" w:hAnsi="Times New Roman" w:eastAsia="仿宋_GB2312" w:cs="仿宋_GB2312"/>
          <w:kern w:val="2"/>
          <w:sz w:val="32"/>
          <w:szCs w:val="32"/>
          <w:lang w:val="en-US" w:eastAsia="zh-CN" w:bidi="ar"/>
        </w:rPr>
        <w:t>观众满意度</w:t>
      </w:r>
      <w:r>
        <w:rPr>
          <w:rFonts w:hint="eastAsia" w:ascii="Times New Roman" w:hAnsi="Times New Roman" w:eastAsia="仿宋_GB2312" w:cs="仿宋_GB2312"/>
          <w:kern w:val="2"/>
          <w:sz w:val="32"/>
          <w:szCs w:val="32"/>
          <w:lang w:val="en-US" w:eastAsia="zh-CN" w:bidi="ar"/>
        </w:rPr>
        <w:t>及项目实施单位满意度分别为</w:t>
      </w:r>
      <w:r>
        <w:rPr>
          <w:rFonts w:hint="default" w:ascii="Times New Roman" w:hAnsi="Times New Roman" w:eastAsia="仿宋_GB2312" w:cs="仿宋_GB2312"/>
          <w:kern w:val="2"/>
          <w:sz w:val="32"/>
          <w:szCs w:val="32"/>
          <w:lang w:val="en-US" w:eastAsia="zh-CN" w:bidi="ar"/>
        </w:rPr>
        <w:t>9</w:t>
      </w:r>
      <w:r>
        <w:rPr>
          <w:rFonts w:hint="eastAsia" w:ascii="Times New Roman" w:hAnsi="Times New Roman" w:eastAsia="仿宋_GB2312" w:cs="仿宋_GB2312"/>
          <w:kern w:val="2"/>
          <w:sz w:val="32"/>
          <w:szCs w:val="32"/>
          <w:lang w:val="en-US" w:eastAsia="zh-CN" w:bidi="ar"/>
        </w:rPr>
        <w:t>2</w:t>
      </w:r>
      <w:r>
        <w:rPr>
          <w:rFonts w:hint="default" w:ascii="Times New Roman" w:hAnsi="Times New Roman" w:eastAsia="仿宋_GB2312" w:cs="仿宋_GB2312"/>
          <w:kern w:val="2"/>
          <w:sz w:val="32"/>
          <w:szCs w:val="32"/>
          <w:lang w:val="en-US" w:eastAsia="zh-CN" w:bidi="ar"/>
        </w:rPr>
        <w:t>%</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仿宋_GB2312"/>
          <w:kern w:val="2"/>
          <w:sz w:val="32"/>
          <w:szCs w:val="32"/>
          <w:lang w:val="en-US" w:eastAsia="zh-CN" w:bidi="ar"/>
        </w:rPr>
        <w:t>9</w:t>
      </w:r>
      <w:r>
        <w:rPr>
          <w:rFonts w:hint="eastAsia" w:ascii="Times New Roman" w:hAnsi="Times New Roman" w:eastAsia="仿宋_GB2312" w:cs="仿宋_GB2312"/>
          <w:kern w:val="2"/>
          <w:sz w:val="32"/>
          <w:szCs w:val="32"/>
          <w:lang w:val="en-US" w:eastAsia="zh-CN" w:bidi="ar"/>
        </w:rPr>
        <w:t>8</w:t>
      </w:r>
      <w:r>
        <w:rPr>
          <w:rFonts w:hint="default" w:ascii="Times New Roman" w:hAnsi="Times New Roman" w:eastAsia="仿宋_GB2312" w:cs="仿宋_GB2312"/>
          <w:kern w:val="2"/>
          <w:sz w:val="32"/>
          <w:szCs w:val="32"/>
          <w:lang w:val="en-US" w:eastAsia="zh-CN" w:bidi="ar"/>
        </w:rPr>
        <w:t>%，群众对免费开放服务的体验感与获得感良好，资金拨付与管理服务得到基层实施单位高度认可，完成年度目标。</w:t>
      </w:r>
    </w:p>
    <w:p w14:paraId="067F948E">
      <w:pPr>
        <w:pStyle w:val="3"/>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Lines="0" w:beforeAutospacing="0" w:after="0" w:afterLines="0" w:afterAutospacing="0" w:line="560" w:lineRule="exact"/>
        <w:ind w:firstLine="640" w:firstLineChars="200"/>
        <w:jc w:val="both"/>
        <w:textAlignment w:val="auto"/>
        <w:rPr>
          <w:rFonts w:hint="eastAsia" w:cs="黑体"/>
          <w:b w:val="0"/>
          <w:bCs/>
          <w:kern w:val="44"/>
          <w:sz w:val="32"/>
          <w:szCs w:val="32"/>
          <w:lang w:val="en-US" w:eastAsia="zh-CN"/>
        </w:rPr>
      </w:pPr>
      <w:r>
        <w:rPr>
          <w:rFonts w:hint="eastAsia" w:cs="黑体"/>
          <w:b w:val="0"/>
          <w:bCs/>
          <w:kern w:val="44"/>
          <w:sz w:val="32"/>
          <w:szCs w:val="32"/>
          <w:lang w:val="en-US" w:eastAsia="zh-CN"/>
        </w:rPr>
        <w:t>三、偏离绩效目标的原因和下一步改进措施</w:t>
      </w:r>
    </w:p>
    <w:p w14:paraId="377C62F7">
      <w:pPr>
        <w:pStyle w:val="4"/>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firstLine="643" w:firstLineChars="200"/>
        <w:textAlignment w:val="auto"/>
        <w:rPr>
          <w:rFonts w:hint="eastAsia" w:ascii="Times New Roman" w:hAnsi="Times New Roman" w:eastAsia="楷体_GB2312" w:cs="Times New Roman"/>
          <w:b/>
          <w:bCs w:val="0"/>
          <w:kern w:val="2"/>
          <w:sz w:val="32"/>
          <w:szCs w:val="32"/>
        </w:rPr>
      </w:pPr>
      <w:r>
        <w:rPr>
          <w:rFonts w:hint="eastAsia" w:ascii="Times New Roman" w:hAnsi="Times New Roman" w:eastAsia="楷体_GB2312" w:cs="楷体_GB2312"/>
          <w:b/>
          <w:bCs w:val="0"/>
          <w:kern w:val="2"/>
          <w:sz w:val="32"/>
          <w:szCs w:val="32"/>
        </w:rPr>
        <w:t>（一）偏离绩效目标的原因</w:t>
      </w:r>
    </w:p>
    <w:p w14:paraId="65A26EE9">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3" w:firstLineChars="200"/>
        <w:jc w:val="both"/>
        <w:textAlignment w:val="auto"/>
        <w:rPr>
          <w:rFonts w:hint="default" w:eastAsia="仿宋_GB2312" w:cs="仿宋_GB2312"/>
          <w:b/>
          <w:bCs/>
          <w:kern w:val="2"/>
          <w:sz w:val="32"/>
          <w:szCs w:val="32"/>
          <w:lang w:val="en-US" w:eastAsia="zh-CN" w:bidi="ar"/>
        </w:rPr>
      </w:pPr>
      <w:r>
        <w:rPr>
          <w:rFonts w:hint="eastAsia" w:ascii="Times New Roman" w:hAnsi="Times New Roman" w:eastAsia="仿宋_GB2312" w:cs="仿宋_GB2312"/>
          <w:b/>
          <w:bCs/>
          <w:kern w:val="2"/>
          <w:sz w:val="32"/>
          <w:szCs w:val="32"/>
          <w:lang w:val="en-US" w:eastAsia="zh-CN" w:bidi="ar"/>
        </w:rPr>
        <w:t>1</w:t>
      </w:r>
      <w:r>
        <w:rPr>
          <w:rFonts w:hint="eastAsia" w:eastAsia="仿宋_GB2312" w:cs="仿宋_GB2312"/>
          <w:b/>
          <w:bCs/>
          <w:kern w:val="2"/>
          <w:sz w:val="32"/>
          <w:szCs w:val="32"/>
          <w:lang w:val="en-US" w:eastAsia="zh-CN" w:bidi="ar"/>
        </w:rPr>
        <w:t>.</w:t>
      </w:r>
      <w:r>
        <w:rPr>
          <w:rFonts w:hint="default" w:eastAsia="仿宋_GB2312" w:cs="仿宋_GB2312"/>
          <w:b/>
          <w:bCs/>
          <w:kern w:val="2"/>
          <w:sz w:val="32"/>
          <w:szCs w:val="32"/>
          <w:lang w:val="en-US" w:eastAsia="zh-CN" w:bidi="ar"/>
        </w:rPr>
        <w:t>资金执行率偏低</w:t>
      </w:r>
    </w:p>
    <w:p w14:paraId="7F2634D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（1）</w:t>
      </w:r>
      <w:r>
        <w:rPr>
          <w:rFonts w:hint="default" w:ascii="Times New Roman" w:hAnsi="Times New Roman" w:eastAsia="仿宋_GB2312" w:cs="仿宋_GB2312"/>
          <w:kern w:val="2"/>
          <w:sz w:val="32"/>
          <w:szCs w:val="32"/>
          <w:lang w:val="en-US" w:eastAsia="zh-CN" w:bidi="ar"/>
        </w:rPr>
        <w:t>预算编制与实际需求脱节</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仿宋_GB2312"/>
          <w:kern w:val="2"/>
          <w:sz w:val="32"/>
          <w:szCs w:val="32"/>
          <w:lang w:val="en-US" w:eastAsia="zh-CN" w:bidi="ar"/>
        </w:rPr>
        <w:t>部分地区在申报预算时，对场馆设施维修、活动开展、人员保障等实际需求测算不够精准，存在</w:t>
      </w:r>
      <w:r>
        <w:rPr>
          <w:rFonts w:hint="eastAsia" w:ascii="仿宋_GB2312" w:hAnsi="仿宋_GB2312" w:eastAsia="仿宋_GB2312" w:cs="仿宋_GB2312"/>
          <w:kern w:val="2"/>
          <w:sz w:val="32"/>
          <w:szCs w:val="32"/>
          <w:lang w:val="en-US" w:eastAsia="zh-CN" w:bidi="ar"/>
        </w:rPr>
        <w:t>“重申报、轻执行”</w:t>
      </w:r>
      <w:r>
        <w:rPr>
          <w:rFonts w:hint="default" w:ascii="Times New Roman" w:hAnsi="Times New Roman" w:eastAsia="仿宋_GB2312" w:cs="仿宋_GB2312"/>
          <w:kern w:val="2"/>
          <w:sz w:val="32"/>
          <w:szCs w:val="32"/>
          <w:lang w:val="en-US" w:eastAsia="zh-CN" w:bidi="ar"/>
        </w:rPr>
        <w:t>倾向，导致资金安排与实际支出节奏不匹配。</w:t>
      </w:r>
    </w:p>
    <w:p w14:paraId="11358709">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w:t>
      </w:r>
      <w:r>
        <w:rPr>
          <w:rFonts w:hint="default" w:ascii="Times New Roman" w:hAnsi="Times New Roman" w:eastAsia="仿宋_GB2312" w:cs="仿宋_GB2312"/>
          <w:kern w:val="2"/>
          <w:sz w:val="32"/>
          <w:szCs w:val="32"/>
          <w:lang w:val="en-US" w:eastAsia="zh-CN" w:bidi="ar"/>
        </w:rPr>
        <w:t>资金拨付流程冗长</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仿宋_GB2312"/>
          <w:kern w:val="2"/>
          <w:sz w:val="32"/>
          <w:szCs w:val="32"/>
          <w:lang w:val="en-US" w:eastAsia="zh-CN" w:bidi="ar"/>
        </w:rPr>
        <w:t>中央补助资金需经省级、市州级、县级多层级转拨，部分地区内部审批环节多、耗时久，资金未能及时直达基层实施单位，影响项目启动与支出进度。</w:t>
      </w:r>
    </w:p>
    <w:p w14:paraId="03E1EE3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（3）</w:t>
      </w:r>
      <w:r>
        <w:rPr>
          <w:rFonts w:hint="default" w:ascii="Times New Roman" w:hAnsi="Times New Roman" w:eastAsia="仿宋_GB2312" w:cs="仿宋_GB2312"/>
          <w:kern w:val="2"/>
          <w:sz w:val="32"/>
          <w:szCs w:val="32"/>
          <w:lang w:val="en-US" w:eastAsia="zh-CN" w:bidi="ar"/>
        </w:rPr>
        <w:t>基层项目实施能力不足</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仿宋_GB2312"/>
          <w:kern w:val="2"/>
          <w:sz w:val="32"/>
          <w:szCs w:val="32"/>
          <w:lang w:val="en-US" w:eastAsia="zh-CN" w:bidi="ar"/>
        </w:rPr>
        <w:t>部分县级馆、乡镇站缺乏专业财务与项目管理人员，对政府采购、合同签订、支出报账等流程不熟悉，导致项目推进缓慢，资金沉淀在单位账户。</w:t>
      </w:r>
    </w:p>
    <w:p w14:paraId="65E9101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（4）</w:t>
      </w:r>
      <w:r>
        <w:rPr>
          <w:rFonts w:hint="default" w:ascii="Times New Roman" w:hAnsi="Times New Roman" w:eastAsia="仿宋_GB2312" w:cs="仿宋_GB2312"/>
          <w:kern w:val="2"/>
          <w:sz w:val="32"/>
          <w:szCs w:val="32"/>
          <w:lang w:val="en-US" w:eastAsia="zh-CN" w:bidi="ar"/>
        </w:rPr>
        <w:t>项目前期准备不充分</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仿宋_GB2312"/>
          <w:kern w:val="2"/>
          <w:sz w:val="32"/>
          <w:szCs w:val="32"/>
          <w:lang w:val="en-US" w:eastAsia="zh-CN" w:bidi="ar"/>
        </w:rPr>
        <w:t>部分设施维修、活动策划类项目未提前完成方案设计、招投标等前期工作，待资金到位后才启动筹备，错过最佳执行窗口期，造成资金积压。</w:t>
      </w:r>
    </w:p>
    <w:p w14:paraId="2A811E37">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3" w:firstLineChars="200"/>
        <w:jc w:val="both"/>
        <w:textAlignment w:val="auto"/>
        <w:rPr>
          <w:rFonts w:hint="default" w:eastAsia="仿宋_GB2312" w:cs="仿宋_GB2312"/>
          <w:b/>
          <w:bCs/>
          <w:kern w:val="2"/>
          <w:sz w:val="32"/>
          <w:szCs w:val="32"/>
          <w:lang w:val="en-US" w:eastAsia="zh-CN" w:bidi="ar"/>
        </w:rPr>
      </w:pPr>
      <w:r>
        <w:rPr>
          <w:rFonts w:hint="eastAsia" w:ascii="Times New Roman" w:hAnsi="Times New Roman" w:eastAsia="仿宋_GB2312" w:cs="仿宋_GB2312"/>
          <w:b/>
          <w:bCs/>
          <w:kern w:val="2"/>
          <w:sz w:val="32"/>
          <w:szCs w:val="32"/>
          <w:lang w:val="en-US" w:eastAsia="zh-CN" w:bidi="ar"/>
        </w:rPr>
        <w:t>2</w:t>
      </w:r>
      <w:r>
        <w:rPr>
          <w:rFonts w:hint="eastAsia" w:eastAsia="仿宋_GB2312" w:cs="仿宋_GB2312"/>
          <w:b/>
          <w:bCs/>
          <w:kern w:val="2"/>
          <w:sz w:val="32"/>
          <w:szCs w:val="32"/>
          <w:lang w:val="en-US" w:eastAsia="zh-CN" w:bidi="ar"/>
        </w:rPr>
        <w:t>.</w:t>
      </w:r>
      <w:r>
        <w:rPr>
          <w:rFonts w:hint="default" w:eastAsia="仿宋_GB2312" w:cs="仿宋_GB2312"/>
          <w:b/>
          <w:bCs/>
          <w:kern w:val="2"/>
          <w:sz w:val="32"/>
          <w:szCs w:val="32"/>
          <w:lang w:val="en-US" w:eastAsia="zh-CN" w:bidi="ar"/>
        </w:rPr>
        <w:t>部分项目未按期完成</w:t>
      </w:r>
    </w:p>
    <w:p w14:paraId="0660E21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（1）</w:t>
      </w:r>
      <w:r>
        <w:rPr>
          <w:rFonts w:hint="default" w:ascii="Times New Roman" w:hAnsi="Times New Roman" w:eastAsia="仿宋_GB2312" w:cs="仿宋_GB2312"/>
          <w:kern w:val="2"/>
          <w:sz w:val="32"/>
          <w:szCs w:val="32"/>
          <w:lang w:val="en-US" w:eastAsia="zh-CN" w:bidi="ar"/>
        </w:rPr>
        <w:t>任务分解与节点管控不到位</w:t>
      </w:r>
      <w:r>
        <w:rPr>
          <w:rFonts w:hint="eastAsia" w:ascii="Times New Roman" w:hAnsi="Times New Roman" w:eastAsia="仿宋_GB2312" w:cs="仿宋_GB2312"/>
          <w:kern w:val="2"/>
          <w:sz w:val="32"/>
          <w:szCs w:val="32"/>
          <w:lang w:val="en-US" w:eastAsia="zh-CN" w:bidi="ar"/>
        </w:rPr>
        <w:t>。项目单位</w:t>
      </w:r>
      <w:r>
        <w:rPr>
          <w:rFonts w:hint="default" w:ascii="Times New Roman" w:hAnsi="Times New Roman" w:eastAsia="仿宋_GB2312" w:cs="仿宋_GB2312"/>
          <w:kern w:val="2"/>
          <w:sz w:val="32"/>
          <w:szCs w:val="32"/>
          <w:lang w:val="en-US" w:eastAsia="zh-CN" w:bidi="ar"/>
        </w:rPr>
        <w:t>层面绩效目标未细化分解至具体项目、责任单位和时间节点，基层单位对年度任务的紧迫性认识不足，缺乏阶段性推进计划。</w:t>
      </w:r>
    </w:p>
    <w:p w14:paraId="2868027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w:t>
      </w:r>
      <w:r>
        <w:rPr>
          <w:rFonts w:hint="default" w:ascii="Times New Roman" w:hAnsi="Times New Roman" w:eastAsia="仿宋_GB2312" w:cs="仿宋_GB2312"/>
          <w:kern w:val="2"/>
          <w:sz w:val="32"/>
          <w:szCs w:val="32"/>
          <w:lang w:val="en-US" w:eastAsia="zh-CN" w:bidi="ar"/>
        </w:rPr>
        <w:t>要素保障滞后</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仿宋_GB2312"/>
          <w:kern w:val="2"/>
          <w:sz w:val="32"/>
          <w:szCs w:val="32"/>
          <w:lang w:val="en-US" w:eastAsia="zh-CN" w:bidi="ar"/>
        </w:rPr>
        <w:t>部分基建类、维修类项目受用地审批、招投标周期、材料供应等因素影响，实际推进速度慢于预期；部分活动类项目因人员调配、场地协调等问题延期。</w:t>
      </w:r>
    </w:p>
    <w:p w14:paraId="59E5D430">
      <w:pPr>
        <w:pStyle w:val="4"/>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firstLine="643" w:firstLineChars="200"/>
        <w:textAlignment w:val="auto"/>
        <w:rPr>
          <w:rFonts w:hint="eastAsia" w:ascii="Times New Roman" w:hAnsi="Times New Roman" w:eastAsia="楷体_GB2312" w:cs="Times New Roman"/>
          <w:b/>
          <w:bCs w:val="0"/>
          <w:kern w:val="2"/>
          <w:sz w:val="32"/>
          <w:szCs w:val="32"/>
        </w:rPr>
      </w:pPr>
      <w:r>
        <w:rPr>
          <w:rFonts w:hint="eastAsia" w:ascii="Times New Roman" w:hAnsi="Times New Roman" w:eastAsia="楷体_GB2312" w:cs="楷体_GB2312"/>
          <w:b/>
          <w:bCs w:val="0"/>
          <w:kern w:val="2"/>
          <w:sz w:val="32"/>
          <w:szCs w:val="32"/>
        </w:rPr>
        <w:t>（二）下一步改进措施</w:t>
      </w:r>
    </w:p>
    <w:p w14:paraId="6C363CE8">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3" w:firstLineChars="200"/>
        <w:jc w:val="both"/>
        <w:textAlignment w:val="auto"/>
        <w:rPr>
          <w:rFonts w:hint="default" w:eastAsia="仿宋_GB2312" w:cs="仿宋_GB2312"/>
          <w:b/>
          <w:bCs/>
          <w:kern w:val="2"/>
          <w:sz w:val="32"/>
          <w:szCs w:val="32"/>
          <w:lang w:val="en-US" w:eastAsia="zh-CN" w:bidi="ar"/>
        </w:rPr>
      </w:pPr>
      <w:r>
        <w:rPr>
          <w:rFonts w:hint="eastAsia" w:ascii="Times New Roman" w:hAnsi="Times New Roman" w:eastAsia="仿宋_GB2312" w:cs="仿宋_GB2312"/>
          <w:b/>
          <w:bCs/>
          <w:kern w:val="2"/>
          <w:sz w:val="32"/>
          <w:szCs w:val="32"/>
          <w:lang w:val="en-US" w:eastAsia="zh-CN" w:bidi="ar"/>
        </w:rPr>
        <w:t>1</w:t>
      </w:r>
      <w:r>
        <w:rPr>
          <w:rFonts w:hint="eastAsia" w:eastAsia="仿宋_GB2312" w:cs="仿宋_GB2312"/>
          <w:b/>
          <w:bCs/>
          <w:kern w:val="2"/>
          <w:sz w:val="32"/>
          <w:szCs w:val="32"/>
          <w:lang w:val="en-US" w:eastAsia="zh-CN" w:bidi="ar"/>
        </w:rPr>
        <w:t>.</w:t>
      </w:r>
      <w:r>
        <w:rPr>
          <w:rFonts w:hint="default" w:eastAsia="仿宋_GB2312" w:cs="仿宋_GB2312"/>
          <w:b/>
          <w:bCs/>
          <w:kern w:val="2"/>
          <w:sz w:val="32"/>
          <w:szCs w:val="32"/>
          <w:lang w:val="en-US" w:eastAsia="zh-CN" w:bidi="ar"/>
        </w:rPr>
        <w:t>提升资金执行率</w:t>
      </w:r>
    </w:p>
    <w:p w14:paraId="478D3C8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（1）</w:t>
      </w:r>
      <w:r>
        <w:rPr>
          <w:rFonts w:hint="default" w:ascii="Times New Roman" w:hAnsi="Times New Roman" w:eastAsia="仿宋_GB2312" w:cs="仿宋_GB2312"/>
          <w:kern w:val="2"/>
          <w:sz w:val="32"/>
          <w:szCs w:val="32"/>
          <w:lang w:val="en-US" w:eastAsia="zh-CN" w:bidi="ar"/>
        </w:rPr>
        <w:t>优化预算与拨付管理</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仿宋_GB2312"/>
          <w:kern w:val="2"/>
          <w:sz w:val="32"/>
          <w:szCs w:val="32"/>
          <w:lang w:val="en-US" w:eastAsia="zh-CN" w:bidi="ar"/>
        </w:rPr>
        <w:t>精细化编制预算，要求基层单位结合上年度执行情况和本年度实际需求申报，建立</w:t>
      </w:r>
      <w:r>
        <w:rPr>
          <w:rFonts w:hint="eastAsia" w:ascii="仿宋_GB2312" w:hAnsi="仿宋_GB2312" w:eastAsia="仿宋_GB2312" w:cs="仿宋_GB2312"/>
          <w:kern w:val="2"/>
          <w:sz w:val="32"/>
          <w:szCs w:val="32"/>
          <w:lang w:val="en-US" w:eastAsia="zh-CN" w:bidi="ar"/>
        </w:rPr>
        <w:t>“预算评审—动态调整”</w:t>
      </w:r>
      <w:r>
        <w:rPr>
          <w:rFonts w:hint="default" w:ascii="Times New Roman" w:hAnsi="Times New Roman" w:eastAsia="仿宋_GB2312" w:cs="仿宋_GB2312"/>
          <w:kern w:val="2"/>
          <w:sz w:val="32"/>
          <w:szCs w:val="32"/>
          <w:lang w:val="en-US" w:eastAsia="zh-CN" w:bidi="ar"/>
        </w:rPr>
        <w:t>机制，避免资金虚增。</w:t>
      </w:r>
    </w:p>
    <w:p w14:paraId="3B8B08A3">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w:t>
      </w:r>
      <w:r>
        <w:rPr>
          <w:rFonts w:hint="default" w:ascii="Times New Roman" w:hAnsi="Times New Roman" w:eastAsia="仿宋_GB2312" w:cs="仿宋_GB2312"/>
          <w:kern w:val="2"/>
          <w:sz w:val="32"/>
          <w:szCs w:val="32"/>
          <w:lang w:val="en-US" w:eastAsia="zh-CN" w:bidi="ar"/>
        </w:rPr>
        <w:t>简化资金拨付流程</w:t>
      </w:r>
      <w:r>
        <w:rPr>
          <w:rFonts w:hint="eastAsia" w:ascii="Times New Roman" w:hAnsi="Times New Roman" w:eastAsia="仿宋_GB2312" w:cs="仿宋_GB2312"/>
          <w:kern w:val="2"/>
          <w:sz w:val="32"/>
          <w:szCs w:val="32"/>
          <w:lang w:val="en-US" w:eastAsia="zh-CN" w:bidi="ar"/>
        </w:rPr>
        <w:t>。继续</w:t>
      </w:r>
      <w:r>
        <w:rPr>
          <w:rFonts w:hint="default" w:ascii="Times New Roman" w:hAnsi="Times New Roman" w:eastAsia="仿宋_GB2312" w:cs="仿宋_GB2312"/>
          <w:kern w:val="2"/>
          <w:sz w:val="32"/>
          <w:szCs w:val="32"/>
          <w:lang w:val="en-US" w:eastAsia="zh-CN" w:bidi="ar"/>
        </w:rPr>
        <w:t>推行</w:t>
      </w:r>
      <w:r>
        <w:rPr>
          <w:rFonts w:hint="eastAsia" w:ascii="仿宋_GB2312" w:hAnsi="仿宋_GB2312" w:eastAsia="仿宋_GB2312" w:cs="仿宋_GB2312"/>
          <w:kern w:val="2"/>
          <w:sz w:val="32"/>
          <w:szCs w:val="32"/>
          <w:lang w:val="en-US" w:eastAsia="zh-CN" w:bidi="ar"/>
        </w:rPr>
        <w:t>“省级直达市县、市县直达项目”</w:t>
      </w:r>
      <w:r>
        <w:rPr>
          <w:rFonts w:hint="default" w:ascii="Times New Roman" w:hAnsi="Times New Roman" w:eastAsia="仿宋_GB2312" w:cs="仿宋_GB2312"/>
          <w:kern w:val="2"/>
          <w:sz w:val="32"/>
          <w:szCs w:val="32"/>
          <w:lang w:val="en-US" w:eastAsia="zh-CN" w:bidi="ar"/>
        </w:rPr>
        <w:t>的拨付模式，压缩中间环节，确保资金在规定时限内到位。</w:t>
      </w:r>
    </w:p>
    <w:p w14:paraId="2E0583D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（3）定期监督检查。</w:t>
      </w:r>
      <w:r>
        <w:rPr>
          <w:rFonts w:hint="default" w:ascii="Times New Roman" w:hAnsi="Times New Roman" w:eastAsia="仿宋_GB2312" w:cs="仿宋_GB2312"/>
          <w:kern w:val="2"/>
          <w:sz w:val="32"/>
          <w:szCs w:val="32"/>
          <w:lang w:val="en-US" w:eastAsia="zh-CN" w:bidi="ar"/>
        </w:rPr>
        <w:t>对执行进度滞后的单位进行预警，督促加快支出进度。</w:t>
      </w:r>
    </w:p>
    <w:p w14:paraId="3DDA1C7D">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（4）</w:t>
      </w:r>
      <w:r>
        <w:rPr>
          <w:rFonts w:hint="default" w:ascii="Times New Roman" w:hAnsi="Times New Roman" w:eastAsia="仿宋_GB2312" w:cs="仿宋_GB2312"/>
          <w:kern w:val="2"/>
          <w:sz w:val="32"/>
          <w:szCs w:val="32"/>
          <w:lang w:val="en-US" w:eastAsia="zh-CN" w:bidi="ar"/>
        </w:rPr>
        <w:t>加快项目实施节奏</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仿宋_GB2312"/>
          <w:kern w:val="2"/>
          <w:sz w:val="32"/>
          <w:szCs w:val="32"/>
          <w:lang w:val="en-US" w:eastAsia="zh-CN" w:bidi="ar"/>
        </w:rPr>
        <w:t>要求所有项目在资金下达前完成前期准备（方案设计、招投标等），资金到位后立即启动实施；对长期沉淀资金，按规定收回统筹用于急需领域。</w:t>
      </w:r>
    </w:p>
    <w:p w14:paraId="686C8FFA">
      <w:pPr>
        <w:keepNext w:val="0"/>
        <w:keepLines w:val="0"/>
        <w:pageBreakBefore w:val="0"/>
        <w:widowControl w:val="0"/>
        <w:suppressLineNumbers w:val="0"/>
        <w:kinsoku/>
        <w:wordWrap/>
        <w:overflowPunct/>
        <w:topLinePunct w:val="0"/>
        <w:autoSpaceDE/>
        <w:autoSpaceDN/>
        <w:bidi w:val="0"/>
        <w:adjustRightInd/>
        <w:snapToGrid w:val="0"/>
        <w:spacing w:beforeAutospacing="0" w:afterAutospacing="0" w:line="560" w:lineRule="exact"/>
        <w:ind w:left="0" w:right="0" w:firstLine="643" w:firstLineChars="200"/>
        <w:jc w:val="both"/>
        <w:textAlignment w:val="auto"/>
        <w:rPr>
          <w:rFonts w:hint="default" w:eastAsia="仿宋_GB2312" w:cs="仿宋_GB2312"/>
          <w:b/>
          <w:bCs/>
          <w:kern w:val="2"/>
          <w:sz w:val="32"/>
          <w:szCs w:val="32"/>
          <w:lang w:val="en-US" w:eastAsia="zh-CN" w:bidi="ar"/>
        </w:rPr>
      </w:pPr>
      <w:r>
        <w:rPr>
          <w:rFonts w:hint="eastAsia" w:ascii="Times New Roman" w:hAnsi="Times New Roman" w:eastAsia="仿宋_GB2312" w:cs="仿宋_GB2312"/>
          <w:b/>
          <w:bCs/>
          <w:kern w:val="2"/>
          <w:sz w:val="32"/>
          <w:szCs w:val="32"/>
          <w:lang w:val="en-US" w:eastAsia="zh-CN" w:bidi="ar"/>
        </w:rPr>
        <w:t>2</w:t>
      </w:r>
      <w:r>
        <w:rPr>
          <w:rFonts w:hint="eastAsia" w:eastAsia="仿宋_GB2312" w:cs="仿宋_GB2312"/>
          <w:b/>
          <w:bCs/>
          <w:kern w:val="2"/>
          <w:sz w:val="32"/>
          <w:szCs w:val="32"/>
          <w:lang w:val="en-US" w:eastAsia="zh-CN" w:bidi="ar"/>
        </w:rPr>
        <w:t>.</w:t>
      </w:r>
      <w:r>
        <w:rPr>
          <w:rFonts w:hint="default" w:eastAsia="仿宋_GB2312" w:cs="仿宋_GB2312"/>
          <w:b/>
          <w:bCs/>
          <w:kern w:val="2"/>
          <w:sz w:val="32"/>
          <w:szCs w:val="32"/>
          <w:lang w:val="en-US" w:eastAsia="zh-CN" w:bidi="ar"/>
        </w:rPr>
        <w:t>保障项目按期完成</w:t>
      </w:r>
    </w:p>
    <w:p w14:paraId="06EB74E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（1）</w:t>
      </w:r>
      <w:r>
        <w:rPr>
          <w:rFonts w:hint="default" w:ascii="Times New Roman" w:hAnsi="Times New Roman" w:eastAsia="仿宋_GB2312" w:cs="仿宋_GB2312"/>
          <w:kern w:val="2"/>
          <w:sz w:val="32"/>
          <w:szCs w:val="32"/>
          <w:lang w:val="en-US" w:eastAsia="zh-CN" w:bidi="ar"/>
        </w:rPr>
        <w:t>细化目标与责任管控</w:t>
      </w:r>
      <w:r>
        <w:rPr>
          <w:rFonts w:hint="eastAsia" w:ascii="Times New Roman" w:hAnsi="Times New Roman" w:eastAsia="仿宋_GB2312" w:cs="仿宋_GB2312"/>
          <w:kern w:val="2"/>
          <w:sz w:val="32"/>
          <w:szCs w:val="32"/>
          <w:lang w:val="en-US" w:eastAsia="zh-CN" w:bidi="ar"/>
        </w:rPr>
        <w:t>。提高基层单位绩效意识，要求各项目单位</w:t>
      </w:r>
      <w:r>
        <w:rPr>
          <w:rFonts w:hint="default" w:ascii="Times New Roman" w:hAnsi="Times New Roman" w:eastAsia="仿宋_GB2312" w:cs="仿宋_GB2312"/>
          <w:kern w:val="2"/>
          <w:sz w:val="32"/>
          <w:szCs w:val="32"/>
          <w:lang w:val="en-US" w:eastAsia="zh-CN" w:bidi="ar"/>
        </w:rPr>
        <w:t>将</w:t>
      </w:r>
      <w:r>
        <w:rPr>
          <w:rFonts w:hint="eastAsia" w:ascii="Times New Roman" w:hAnsi="Times New Roman" w:eastAsia="仿宋_GB2312" w:cs="仿宋_GB2312"/>
          <w:kern w:val="2"/>
          <w:sz w:val="32"/>
          <w:szCs w:val="32"/>
          <w:lang w:val="en-US" w:eastAsia="zh-CN" w:bidi="ar"/>
        </w:rPr>
        <w:t>专项目标</w:t>
      </w:r>
      <w:r>
        <w:rPr>
          <w:rFonts w:hint="default" w:ascii="Times New Roman" w:hAnsi="Times New Roman" w:eastAsia="仿宋_GB2312" w:cs="仿宋_GB2312"/>
          <w:kern w:val="2"/>
          <w:sz w:val="32"/>
          <w:szCs w:val="32"/>
          <w:lang w:val="en-US" w:eastAsia="zh-CN" w:bidi="ar"/>
        </w:rPr>
        <w:t>拆解为</w:t>
      </w:r>
      <w:r>
        <w:rPr>
          <w:rFonts w:hint="eastAsia" w:ascii="Times New Roman" w:hAnsi="Times New Roman" w:eastAsia="仿宋_GB2312" w:cs="仿宋_GB2312"/>
          <w:kern w:val="2"/>
          <w:sz w:val="32"/>
          <w:szCs w:val="32"/>
          <w:lang w:val="en-US" w:eastAsia="zh-CN" w:bidi="ar"/>
        </w:rPr>
        <w:t>项目</w:t>
      </w:r>
      <w:r>
        <w:rPr>
          <w:rFonts w:hint="default" w:ascii="Times New Roman" w:hAnsi="Times New Roman" w:eastAsia="仿宋_GB2312" w:cs="仿宋_GB2312"/>
          <w:kern w:val="2"/>
          <w:sz w:val="32"/>
          <w:szCs w:val="32"/>
          <w:lang w:val="en-US" w:eastAsia="zh-CN" w:bidi="ar"/>
        </w:rPr>
        <w:t>任务清单，明确每个项目的责任主体、时间节点和验收标准。</w:t>
      </w:r>
    </w:p>
    <w:p w14:paraId="041AEF3C">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（2）</w:t>
      </w:r>
      <w:r>
        <w:rPr>
          <w:rFonts w:hint="default" w:ascii="Times New Roman" w:hAnsi="Times New Roman" w:eastAsia="仿宋_GB2312" w:cs="仿宋_GB2312"/>
          <w:kern w:val="2"/>
          <w:sz w:val="32"/>
          <w:szCs w:val="32"/>
          <w:lang w:val="en-US" w:eastAsia="zh-CN" w:bidi="ar"/>
        </w:rPr>
        <w:t>定期跟踪项目进展，对滞后项目</w:t>
      </w:r>
      <w:r>
        <w:rPr>
          <w:rFonts w:hint="eastAsia" w:ascii="Times New Roman" w:hAnsi="Times New Roman" w:eastAsia="仿宋_GB2312" w:cs="仿宋_GB2312"/>
          <w:kern w:val="2"/>
          <w:sz w:val="32"/>
          <w:szCs w:val="32"/>
          <w:lang w:val="en-US" w:eastAsia="zh-CN" w:bidi="ar"/>
        </w:rPr>
        <w:t>要求</w:t>
      </w:r>
      <w:r>
        <w:rPr>
          <w:rFonts w:hint="default" w:ascii="Times New Roman" w:hAnsi="Times New Roman" w:eastAsia="仿宋_GB2312" w:cs="仿宋_GB2312"/>
          <w:kern w:val="2"/>
          <w:sz w:val="32"/>
          <w:szCs w:val="32"/>
          <w:lang w:val="en-US" w:eastAsia="zh-CN" w:bidi="ar"/>
        </w:rPr>
        <w:t>整改，限期追赶进度。</w:t>
      </w:r>
    </w:p>
    <w:p w14:paraId="4A3AFDE4">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default"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（3）</w:t>
      </w:r>
      <w:r>
        <w:rPr>
          <w:rFonts w:hint="default" w:ascii="Times New Roman" w:hAnsi="Times New Roman" w:eastAsia="仿宋_GB2312" w:cs="仿宋_GB2312"/>
          <w:kern w:val="2"/>
          <w:sz w:val="32"/>
          <w:szCs w:val="32"/>
          <w:lang w:val="en-US" w:eastAsia="zh-CN" w:bidi="ar"/>
        </w:rPr>
        <w:t>完善风险应对与考核机制</w:t>
      </w:r>
      <w:r>
        <w:rPr>
          <w:rFonts w:hint="eastAsia" w:ascii="Times New Roman" w:hAnsi="Times New Roman" w:eastAsia="仿宋_GB2312" w:cs="仿宋_GB2312"/>
          <w:kern w:val="2"/>
          <w:sz w:val="32"/>
          <w:szCs w:val="32"/>
          <w:lang w:val="en-US" w:eastAsia="zh-CN" w:bidi="ar"/>
        </w:rPr>
        <w:t>。</w:t>
      </w:r>
      <w:r>
        <w:rPr>
          <w:rFonts w:hint="default" w:ascii="Times New Roman" w:hAnsi="Times New Roman" w:eastAsia="仿宋_GB2312" w:cs="仿宋_GB2312"/>
          <w:kern w:val="2"/>
          <w:sz w:val="32"/>
          <w:szCs w:val="32"/>
          <w:lang w:val="en-US" w:eastAsia="zh-CN" w:bidi="ar"/>
        </w:rPr>
        <w:t>制定项目风险应急预案，对不可抗力导致的延期，及时调整进度计划并报备，避免影响整体目标完成。将项目按期完成率、资金执行率纳入下年度资金分配和绩效考核，与评优评先、资金倾斜挂钩，形成正向激励。</w:t>
      </w:r>
    </w:p>
    <w:p w14:paraId="040737AB">
      <w:pPr>
        <w:pStyle w:val="3"/>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Lines="0" w:beforeAutospacing="0" w:after="0" w:afterLines="0" w:afterAutospacing="0" w:line="560" w:lineRule="exact"/>
        <w:ind w:firstLine="640" w:firstLineChars="200"/>
        <w:jc w:val="both"/>
        <w:textAlignment w:val="auto"/>
        <w:rPr>
          <w:rFonts w:hint="eastAsia" w:cs="黑体"/>
          <w:b w:val="0"/>
          <w:bCs/>
          <w:kern w:val="44"/>
          <w:sz w:val="32"/>
          <w:szCs w:val="32"/>
          <w:lang w:val="en-US" w:eastAsia="zh-CN"/>
        </w:rPr>
      </w:pPr>
      <w:r>
        <w:rPr>
          <w:rFonts w:hint="eastAsia" w:cs="黑体"/>
          <w:b w:val="0"/>
          <w:bCs/>
          <w:kern w:val="44"/>
          <w:sz w:val="32"/>
          <w:szCs w:val="32"/>
          <w:lang w:val="en-US" w:eastAsia="zh-CN"/>
        </w:rPr>
        <w:t>四、绩效自评结果拟应用和公开情况</w:t>
      </w:r>
    </w:p>
    <w:p w14:paraId="4D404E6A">
      <w:pPr>
        <w:pStyle w:val="4"/>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firstLine="643" w:firstLineChars="200"/>
        <w:jc w:val="both"/>
        <w:textAlignment w:val="auto"/>
        <w:rPr>
          <w:rFonts w:hint="eastAsia" w:ascii="Times New Roman" w:hAnsi="Times New Roman" w:eastAsia="楷体_GB2312" w:cs="Times New Roman"/>
          <w:b/>
          <w:bCs w:val="0"/>
          <w:kern w:val="2"/>
          <w:sz w:val="32"/>
          <w:szCs w:val="32"/>
        </w:rPr>
      </w:pPr>
      <w:r>
        <w:rPr>
          <w:rFonts w:hint="eastAsia" w:ascii="Times New Roman" w:hAnsi="Times New Roman" w:eastAsia="楷体_GB2312" w:cs="楷体_GB2312"/>
          <w:b/>
          <w:bCs w:val="0"/>
          <w:kern w:val="2"/>
          <w:sz w:val="32"/>
          <w:szCs w:val="32"/>
        </w:rPr>
        <w:t>（一）绩效自评结果的应用</w:t>
      </w:r>
    </w:p>
    <w:p w14:paraId="0C451F5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Times New Roman"/>
          <w:spacing w:val="-6"/>
          <w:kern w:val="2"/>
          <w:sz w:val="32"/>
          <w:szCs w:val="32"/>
        </w:rPr>
      </w:pPr>
      <w:r>
        <w:rPr>
          <w:rFonts w:hint="eastAsia" w:ascii="Times New Roman" w:hAnsi="Times New Roman" w:eastAsia="仿宋_GB2312" w:cs="仿宋_GB2312"/>
          <w:kern w:val="2"/>
          <w:sz w:val="32"/>
          <w:szCs w:val="32"/>
          <w:lang w:val="en-US" w:eastAsia="zh-CN" w:bidi="ar"/>
        </w:rPr>
        <w:t>绩效评价结果应用，既是开展绩效评价工作的基本前提，又是增强资金绩效理念、合理配置公共资源、优化财政支出结构、提高资金使用效益的重要手段。我厅将围绕《国家基本公共服务标准（</w:t>
      </w:r>
      <w:r>
        <w:rPr>
          <w:rFonts w:hint="default" w:ascii="Times New Roman" w:hAnsi="Times New Roman" w:eastAsia="仿宋_GB2312" w:cs="Times New Roman"/>
          <w:kern w:val="2"/>
          <w:sz w:val="32"/>
          <w:szCs w:val="32"/>
          <w:lang w:val="en-US" w:eastAsia="zh-CN" w:bidi="ar"/>
        </w:rPr>
        <w:t>2023</w:t>
      </w:r>
      <w:r>
        <w:rPr>
          <w:rFonts w:hint="eastAsia" w:ascii="Times New Roman" w:hAnsi="Times New Roman" w:eastAsia="仿宋_GB2312" w:cs="仿宋_GB2312"/>
          <w:kern w:val="2"/>
          <w:sz w:val="32"/>
          <w:szCs w:val="32"/>
          <w:lang w:val="en-US" w:eastAsia="zh-CN" w:bidi="ar"/>
        </w:rPr>
        <w:t>年版）》《湖南省基本公共服务标准（</w:t>
      </w:r>
      <w:r>
        <w:rPr>
          <w:rFonts w:hint="default" w:ascii="Times New Roman" w:hAnsi="Times New Roman" w:eastAsia="仿宋_GB2312" w:cs="Times New Roman"/>
          <w:kern w:val="2"/>
          <w:sz w:val="32"/>
          <w:szCs w:val="32"/>
          <w:lang w:val="en-US" w:eastAsia="zh-CN" w:bidi="ar"/>
        </w:rPr>
        <w:t>2023</w:t>
      </w:r>
      <w:r>
        <w:rPr>
          <w:rFonts w:hint="eastAsia" w:ascii="Times New Roman" w:hAnsi="Times New Roman" w:eastAsia="仿宋_GB2312" w:cs="仿宋_GB2312"/>
          <w:kern w:val="2"/>
          <w:sz w:val="32"/>
          <w:szCs w:val="32"/>
          <w:lang w:val="en-US" w:eastAsia="zh-CN" w:bidi="ar"/>
        </w:rPr>
        <w:t>年版）》所确定的基本公共文化服务</w:t>
      </w:r>
      <w:r>
        <w:rPr>
          <w:rFonts w:hint="eastAsia" w:ascii="Times New Roman" w:hAnsi="Times New Roman" w:eastAsia="仿宋_GB2312" w:cs="仿宋_GB2312"/>
          <w:spacing w:val="-6"/>
          <w:kern w:val="2"/>
          <w:sz w:val="32"/>
          <w:szCs w:val="32"/>
          <w:lang w:val="en-US" w:eastAsia="zh-CN" w:bidi="ar"/>
        </w:rPr>
        <w:t>内容，充分应用绩效自评结果。自评结果主要应用于以下几个方面：</w:t>
      </w:r>
    </w:p>
    <w:p w14:paraId="6240B652">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仿宋_GB2312"/>
          <w:kern w:val="2"/>
          <w:sz w:val="32"/>
          <w:szCs w:val="32"/>
          <w:lang w:val="en-US" w:eastAsia="zh-CN" w:bidi="ar"/>
        </w:rPr>
        <w:t>以自评促管理。我厅将及时反馈自评中发现的问题给资金使用单位及其主管部门，压实主体责任，限期整改，并将整改结果上报，以此促进其相关部门和单位提高专项资金管理水平。</w:t>
      </w:r>
    </w:p>
    <w:p w14:paraId="0BADF58B">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spacing w:val="-6"/>
          <w:kern w:val="2"/>
          <w:sz w:val="32"/>
          <w:szCs w:val="32"/>
          <w:lang w:val="en-US" w:eastAsia="zh-CN" w:bidi="ar"/>
        </w:rPr>
      </w:pPr>
      <w:r>
        <w:rPr>
          <w:rFonts w:hint="default" w:ascii="Times New Roman" w:hAnsi="Times New Roman" w:eastAsia="仿宋_GB2312" w:cs="Times New Roman"/>
          <w:kern w:val="2"/>
          <w:sz w:val="32"/>
          <w:szCs w:val="32"/>
          <w:lang w:val="en-US" w:eastAsia="zh-CN" w:bidi="ar"/>
        </w:rPr>
        <w:t>2.</w:t>
      </w:r>
      <w:r>
        <w:rPr>
          <w:rFonts w:hint="eastAsia" w:ascii="Times New Roman" w:hAnsi="Times New Roman" w:eastAsia="仿宋_GB2312" w:cs="仿宋_GB2312"/>
          <w:kern w:val="2"/>
          <w:sz w:val="32"/>
          <w:szCs w:val="32"/>
          <w:lang w:val="en-US" w:eastAsia="zh-CN" w:bidi="ar"/>
        </w:rPr>
        <w:t>以自评促效益。充分利用自评结果，切实增强市州文旅部</w:t>
      </w:r>
      <w:r>
        <w:rPr>
          <w:rFonts w:hint="eastAsia" w:ascii="Times New Roman" w:hAnsi="Times New Roman" w:eastAsia="仿宋_GB2312" w:cs="仿宋_GB2312"/>
          <w:spacing w:val="-6"/>
          <w:kern w:val="2"/>
          <w:sz w:val="32"/>
          <w:szCs w:val="32"/>
          <w:lang w:val="en-US" w:eastAsia="zh-CN" w:bidi="ar"/>
        </w:rPr>
        <w:t>门和资金使用单位的支出责任和效率意识，提高专项资金使用效果。</w:t>
      </w:r>
    </w:p>
    <w:p w14:paraId="5C04EB4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3.</w:t>
      </w:r>
      <w:r>
        <w:rPr>
          <w:rFonts w:hint="eastAsia" w:ascii="Times New Roman" w:hAnsi="Times New Roman" w:eastAsia="仿宋_GB2312" w:cs="仿宋_GB2312"/>
          <w:kern w:val="2"/>
          <w:sz w:val="32"/>
          <w:szCs w:val="32"/>
          <w:lang w:val="en-US" w:eastAsia="zh-CN" w:bidi="ar"/>
        </w:rPr>
        <w:t>以自评促改进。对市州文旅部门和资金使用单位在绩效自评过</w:t>
      </w:r>
      <w:r>
        <w:rPr>
          <w:rFonts w:hint="eastAsia" w:eastAsia="仿宋_GB2312" w:cs="仿宋_GB2312"/>
          <w:kern w:val="2"/>
          <w:sz w:val="32"/>
          <w:szCs w:val="32"/>
          <w:lang w:val="en-US" w:eastAsia="zh-CN" w:bidi="ar"/>
        </w:rPr>
        <w:t>程中</w:t>
      </w:r>
      <w:r>
        <w:rPr>
          <w:rFonts w:hint="eastAsia" w:ascii="Times New Roman" w:hAnsi="Times New Roman" w:eastAsia="仿宋_GB2312" w:cs="仿宋_GB2312"/>
          <w:kern w:val="2"/>
          <w:sz w:val="32"/>
          <w:szCs w:val="32"/>
          <w:lang w:val="en-US" w:eastAsia="zh-CN" w:bidi="ar"/>
        </w:rPr>
        <w:t>发现绩效评价中存在的问题，通过完善绩效评价流程，我厅将强化绩效评价过程管理，进一步增强绩效管理意识，不断提高专项资金绩效评价工作质量。</w:t>
      </w:r>
    </w:p>
    <w:p w14:paraId="63A3A488">
      <w:pPr>
        <w:pStyle w:val="4"/>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0" w:beforeAutospacing="0" w:after="0" w:afterAutospacing="0" w:line="560" w:lineRule="exact"/>
        <w:ind w:firstLine="643" w:firstLineChars="200"/>
        <w:textAlignment w:val="auto"/>
        <w:rPr>
          <w:rFonts w:hint="eastAsia" w:ascii="Times New Roman" w:hAnsi="Times New Roman" w:eastAsia="楷体_GB2312" w:cs="Times New Roman"/>
          <w:b/>
          <w:bCs w:val="0"/>
          <w:kern w:val="2"/>
          <w:sz w:val="32"/>
          <w:szCs w:val="32"/>
        </w:rPr>
      </w:pPr>
      <w:r>
        <w:rPr>
          <w:rFonts w:hint="eastAsia" w:ascii="Times New Roman" w:hAnsi="Times New Roman" w:eastAsia="楷体_GB2312" w:cs="楷体_GB2312"/>
          <w:b/>
          <w:bCs w:val="0"/>
          <w:kern w:val="2"/>
          <w:sz w:val="32"/>
          <w:szCs w:val="32"/>
        </w:rPr>
        <w:t>（二）绩效自评结果公开情况</w:t>
      </w:r>
    </w:p>
    <w:p w14:paraId="7308908E">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仿宋_GB2312"/>
          <w:kern w:val="2"/>
          <w:sz w:val="32"/>
          <w:szCs w:val="32"/>
          <w:lang w:val="en-US" w:eastAsia="zh-CN" w:bidi="ar"/>
        </w:rPr>
      </w:pPr>
      <w:r>
        <w:rPr>
          <w:rFonts w:hint="eastAsia" w:ascii="Times New Roman" w:hAnsi="Times New Roman" w:eastAsia="仿宋_GB2312" w:cs="仿宋_GB2312"/>
          <w:kern w:val="2"/>
          <w:sz w:val="32"/>
          <w:szCs w:val="32"/>
          <w:lang w:val="en-US" w:eastAsia="zh-CN" w:bidi="ar"/>
        </w:rPr>
        <w:t>我厅拟将本次自评结果在我厅官网上进行公示，接受社会公众监督。</w:t>
      </w:r>
    </w:p>
    <w:p w14:paraId="153C2F75">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N/>
        <w:bidi w:val="0"/>
        <w:adjustRightInd w:val="0"/>
        <w:snapToGrid w:val="0"/>
        <w:spacing w:beforeAutospacing="0" w:afterAutospacing="0" w:line="560" w:lineRule="exact"/>
        <w:ind w:left="0" w:right="0" w:firstLine="640" w:firstLineChars="200"/>
        <w:jc w:val="both"/>
        <w:textAlignment w:val="auto"/>
        <w:rPr>
          <w:rFonts w:hint="eastAsia" w:ascii="Times New Roman" w:hAnsi="Times New Roman" w:eastAsia="仿宋_GB2312" w:cs="Times New Roman"/>
          <w:kern w:val="2"/>
          <w:sz w:val="32"/>
          <w:szCs w:val="32"/>
          <w:lang w:val="en-US" w:eastAsia="zh-CN" w:bidi="ar"/>
        </w:rPr>
      </w:pPr>
    </w:p>
    <w:p w14:paraId="04F627F6">
      <w:pPr>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kinsoku/>
        <w:wordWrap/>
        <w:overflowPunct/>
        <w:topLinePunct w:val="0"/>
        <w:autoSpaceDE w:val="0"/>
        <w:autoSpaceDN/>
        <w:bidi w:val="0"/>
        <w:adjustRightInd w:val="0"/>
        <w:snapToGrid w:val="0"/>
        <w:spacing w:beforeAutospacing="0" w:afterAutospacing="0" w:line="560" w:lineRule="exact"/>
        <w:ind w:left="1598" w:leftChars="304" w:right="0" w:hanging="960" w:hangingChars="300"/>
        <w:jc w:val="both"/>
        <w:textAlignment w:val="auto"/>
        <w:rPr>
          <w:rFonts w:hint="eastAsia" w:ascii="Times New Roman" w:hAnsi="Times New Roman" w:eastAsia="仿宋_GB2312" w:cs="仿宋_GB2312"/>
          <w:spacing w:val="-6"/>
          <w:kern w:val="2"/>
          <w:sz w:val="32"/>
          <w:szCs w:val="32"/>
          <w:lang w:val="en-US" w:eastAsia="zh-CN" w:bidi="ar"/>
        </w:rPr>
      </w:pPr>
      <w:r>
        <w:rPr>
          <w:rFonts w:hint="eastAsia" w:ascii="Times New Roman" w:hAnsi="Times New Roman" w:eastAsia="仿宋_GB2312" w:cs="仿宋_GB2312"/>
          <w:kern w:val="2"/>
          <w:sz w:val="32"/>
          <w:szCs w:val="32"/>
          <w:lang w:val="en-US" w:eastAsia="zh-CN" w:bidi="ar"/>
        </w:rPr>
        <w:t>附件：</w:t>
      </w:r>
      <w:r>
        <w:rPr>
          <w:rFonts w:hint="default" w:ascii="Times New Roman" w:hAnsi="Times New Roman" w:eastAsia="仿宋_GB2312" w:cs="Times New Roman"/>
          <w:spacing w:val="-6"/>
          <w:kern w:val="2"/>
          <w:sz w:val="32"/>
          <w:szCs w:val="32"/>
          <w:lang w:val="en-US" w:eastAsia="zh-CN" w:bidi="ar"/>
        </w:rPr>
        <w:t>202</w:t>
      </w:r>
      <w:r>
        <w:rPr>
          <w:rFonts w:hint="eastAsia" w:ascii="Times New Roman" w:hAnsi="Times New Roman" w:eastAsia="仿宋_GB2312" w:cs="Times New Roman"/>
          <w:spacing w:val="-6"/>
          <w:kern w:val="2"/>
          <w:sz w:val="32"/>
          <w:szCs w:val="32"/>
          <w:lang w:val="en-US" w:eastAsia="zh-CN" w:bidi="ar"/>
        </w:rPr>
        <w:t>5</w:t>
      </w:r>
      <w:r>
        <w:rPr>
          <w:rFonts w:hint="eastAsia" w:ascii="Times New Roman" w:hAnsi="Times New Roman" w:eastAsia="仿宋_GB2312" w:cs="仿宋_GB2312"/>
          <w:spacing w:val="-6"/>
          <w:kern w:val="2"/>
          <w:sz w:val="32"/>
          <w:szCs w:val="32"/>
          <w:lang w:val="en-US" w:eastAsia="zh-CN" w:bidi="ar"/>
        </w:rPr>
        <w:t>年度</w:t>
      </w:r>
      <w:r>
        <w:rPr>
          <w:rFonts w:hint="eastAsia" w:eastAsia="仿宋_GB2312" w:cs="仿宋_GB2312"/>
          <w:spacing w:val="-6"/>
          <w:kern w:val="2"/>
          <w:sz w:val="32"/>
          <w:szCs w:val="32"/>
          <w:lang w:val="en-US" w:eastAsia="zh-CN" w:bidi="ar"/>
        </w:rPr>
        <w:t>“三馆一站”免费开放补助资金</w:t>
      </w:r>
      <w:r>
        <w:rPr>
          <w:rFonts w:hint="eastAsia" w:ascii="Times New Roman" w:hAnsi="Times New Roman" w:eastAsia="仿宋_GB2312" w:cs="仿宋_GB2312"/>
          <w:spacing w:val="-6"/>
          <w:kern w:val="2"/>
          <w:sz w:val="32"/>
          <w:szCs w:val="32"/>
          <w:lang w:val="en-US" w:eastAsia="zh-CN" w:bidi="ar"/>
        </w:rPr>
        <w:t>绩效自评表</w:t>
      </w:r>
    </w:p>
    <w:p w14:paraId="5E02D567">
      <w:pPr>
        <w:pStyle w:val="2"/>
        <w:keepNext w:val="0"/>
        <w:keepLines w:val="0"/>
        <w:pageBreakBefore w:val="0"/>
        <w:widowControl w:val="0"/>
        <w:kinsoku/>
        <w:wordWrap/>
        <w:overflowPunct/>
        <w:topLinePunct w:val="0"/>
        <w:autoSpaceDE/>
        <w:autoSpaceDN/>
        <w:bidi w:val="0"/>
        <w:adjustRightInd/>
        <w:snapToGrid w:val="0"/>
        <w:spacing w:line="800" w:lineRule="exact"/>
        <w:textAlignment w:val="auto"/>
        <w:rPr>
          <w:rFonts w:hint="eastAsia" w:ascii="Times New Roman" w:hAnsi="Times New Roman" w:eastAsia="仿宋_GB2312" w:cs="仿宋_GB2312"/>
          <w:spacing w:val="-6"/>
          <w:kern w:val="2"/>
          <w:sz w:val="32"/>
          <w:szCs w:val="32"/>
          <w:lang w:val="en-US" w:eastAsia="zh-CN" w:bidi="ar"/>
        </w:rPr>
      </w:pPr>
    </w:p>
    <w:p w14:paraId="006E8E08">
      <w:pPr>
        <w:pStyle w:val="2"/>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eastAsia" w:eastAsia="仿宋_GB2312" w:cs="仿宋_GB2312"/>
          <w:spacing w:val="-6"/>
          <w:kern w:val="2"/>
          <w:sz w:val="32"/>
          <w:szCs w:val="32"/>
          <w:lang w:val="en-US" w:eastAsia="zh-CN" w:bidi="ar"/>
        </w:rPr>
      </w:pPr>
      <w:r>
        <w:rPr>
          <w:rFonts w:hint="eastAsia" w:eastAsia="仿宋_GB2312" w:cs="仿宋_GB2312"/>
          <w:spacing w:val="-6"/>
          <w:kern w:val="2"/>
          <w:sz w:val="32"/>
          <w:szCs w:val="32"/>
          <w:lang w:val="en-US" w:eastAsia="zh-CN" w:bidi="ar"/>
        </w:rPr>
        <w:t xml:space="preserve">                       湖南省文化和旅游厅</w:t>
      </w:r>
    </w:p>
    <w:p w14:paraId="5151F8E1">
      <w:pPr>
        <w:keepNext w:val="0"/>
        <w:keepLines w:val="0"/>
        <w:pageBreakBefore w:val="0"/>
        <w:widowControl w:val="0"/>
        <w:kinsoku/>
        <w:wordWrap/>
        <w:overflowPunct/>
        <w:topLinePunct w:val="0"/>
        <w:autoSpaceDE/>
        <w:autoSpaceDN/>
        <w:bidi w:val="0"/>
        <w:adjustRightInd/>
        <w:snapToGrid w:val="0"/>
        <w:spacing w:line="560" w:lineRule="exact"/>
        <w:jc w:val="center"/>
        <w:textAlignment w:val="auto"/>
        <w:rPr>
          <w:rFonts w:hint="default"/>
          <w:lang w:val="en-US"/>
        </w:rPr>
      </w:pPr>
      <w:r>
        <w:rPr>
          <w:rFonts w:hint="eastAsia" w:eastAsia="仿宋_GB2312" w:cs="仿宋_GB2312"/>
          <w:spacing w:val="-6"/>
          <w:kern w:val="2"/>
          <w:sz w:val="32"/>
          <w:szCs w:val="32"/>
          <w:lang w:val="en-US" w:eastAsia="zh-CN" w:bidi="ar"/>
        </w:rPr>
        <w:t xml:space="preserve">                       </w:t>
      </w:r>
      <w:r>
        <w:rPr>
          <w:rFonts w:hint="eastAsia" w:eastAsia="仿宋_GB2312" w:cs="仿宋_GB2312"/>
          <w:spacing w:val="-6"/>
          <w:kern w:val="2"/>
          <w:sz w:val="24"/>
          <w:szCs w:val="24"/>
          <w:lang w:val="en-US" w:eastAsia="zh-CN" w:bidi="ar"/>
        </w:rPr>
        <w:t xml:space="preserve"> </w:t>
      </w:r>
      <w:r>
        <w:rPr>
          <w:rFonts w:hint="eastAsia" w:eastAsia="仿宋_GB2312" w:cs="仿宋_GB2312"/>
          <w:spacing w:val="-6"/>
          <w:kern w:val="2"/>
          <w:sz w:val="32"/>
          <w:szCs w:val="32"/>
          <w:lang w:val="en-US" w:eastAsia="zh-CN" w:bidi="ar"/>
        </w:rPr>
        <w:t>2026年3月30日</w:t>
      </w:r>
    </w:p>
    <w:p w14:paraId="3B6740C9">
      <w:pPr>
        <w:rPr>
          <w:rFonts w:hint="default" w:eastAsia="仿宋_GB2312" w:cs="仿宋_GB2312"/>
          <w:kern w:val="2"/>
          <w:sz w:val="32"/>
          <w:szCs w:val="32"/>
          <w:lang w:val="en-US" w:eastAsia="zh-CN" w:bidi="ar"/>
        </w:rPr>
      </w:pPr>
      <w:r>
        <w:rPr>
          <w:rFonts w:hint="default" w:eastAsia="仿宋_GB2312" w:cs="仿宋_GB2312"/>
          <w:kern w:val="2"/>
          <w:sz w:val="32"/>
          <w:szCs w:val="32"/>
          <w:lang w:val="en-US" w:eastAsia="zh-CN" w:bidi="ar"/>
        </w:rPr>
        <w:br w:type="page"/>
      </w:r>
    </w:p>
    <w:p w14:paraId="7D013079">
      <w:pPr>
        <w:keepNext w:val="0"/>
        <w:keepLines w:val="0"/>
        <w:pageBreakBefore w:val="0"/>
        <w:widowControl/>
        <w:kinsoku/>
        <w:wordWrap/>
        <w:overflowPunct/>
        <w:topLinePunct w:val="0"/>
        <w:autoSpaceDE/>
        <w:autoSpaceDN/>
        <w:bidi w:val="0"/>
        <w:adjustRightInd/>
        <w:snapToGrid w:val="0"/>
        <w:jc w:val="left"/>
        <w:textAlignment w:val="auto"/>
        <w:rPr>
          <w:rFonts w:hint="eastAsia" w:ascii="黑体" w:hAnsi="黑体" w:eastAsia="黑体" w:cs="黑体"/>
          <w:bCs/>
          <w:color w:val="000000"/>
          <w:kern w:val="0"/>
          <w:sz w:val="32"/>
          <w:szCs w:val="32"/>
          <w:lang w:val="en-US" w:eastAsia="zh-CN"/>
        </w:rPr>
      </w:pPr>
      <w:r>
        <w:rPr>
          <w:rFonts w:hint="eastAsia" w:ascii="黑体" w:hAnsi="黑体" w:eastAsia="黑体" w:cs="黑体"/>
          <w:bCs/>
          <w:color w:val="000000"/>
          <w:kern w:val="0"/>
          <w:sz w:val="32"/>
          <w:szCs w:val="32"/>
          <w:lang w:val="en-US" w:eastAsia="zh-CN"/>
        </w:rPr>
        <w:t>附件</w:t>
      </w:r>
    </w:p>
    <w:p w14:paraId="4A7F9322">
      <w:pPr>
        <w:keepNext w:val="0"/>
        <w:keepLines w:val="0"/>
        <w:pageBreakBefore w:val="0"/>
        <w:widowControl/>
        <w:kinsoku/>
        <w:wordWrap/>
        <w:overflowPunct/>
        <w:topLinePunct w:val="0"/>
        <w:autoSpaceDE/>
        <w:autoSpaceDN/>
        <w:bidi w:val="0"/>
        <w:adjustRightInd/>
        <w:snapToGrid w:val="0"/>
        <w:spacing w:before="95" w:beforeLines="30"/>
        <w:jc w:val="center"/>
        <w:textAlignment w:val="auto"/>
        <w:rPr>
          <w:rFonts w:hint="eastAsia" w:ascii="方正小标宋简体" w:hAnsi="方正小标宋简体" w:eastAsia="方正小标宋简体" w:cs="方正小标宋简体"/>
          <w:bCs/>
          <w:color w:val="000000"/>
          <w:kern w:val="0"/>
          <w:sz w:val="44"/>
          <w:szCs w:val="44"/>
        </w:rPr>
      </w:pPr>
      <w:r>
        <w:rPr>
          <w:rFonts w:hint="eastAsia" w:ascii="Times New Roman" w:hAnsi="Times New Roman" w:eastAsia="方正小标宋简体" w:cs="方正小标宋简体"/>
          <w:bCs/>
          <w:color w:val="000000"/>
          <w:kern w:val="0"/>
          <w:sz w:val="44"/>
          <w:szCs w:val="44"/>
        </w:rPr>
        <w:t>202</w:t>
      </w:r>
      <w:r>
        <w:rPr>
          <w:rFonts w:hint="eastAsia" w:ascii="Times New Roman" w:hAnsi="Times New Roman" w:eastAsia="方正小标宋简体" w:cs="方正小标宋简体"/>
          <w:bCs/>
          <w:color w:val="000000"/>
          <w:kern w:val="0"/>
          <w:sz w:val="44"/>
          <w:szCs w:val="44"/>
          <w:lang w:val="en-US" w:eastAsia="zh-CN"/>
        </w:rPr>
        <w:t>5</w:t>
      </w:r>
      <w:r>
        <w:rPr>
          <w:rFonts w:hint="eastAsia" w:ascii="方正小标宋简体" w:hAnsi="方正小标宋简体" w:eastAsia="方正小标宋简体" w:cs="方正小标宋简体"/>
          <w:bCs/>
          <w:color w:val="000000"/>
          <w:kern w:val="0"/>
          <w:sz w:val="44"/>
          <w:szCs w:val="44"/>
        </w:rPr>
        <w:t>年度“三馆一站”免费开放补助资金</w:t>
      </w:r>
    </w:p>
    <w:p w14:paraId="44F2AC61">
      <w:pPr>
        <w:keepNext w:val="0"/>
        <w:keepLines w:val="0"/>
        <w:pageBreakBefore w:val="0"/>
        <w:widowControl/>
        <w:kinsoku/>
        <w:wordWrap/>
        <w:overflowPunct/>
        <w:topLinePunct w:val="0"/>
        <w:autoSpaceDE/>
        <w:autoSpaceDN/>
        <w:bidi w:val="0"/>
        <w:adjustRightInd/>
        <w:snapToGrid w:val="0"/>
        <w:spacing w:after="95" w:afterLines="30"/>
        <w:jc w:val="center"/>
        <w:textAlignment w:val="auto"/>
        <w:rPr>
          <w:rFonts w:hint="eastAsia" w:ascii="方正小标宋简体" w:hAnsi="方正小标宋简体" w:eastAsia="方正小标宋简体" w:cs="方正小标宋简体"/>
          <w:bCs/>
          <w:color w:val="000000"/>
          <w:kern w:val="0"/>
          <w:sz w:val="44"/>
          <w:szCs w:val="44"/>
        </w:rPr>
      </w:pPr>
      <w:r>
        <w:rPr>
          <w:rFonts w:hint="eastAsia" w:ascii="方正小标宋简体" w:hAnsi="方正小标宋简体" w:eastAsia="方正小标宋简体" w:cs="方正小标宋简体"/>
          <w:bCs/>
          <w:color w:val="000000"/>
          <w:kern w:val="0"/>
          <w:sz w:val="44"/>
          <w:szCs w:val="44"/>
        </w:rPr>
        <w:t>绩效自评表</w:t>
      </w:r>
    </w:p>
    <w:tbl>
      <w:tblPr>
        <w:tblStyle w:val="10"/>
        <w:tblW w:w="5606" w:type="pct"/>
        <w:tblInd w:w="-52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62"/>
        <w:gridCol w:w="393"/>
        <w:gridCol w:w="500"/>
        <w:gridCol w:w="1029"/>
        <w:gridCol w:w="1463"/>
        <w:gridCol w:w="358"/>
        <w:gridCol w:w="719"/>
        <w:gridCol w:w="975"/>
        <w:gridCol w:w="802"/>
        <w:gridCol w:w="770"/>
        <w:gridCol w:w="980"/>
        <w:gridCol w:w="1008"/>
      </w:tblGrid>
      <w:tr w14:paraId="7434C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4" w:hRule="atLeast"/>
        </w:trPr>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D93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转移支付名称</w:t>
            </w:r>
          </w:p>
        </w:tc>
        <w:tc>
          <w:tcPr>
            <w:tcW w:w="4234"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C63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“三馆一站”</w:t>
            </w:r>
            <w:r>
              <w:rPr>
                <w:rFonts w:hint="default" w:ascii="Times New Roman" w:hAnsi="Times New Roman" w:eastAsia="仿宋_GB2312" w:cs="Times New Roman"/>
                <w:i w:val="0"/>
                <w:iCs w:val="0"/>
                <w:color w:val="000000"/>
                <w:kern w:val="0"/>
                <w:sz w:val="21"/>
                <w:szCs w:val="21"/>
                <w:u w:val="none"/>
                <w:lang w:val="en-US" w:eastAsia="zh-CN" w:bidi="ar"/>
              </w:rPr>
              <w:t>免费开放补助资金</w:t>
            </w:r>
          </w:p>
        </w:tc>
      </w:tr>
      <w:tr w14:paraId="0F197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750D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中央主管部门</w:t>
            </w:r>
          </w:p>
        </w:tc>
        <w:tc>
          <w:tcPr>
            <w:tcW w:w="4234" w:type="pct"/>
            <w:gridSpan w:val="10"/>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DF53D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文化和旅游部</w:t>
            </w:r>
          </w:p>
        </w:tc>
      </w:tr>
      <w:tr w14:paraId="243F1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4" w:hRule="atLeast"/>
        </w:trPr>
        <w:tc>
          <w:tcPr>
            <w:tcW w:w="76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F61C2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省级财政部门</w:t>
            </w:r>
          </w:p>
        </w:tc>
        <w:tc>
          <w:tcPr>
            <w:tcW w:w="200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9B37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湖南省财政厅</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52D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省级主管部门</w:t>
            </w:r>
          </w:p>
        </w:tc>
        <w:tc>
          <w:tcPr>
            <w:tcW w:w="175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A7457B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湖南省文化和旅游厅</w:t>
            </w:r>
          </w:p>
        </w:tc>
      </w:tr>
      <w:tr w14:paraId="38A2B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76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EA201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资金投入情况</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（万元）</w:t>
            </w:r>
          </w:p>
        </w:tc>
        <w:tc>
          <w:tcPr>
            <w:tcW w:w="75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7C314C">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72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44F0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年初预算数</w:t>
            </w:r>
          </w:p>
        </w:tc>
        <w:tc>
          <w:tcPr>
            <w:tcW w:w="5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EA79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全年预算数</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ACB3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全年执行数</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9F9F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分值</w:t>
            </w:r>
          </w:p>
        </w:tc>
        <w:tc>
          <w:tcPr>
            <w:tcW w:w="8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C494BE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执行率</w:t>
            </w:r>
          </w:p>
        </w:tc>
        <w:tc>
          <w:tcPr>
            <w:tcW w:w="496"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7C76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得分</w:t>
            </w:r>
          </w:p>
        </w:tc>
      </w:tr>
      <w:tr w14:paraId="7B099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7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731AA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D19154">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72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4A57B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3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EF258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Style w:val="12"/>
                <w:rFonts w:hint="default" w:ascii="Times New Roman" w:hAnsi="Times New Roman" w:eastAsia="仿宋_GB2312" w:cs="Times New Roman"/>
                <w:lang w:val="en-US" w:eastAsia="zh-CN" w:bidi="ar"/>
              </w:rPr>
              <w:t>（</w:t>
            </w:r>
            <w:r>
              <w:rPr>
                <w:rStyle w:val="13"/>
                <w:rFonts w:hint="default" w:ascii="Times New Roman" w:hAnsi="Times New Roman" w:eastAsia="仿宋_GB2312" w:cs="Times New Roman"/>
                <w:lang w:val="en-US" w:eastAsia="zh-CN" w:bidi="ar"/>
              </w:rPr>
              <w:t>A</w:t>
            </w:r>
            <w:r>
              <w:rPr>
                <w:rStyle w:val="12"/>
                <w:rFonts w:hint="default" w:ascii="Times New Roman" w:hAnsi="Times New Roman" w:eastAsia="仿宋_GB2312" w:cs="Times New Roman"/>
                <w:lang w:val="en-US" w:eastAsia="zh-CN" w:bidi="ar"/>
              </w:rPr>
              <w:t>）</w:t>
            </w:r>
          </w:p>
        </w:tc>
        <w:tc>
          <w:tcPr>
            <w:tcW w:w="4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7C88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Style w:val="12"/>
                <w:rFonts w:hint="default" w:ascii="Times New Roman" w:hAnsi="Times New Roman" w:eastAsia="仿宋_GB2312" w:cs="Times New Roman"/>
                <w:lang w:val="en-US" w:eastAsia="zh-CN" w:bidi="ar"/>
              </w:rPr>
              <w:t>（</w:t>
            </w:r>
            <w:r>
              <w:rPr>
                <w:rStyle w:val="13"/>
                <w:rFonts w:hint="default" w:ascii="Times New Roman" w:hAnsi="Times New Roman" w:eastAsia="仿宋_GB2312" w:cs="Times New Roman"/>
                <w:lang w:val="en-US" w:eastAsia="zh-CN" w:bidi="ar"/>
              </w:rPr>
              <w:t>B</w:t>
            </w:r>
            <w:r>
              <w:rPr>
                <w:rStyle w:val="12"/>
                <w:rFonts w:hint="default" w:ascii="Times New Roman" w:hAnsi="Times New Roman" w:eastAsia="仿宋_GB2312" w:cs="Times New Roman"/>
                <w:lang w:val="en-US" w:eastAsia="zh-CN" w:bidi="ar"/>
              </w:rPr>
              <w:t>）</w:t>
            </w:r>
          </w:p>
        </w:tc>
        <w:tc>
          <w:tcPr>
            <w:tcW w:w="39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DED3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Style w:val="12"/>
                <w:rFonts w:hint="default" w:ascii="Times New Roman" w:hAnsi="Times New Roman" w:eastAsia="仿宋_GB2312" w:cs="Times New Roman"/>
                <w:lang w:val="en-US" w:eastAsia="zh-CN" w:bidi="ar"/>
              </w:rPr>
              <w:t>（</w:t>
            </w:r>
            <w:r>
              <w:rPr>
                <w:rStyle w:val="13"/>
                <w:rFonts w:hint="default" w:ascii="Times New Roman" w:hAnsi="Times New Roman" w:eastAsia="仿宋_GB2312" w:cs="Times New Roman"/>
                <w:lang w:val="en-US" w:eastAsia="zh-CN" w:bidi="ar"/>
              </w:rPr>
              <w:t>10</w:t>
            </w:r>
            <w:r>
              <w:rPr>
                <w:rStyle w:val="12"/>
                <w:rFonts w:hint="default" w:ascii="Times New Roman" w:hAnsi="Times New Roman" w:eastAsia="仿宋_GB2312" w:cs="Times New Roman"/>
                <w:lang w:val="en-US" w:eastAsia="zh-CN" w:bidi="ar"/>
              </w:rPr>
              <w:t>分）</w:t>
            </w:r>
          </w:p>
        </w:tc>
        <w:tc>
          <w:tcPr>
            <w:tcW w:w="86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B3A9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Style w:val="12"/>
                <w:rFonts w:hint="default" w:ascii="Times New Roman" w:hAnsi="Times New Roman" w:eastAsia="仿宋_GB2312" w:cs="Times New Roman"/>
                <w:lang w:val="en-US" w:eastAsia="zh-CN" w:bidi="ar"/>
              </w:rPr>
              <w:t>（</w:t>
            </w:r>
            <w:r>
              <w:rPr>
                <w:rStyle w:val="13"/>
                <w:rFonts w:hint="default" w:ascii="Times New Roman" w:hAnsi="Times New Roman" w:eastAsia="仿宋_GB2312" w:cs="Times New Roman"/>
                <w:lang w:val="en-US" w:eastAsia="zh-CN" w:bidi="ar"/>
              </w:rPr>
              <w:t>B/A× 100%</w:t>
            </w:r>
            <w:r>
              <w:rPr>
                <w:rStyle w:val="12"/>
                <w:rFonts w:hint="default" w:ascii="Times New Roman" w:hAnsi="Times New Roman" w:eastAsia="仿宋_GB2312" w:cs="Times New Roman"/>
                <w:lang w:val="en-US" w:eastAsia="zh-CN" w:bidi="ar"/>
              </w:rPr>
              <w:t>）</w:t>
            </w:r>
          </w:p>
        </w:tc>
        <w:tc>
          <w:tcPr>
            <w:tcW w:w="496"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B9EE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3EF5D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7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9E00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F410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年度资金总额：</w:t>
            </w: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A45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11472</w:t>
            </w:r>
          </w:p>
        </w:tc>
        <w:tc>
          <w:tcPr>
            <w:tcW w:w="53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5C4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11472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27E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8454.26</w:t>
            </w:r>
          </w:p>
        </w:tc>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434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w:t>
            </w:r>
          </w:p>
        </w:tc>
        <w:tc>
          <w:tcPr>
            <w:tcW w:w="86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64C6F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73.69%</w:t>
            </w: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741E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 7.37 </w:t>
            </w:r>
          </w:p>
        </w:tc>
      </w:tr>
      <w:tr w14:paraId="5DAD9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7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2CF9E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FF3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其中：中央财政资金</w:t>
            </w: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736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11472</w:t>
            </w:r>
          </w:p>
        </w:tc>
        <w:tc>
          <w:tcPr>
            <w:tcW w:w="53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654E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11472</w:t>
            </w: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760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8454.26</w:t>
            </w:r>
          </w:p>
        </w:tc>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11249">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86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4319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2DA432">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r>
      <w:tr w14:paraId="5BAED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76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DE437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A6C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Style w:val="13"/>
                <w:rFonts w:hint="default" w:ascii="Times New Roman" w:hAnsi="Times New Roman" w:eastAsia="仿宋_GB2312" w:cs="Times New Roman"/>
                <w:lang w:val="en-US" w:eastAsia="zh-CN" w:bidi="ar"/>
              </w:rPr>
              <w:t xml:space="preserve">     </w:t>
            </w:r>
            <w:r>
              <w:rPr>
                <w:rStyle w:val="12"/>
                <w:rFonts w:hint="default" w:ascii="Times New Roman" w:hAnsi="Times New Roman" w:eastAsia="仿宋_GB2312" w:cs="Times New Roman"/>
                <w:lang w:val="en-US" w:eastAsia="zh-CN" w:bidi="ar"/>
              </w:rPr>
              <w:t>地方财政资金</w:t>
            </w:r>
          </w:p>
        </w:tc>
        <w:tc>
          <w:tcPr>
            <w:tcW w:w="72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52EE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30"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DAC33">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47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2AD97">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39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536E2">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861"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7720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2A7D2">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r>
      <w:tr w14:paraId="035E9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765" w:type="pct"/>
            <w:gridSpan w:val="2"/>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5BCFD61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5A8ECA8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Style w:val="13"/>
                <w:rFonts w:hint="default" w:ascii="Times New Roman" w:hAnsi="Times New Roman" w:eastAsia="仿宋_GB2312" w:cs="Times New Roman"/>
                <w:lang w:val="en-US" w:eastAsia="zh-CN" w:bidi="ar"/>
              </w:rPr>
              <w:t xml:space="preserve">     </w:t>
            </w:r>
            <w:r>
              <w:rPr>
                <w:rStyle w:val="12"/>
                <w:rFonts w:hint="default" w:ascii="Times New Roman" w:hAnsi="Times New Roman" w:eastAsia="仿宋_GB2312" w:cs="Times New Roman"/>
                <w:lang w:val="en-US" w:eastAsia="zh-CN" w:bidi="ar"/>
              </w:rPr>
              <w:t>其他资金</w:t>
            </w:r>
          </w:p>
        </w:tc>
        <w:tc>
          <w:tcPr>
            <w:tcW w:w="720"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5EB3931">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530" w:type="pct"/>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1AFD2ED4">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479"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24013FB3">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394"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463DF15E">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861" w:type="pct"/>
            <w:gridSpan w:val="2"/>
            <w:tcBorders>
              <w:top w:val="single" w:color="000000" w:sz="4" w:space="0"/>
              <w:left w:val="single" w:color="000000" w:sz="4" w:space="0"/>
              <w:bottom w:val="single" w:color="auto" w:sz="4" w:space="0"/>
              <w:right w:val="single" w:color="000000" w:sz="4" w:space="0"/>
            </w:tcBorders>
            <w:shd w:val="clear" w:color="auto" w:fill="auto"/>
            <w:noWrap/>
            <w:vAlign w:val="center"/>
          </w:tcPr>
          <w:p w14:paraId="2BFE801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96"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0604CC15">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r>
      <w:tr w14:paraId="634D14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5" w:type="pct"/>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CDA2C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资金管理情况</w:t>
            </w:r>
          </w:p>
        </w:tc>
        <w:tc>
          <w:tcPr>
            <w:tcW w:w="752" w:type="pct"/>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7991378">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1729" w:type="pct"/>
            <w:gridSpan w:val="4"/>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6549AB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情况说明</w:t>
            </w:r>
          </w:p>
        </w:tc>
        <w:tc>
          <w:tcPr>
            <w:tcW w:w="39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999EB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分值(40分）</w:t>
            </w:r>
          </w:p>
        </w:tc>
        <w:tc>
          <w:tcPr>
            <w:tcW w:w="378"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A66B7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得分</w:t>
            </w:r>
          </w:p>
        </w:tc>
        <w:tc>
          <w:tcPr>
            <w:tcW w:w="978" w:type="pct"/>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C5CFF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存在问题和改进措施</w:t>
            </w:r>
          </w:p>
        </w:tc>
      </w:tr>
      <w:tr w14:paraId="192BD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9" w:hRule="atLeast"/>
        </w:trPr>
        <w:tc>
          <w:tcPr>
            <w:tcW w:w="765"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2D066E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69D49C4E">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c>
          <w:tcPr>
            <w:tcW w:w="1729" w:type="pct"/>
            <w:gridSpan w:val="4"/>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E72D79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9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FCE833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78"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5B8D134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978"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03268E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55739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0" w:hRule="atLeast"/>
        </w:trPr>
        <w:tc>
          <w:tcPr>
            <w:tcW w:w="765"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02C34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4F792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分配科学性</w:t>
            </w:r>
          </w:p>
        </w:tc>
        <w:tc>
          <w:tcPr>
            <w:tcW w:w="172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4593BD1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Style w:val="12"/>
                <w:rFonts w:hint="default" w:ascii="Times New Roman" w:hAnsi="Times New Roman" w:eastAsia="仿宋_GB2312" w:cs="Times New Roman"/>
                <w:lang w:val="en-US" w:eastAsia="zh-CN" w:bidi="ar"/>
              </w:rPr>
              <w:t>严格按照《中央支持地方公共文化服务体系建设补助资金管理办法》（财教〔</w:t>
            </w:r>
            <w:r>
              <w:rPr>
                <w:rStyle w:val="13"/>
                <w:rFonts w:hint="default" w:ascii="Times New Roman" w:hAnsi="Times New Roman" w:eastAsia="仿宋_GB2312" w:cs="Times New Roman"/>
                <w:lang w:val="en-US" w:eastAsia="zh-CN" w:bidi="ar"/>
              </w:rPr>
              <w:t>2022</w:t>
            </w:r>
            <w:r>
              <w:rPr>
                <w:rStyle w:val="12"/>
                <w:rFonts w:hint="default" w:ascii="Times New Roman" w:hAnsi="Times New Roman" w:eastAsia="仿宋_GB2312" w:cs="Times New Roman"/>
                <w:lang w:val="en-US" w:eastAsia="zh-CN" w:bidi="ar"/>
              </w:rPr>
              <w:t>〕</w:t>
            </w:r>
            <w:r>
              <w:rPr>
                <w:rStyle w:val="13"/>
                <w:rFonts w:hint="default" w:ascii="Times New Roman" w:hAnsi="Times New Roman" w:eastAsia="仿宋_GB2312" w:cs="Times New Roman"/>
                <w:lang w:val="en-US" w:eastAsia="zh-CN" w:bidi="ar"/>
              </w:rPr>
              <w:t>270</w:t>
            </w:r>
            <w:r>
              <w:rPr>
                <w:rStyle w:val="12"/>
                <w:rFonts w:hint="default" w:ascii="Times New Roman" w:hAnsi="Times New Roman" w:eastAsia="仿宋_GB2312" w:cs="Times New Roman"/>
                <w:lang w:val="en-US" w:eastAsia="zh-CN" w:bidi="ar"/>
              </w:rPr>
              <w:t>号）及湖南省相关管理规定，依据常住人口、设施底数、服务绩效、基层短板、政策倾斜等因素科学分配，范围合规、标准统一、依据充分。</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15E9D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BDEB7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D0CDCC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60CC0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6" w:hRule="atLeast"/>
        </w:trPr>
        <w:tc>
          <w:tcPr>
            <w:tcW w:w="765"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CB248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BA200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下达及时性</w:t>
            </w:r>
          </w:p>
        </w:tc>
        <w:tc>
          <w:tcPr>
            <w:tcW w:w="172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F6EAB8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按照预算法及转移支付管理规定时限，分批次及时分解下达至市县与省直单位，确保资金及时到位、项目按期启动。</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8D0A14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5DA321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7958A2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731EE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00" w:hRule="atLeast"/>
        </w:trPr>
        <w:tc>
          <w:tcPr>
            <w:tcW w:w="765"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A3CC2B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0091AAC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拨付合规性</w:t>
            </w:r>
          </w:p>
        </w:tc>
        <w:tc>
          <w:tcPr>
            <w:tcW w:w="172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2B575B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执行国库集中支付制度，资金直达市县财政及项目单位，未违规转入财政专户、实有资金账户，拨付全程合规。</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16FF044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A811E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68D026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4CBE7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6" w:hRule="atLeast"/>
        </w:trPr>
        <w:tc>
          <w:tcPr>
            <w:tcW w:w="765"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52551B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A1B9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使用规范性</w:t>
            </w:r>
          </w:p>
        </w:tc>
        <w:tc>
          <w:tcPr>
            <w:tcW w:w="172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064CEF1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按预算科目、项目执行，实行专款专用、专账核算，财务制度健全、会计核算规范，无截留、挤占、挪用、擅自调整。</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4F3387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46202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AEAA02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769C8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5"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D3133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245483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执行准确性</w:t>
            </w:r>
          </w:p>
        </w:tc>
        <w:tc>
          <w:tcPr>
            <w:tcW w:w="1729" w:type="pct"/>
            <w:gridSpan w:val="4"/>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0A17A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按预算金额执行，执行数与预算数一致，无大幅偏离，预算执行严肃规范。</w:t>
            </w:r>
          </w:p>
        </w:tc>
        <w:tc>
          <w:tcPr>
            <w:tcW w:w="394"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4288B94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78"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555E51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978" w:type="pct"/>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5AC89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存在问题：部分项目资金因项目进展较缓慢，存在执行率不高的情况。</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改进措施：文旅部门应会同相关部门对项目进行监督检查，督促项目进</w:t>
            </w:r>
          </w:p>
        </w:tc>
      </w:tr>
      <w:tr w14:paraId="799AF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90" w:hRule="atLeast"/>
        </w:trPr>
        <w:tc>
          <w:tcPr>
            <w:tcW w:w="765"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23CFF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038E6493">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c>
          <w:tcPr>
            <w:tcW w:w="1729" w:type="pct"/>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E55636">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c>
          <w:tcPr>
            <w:tcW w:w="394"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43E4A5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78"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E3232A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978"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601D09">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r>
      <w:tr w14:paraId="3AC7B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765"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DFADE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42A464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预算绩效管理情况</w:t>
            </w:r>
          </w:p>
        </w:tc>
        <w:tc>
          <w:tcPr>
            <w:tcW w:w="1729" w:type="pct"/>
            <w:gridSpan w:val="4"/>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080AF3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下达预算同步下达绩效目标，纳入全过程预算绩效管理，建立项目跟踪与资金监控机制，财审联动、问题共核、结果共享。</w:t>
            </w:r>
          </w:p>
        </w:tc>
        <w:tc>
          <w:tcPr>
            <w:tcW w:w="394"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724442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78"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00392B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978" w:type="pct"/>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2327F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存在问题：部分项目绩效目标不明确；预期目标未按期达成</w:t>
            </w:r>
            <w:r>
              <w:rPr>
                <w:rFonts w:hint="default" w:ascii="Times New Roman" w:hAnsi="Times New Roman" w:eastAsia="仿宋_GB2312" w:cs="Times New Roman"/>
                <w:i w:val="0"/>
                <w:iCs w:val="0"/>
                <w:color w:val="000000"/>
                <w:kern w:val="0"/>
                <w:sz w:val="21"/>
                <w:szCs w:val="21"/>
                <w:u w:val="none"/>
                <w:lang w:val="en-US" w:eastAsia="zh-CN" w:bidi="ar"/>
              </w:rPr>
              <w:br w:type="textWrapping"/>
            </w:r>
            <w:r>
              <w:rPr>
                <w:rFonts w:hint="default" w:ascii="Times New Roman" w:hAnsi="Times New Roman" w:eastAsia="仿宋_GB2312" w:cs="Times New Roman"/>
                <w:i w:val="0"/>
                <w:iCs w:val="0"/>
                <w:color w:val="000000"/>
                <w:kern w:val="0"/>
                <w:sz w:val="21"/>
                <w:szCs w:val="21"/>
                <w:u w:val="none"/>
                <w:lang w:val="en-US" w:eastAsia="zh-CN" w:bidi="ar"/>
              </w:rPr>
              <w:t>改进措施：强化绩效管理，强化监管，提高资金使用效率</w:t>
            </w:r>
          </w:p>
        </w:tc>
      </w:tr>
      <w:tr w14:paraId="5F6B62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4" w:hRule="atLeast"/>
        </w:trPr>
        <w:tc>
          <w:tcPr>
            <w:tcW w:w="765"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669A7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253399BD">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c>
          <w:tcPr>
            <w:tcW w:w="1729" w:type="pct"/>
            <w:gridSpan w:val="4"/>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0A237CB">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c>
          <w:tcPr>
            <w:tcW w:w="394"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790F45F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378" w:type="pct"/>
            <w:vMerge w:val="continue"/>
            <w:tcBorders>
              <w:top w:val="single" w:color="auto" w:sz="4" w:space="0"/>
              <w:left w:val="single" w:color="auto" w:sz="4" w:space="0"/>
              <w:bottom w:val="single" w:color="auto" w:sz="4" w:space="0"/>
              <w:right w:val="single" w:color="auto" w:sz="4" w:space="0"/>
            </w:tcBorders>
            <w:shd w:val="clear" w:color="auto" w:fill="auto"/>
            <w:noWrap/>
            <w:vAlign w:val="center"/>
          </w:tcPr>
          <w:p w14:paraId="4769759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978"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996BD62">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r>
      <w:tr w14:paraId="11A1E2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765"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CAF161A">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B4A1D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支出责任履行情况</w:t>
            </w:r>
          </w:p>
        </w:tc>
        <w:tc>
          <w:tcPr>
            <w:tcW w:w="172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E4528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严格按财政事权与支出责任划分履行职责，执行中央资金管理办法，分配公开透明、程序规范。</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B3D9C1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6D743E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CE8704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r>
      <w:tr w14:paraId="4554D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5" w:hRule="atLeast"/>
        </w:trPr>
        <w:tc>
          <w:tcPr>
            <w:tcW w:w="765"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0E3EB4">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752"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6CA22C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政策目标实现情况</w:t>
            </w:r>
          </w:p>
        </w:tc>
        <w:tc>
          <w:tcPr>
            <w:tcW w:w="1729"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3E062C3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按照中央支持地方公共文化服务体系建设补助资金相关政策要求，紧扣公共文化服务体系建设规划及湖南省文化强省建设部署，全面落实各项政策目标，成效显著、落地见效。</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7A51745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5466FDC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EE8C1F8">
            <w:pPr>
              <w:keepNext w:val="0"/>
              <w:keepLines w:val="0"/>
              <w:pageBreakBefore w:val="0"/>
              <w:widowControl/>
              <w:kinsoku/>
              <w:wordWrap/>
              <w:overflowPunct/>
              <w:topLinePunct w:val="0"/>
              <w:autoSpaceDE/>
              <w:autoSpaceDN/>
              <w:bidi w:val="0"/>
              <w:adjustRightInd/>
              <w:snapToGrid/>
              <w:spacing w:line="240" w:lineRule="exact"/>
              <w:jc w:val="left"/>
              <w:rPr>
                <w:rFonts w:hint="default" w:ascii="Times New Roman" w:hAnsi="Times New Roman" w:eastAsia="仿宋_GB2312" w:cs="Times New Roman"/>
                <w:i w:val="0"/>
                <w:iCs w:val="0"/>
                <w:color w:val="000000"/>
                <w:sz w:val="21"/>
                <w:szCs w:val="21"/>
                <w:u w:val="none"/>
              </w:rPr>
            </w:pPr>
          </w:p>
        </w:tc>
      </w:tr>
      <w:tr w14:paraId="7B2B1F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4" w:hRule="atLeast"/>
        </w:trPr>
        <w:tc>
          <w:tcPr>
            <w:tcW w:w="5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9D34CC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总体目标完成情况</w:t>
            </w:r>
          </w:p>
        </w:tc>
        <w:tc>
          <w:tcPr>
            <w:tcW w:w="2196" w:type="pct"/>
            <w:gridSpan w:val="6"/>
            <w:tcBorders>
              <w:top w:val="single" w:color="auto" w:sz="4" w:space="0"/>
              <w:left w:val="single" w:color="auto" w:sz="4" w:space="0"/>
              <w:bottom w:val="single" w:color="auto" w:sz="4" w:space="0"/>
              <w:right w:val="single" w:color="auto" w:sz="4" w:space="0"/>
            </w:tcBorders>
            <w:shd w:val="clear" w:color="auto" w:fill="auto"/>
            <w:noWrap/>
            <w:vAlign w:val="center"/>
          </w:tcPr>
          <w:p w14:paraId="22E656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总体目标</w:t>
            </w:r>
          </w:p>
        </w:tc>
        <w:tc>
          <w:tcPr>
            <w:tcW w:w="2232" w:type="pct"/>
            <w:gridSpan w:val="5"/>
            <w:tcBorders>
              <w:top w:val="single" w:color="auto" w:sz="4" w:space="0"/>
              <w:left w:val="single" w:color="auto" w:sz="4" w:space="0"/>
              <w:bottom w:val="single" w:color="auto" w:sz="4" w:space="0"/>
              <w:right w:val="single" w:color="auto" w:sz="4" w:space="0"/>
            </w:tcBorders>
            <w:shd w:val="clear" w:color="auto" w:fill="auto"/>
            <w:noWrap/>
            <w:vAlign w:val="center"/>
          </w:tcPr>
          <w:p w14:paraId="050E28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全年实际完成情况</w:t>
            </w:r>
          </w:p>
        </w:tc>
      </w:tr>
      <w:tr w14:paraId="421A4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5"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905DDF9">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2196"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77FD2A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为持续落实国家公共文化服务体系建设要求，推动美术馆、公共图书馆、文化馆（站）免费开放，实现和保障人民群众基本文化权益，提升全民科学文化素质与思想道德水平，对全省符合要求的42个地市级三馆、287个县级三馆、2133个乡镇综合文化站及城市社区（街道）文化中心，安排下达中央补助资金，保障基层公共文化服务免费开放的资金需求。</w:t>
            </w:r>
          </w:p>
        </w:tc>
        <w:tc>
          <w:tcPr>
            <w:tcW w:w="2232"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2CB8930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2025年度，湖南省严格落实国家公共文化服务体系建设要求，全面推进美术馆、公共图书馆、文化馆（站）免费开放工作，中央补助资金精准覆盖全省42个地市级</w:t>
            </w:r>
            <w:r>
              <w:rPr>
                <w:rFonts w:hint="eastAsia" w:ascii="仿宋_GB2312" w:hAnsi="仿宋_GB2312" w:eastAsia="仿宋_GB2312" w:cs="仿宋_GB2312"/>
                <w:i w:val="0"/>
                <w:iCs w:val="0"/>
                <w:color w:val="000000"/>
                <w:kern w:val="0"/>
                <w:sz w:val="21"/>
                <w:szCs w:val="21"/>
                <w:u w:val="none"/>
                <w:lang w:val="en-US" w:eastAsia="zh-CN" w:bidi="ar"/>
              </w:rPr>
              <w:t>“三馆”</w:t>
            </w:r>
            <w:r>
              <w:rPr>
                <w:rFonts w:hint="default" w:ascii="Times New Roman" w:hAnsi="Times New Roman" w:eastAsia="仿宋_GB2312" w:cs="Times New Roman"/>
                <w:i w:val="0"/>
                <w:iCs w:val="0"/>
                <w:color w:val="000000"/>
                <w:kern w:val="0"/>
                <w:sz w:val="21"/>
                <w:szCs w:val="21"/>
                <w:u w:val="none"/>
                <w:lang w:val="en-US" w:eastAsia="zh-CN" w:bidi="ar"/>
              </w:rPr>
              <w:t>、287个县级</w:t>
            </w:r>
            <w:r>
              <w:rPr>
                <w:rFonts w:hint="eastAsia" w:ascii="仿宋_GB2312" w:hAnsi="仿宋_GB2312" w:eastAsia="仿宋_GB2312" w:cs="仿宋_GB2312"/>
                <w:i w:val="0"/>
                <w:iCs w:val="0"/>
                <w:color w:val="000000"/>
                <w:kern w:val="0"/>
                <w:sz w:val="21"/>
                <w:szCs w:val="21"/>
                <w:u w:val="none"/>
                <w:lang w:val="en-US" w:eastAsia="zh-CN" w:bidi="ar"/>
              </w:rPr>
              <w:t>“三馆”</w:t>
            </w:r>
            <w:r>
              <w:rPr>
                <w:rFonts w:hint="default" w:ascii="Times New Roman" w:hAnsi="Times New Roman" w:eastAsia="仿宋_GB2312" w:cs="Times New Roman"/>
                <w:i w:val="0"/>
                <w:iCs w:val="0"/>
                <w:color w:val="000000"/>
                <w:kern w:val="0"/>
                <w:sz w:val="21"/>
                <w:szCs w:val="21"/>
                <w:u w:val="none"/>
                <w:lang w:val="en-US" w:eastAsia="zh-CN" w:bidi="ar"/>
              </w:rPr>
              <w:t>、2133个乡镇综合文化站及城市社区（街道）文化中心，有效保障了基层公共文化服务免费开放的资金需求，圆满完成年度总体目标，切实保障了人民群众基本文化权益，提升了全民科学文化素质与思想道德水平。</w:t>
            </w:r>
          </w:p>
        </w:tc>
      </w:tr>
      <w:tr w14:paraId="4C01BF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6" w:hRule="atLeast"/>
        </w:trPr>
        <w:tc>
          <w:tcPr>
            <w:tcW w:w="571"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F4DF0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绩效指标</w:t>
            </w:r>
          </w:p>
        </w:tc>
        <w:tc>
          <w:tcPr>
            <w:tcW w:w="439" w:type="pct"/>
            <w:gridSpan w:val="2"/>
            <w:tcBorders>
              <w:top w:val="single" w:color="auto" w:sz="4" w:space="0"/>
              <w:left w:val="single" w:color="auto" w:sz="4" w:space="0"/>
              <w:right w:val="single" w:color="auto" w:sz="4" w:space="0"/>
            </w:tcBorders>
            <w:shd w:val="clear" w:color="auto" w:fill="auto"/>
            <w:vAlign w:val="center"/>
          </w:tcPr>
          <w:p w14:paraId="312B663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一级指标</w:t>
            </w:r>
          </w:p>
        </w:tc>
        <w:tc>
          <w:tcPr>
            <w:tcW w:w="506" w:type="pct"/>
            <w:tcBorders>
              <w:top w:val="single" w:color="auto" w:sz="4" w:space="0"/>
              <w:left w:val="single" w:color="auto" w:sz="4" w:space="0"/>
              <w:bottom w:val="single" w:color="auto" w:sz="4" w:space="0"/>
              <w:right w:val="single" w:color="auto" w:sz="4" w:space="0"/>
            </w:tcBorders>
            <w:shd w:val="clear" w:color="auto" w:fill="auto"/>
            <w:vAlign w:val="center"/>
          </w:tcPr>
          <w:p w14:paraId="39FAD2C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二级指标</w:t>
            </w: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BE6F4A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三级指标</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3DFBCB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指标值</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5BF82DB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全年实际完成值</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0326589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分值</w:t>
            </w:r>
            <w:r>
              <w:rPr>
                <w:rStyle w:val="12"/>
                <w:rFonts w:hint="default" w:ascii="Times New Roman" w:hAnsi="Times New Roman" w:eastAsia="仿宋_GB2312" w:cs="Times New Roman"/>
                <w:lang w:val="en-US" w:eastAsia="zh-CN" w:bidi="ar"/>
              </w:rPr>
              <w:t>（</w:t>
            </w:r>
            <w:r>
              <w:rPr>
                <w:rStyle w:val="13"/>
                <w:rFonts w:hint="default" w:ascii="Times New Roman" w:hAnsi="Times New Roman" w:eastAsia="仿宋_GB2312" w:cs="Times New Roman"/>
                <w:lang w:val="en-US" w:eastAsia="zh-CN" w:bidi="ar"/>
              </w:rPr>
              <w:t>50</w:t>
            </w:r>
            <w:r>
              <w:rPr>
                <w:rStyle w:val="12"/>
                <w:rFonts w:hint="default" w:ascii="Times New Roman" w:hAnsi="Times New Roman" w:eastAsia="仿宋_GB2312" w:cs="Times New Roman"/>
                <w:lang w:val="en-US" w:eastAsia="zh-CN" w:bidi="ar"/>
              </w:rPr>
              <w:t>分）</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1A44995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得分</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6C8FC3E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未完成原因和改进措施</w:t>
            </w:r>
          </w:p>
        </w:tc>
      </w:tr>
      <w:tr w14:paraId="14F97B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8F34AD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74AF4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产出指标</w:t>
            </w:r>
          </w:p>
        </w:tc>
        <w:tc>
          <w:tcPr>
            <w:tcW w:w="50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7CBA09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数量指标</w:t>
            </w: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7CFC19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公共图书馆按规定免费开放个数</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22DEA9A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≥148个</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0D9B7D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148</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14712C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224144D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2E725F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0E2FF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DA143E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1A14B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0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02E09C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402D38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文化馆（站）按规定免费开放个数</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10B5D9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≥2282个</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637FEA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2282</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40C7A4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43FB6DF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232A02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66DAC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BE6138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012A6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0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4BF61A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85185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美术馆按规定免费开放个数</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5806166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≥38</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6505EB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38</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2061F36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336D05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5</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3F0DD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5B4B3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4554D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544FF7">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0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0EB069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质量指标</w:t>
            </w: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782D71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补助对象精准率</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53F97A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100%</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379EC9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100%</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00B44C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1B1B9F3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4ECDA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296B7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2A3BF9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23AE21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0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27B39A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3088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场馆设施完好率</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4DCF690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≥90%</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3A5C29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≥95%</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406902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3F2900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D1ECD6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462CA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053C85C">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496507B">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0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A595DC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A9813E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开放时长达标率</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5E7B91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100%</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774C247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100%</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193881F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1B086F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D2AD07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4CA9CE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7"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69A8812">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E81B61E">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06" w:type="pct"/>
            <w:tcBorders>
              <w:top w:val="single" w:color="auto" w:sz="4" w:space="0"/>
              <w:left w:val="single" w:color="auto" w:sz="4" w:space="0"/>
              <w:bottom w:val="single" w:color="auto" w:sz="4" w:space="0"/>
              <w:right w:val="single" w:color="auto" w:sz="4" w:space="0"/>
            </w:tcBorders>
            <w:shd w:val="clear" w:color="auto" w:fill="auto"/>
            <w:vAlign w:val="center"/>
          </w:tcPr>
          <w:p w14:paraId="3435E0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时效指标</w:t>
            </w: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1F453D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年度任务完成时限</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2F83512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2025年12月底前</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1A0D9B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部分项目未在</w:t>
            </w:r>
            <w:r>
              <w:rPr>
                <w:rStyle w:val="13"/>
                <w:rFonts w:hint="default" w:ascii="Times New Roman" w:hAnsi="Times New Roman" w:eastAsia="仿宋_GB2312" w:cs="Times New Roman"/>
                <w:lang w:val="en-US" w:eastAsia="zh-CN" w:bidi="ar"/>
              </w:rPr>
              <w:t>2025</w:t>
            </w:r>
            <w:r>
              <w:rPr>
                <w:rStyle w:val="14"/>
                <w:rFonts w:hint="default" w:ascii="Times New Roman" w:hAnsi="Times New Roman" w:eastAsia="仿宋_GB2312" w:cs="Times New Roman"/>
                <w:lang w:val="en-US" w:eastAsia="zh-CN" w:bidi="ar"/>
              </w:rPr>
              <w:t>年底前完成</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02838AA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3896AFB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2</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761F793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部分项目单位存在项目执行进度缓慢</w:t>
            </w:r>
          </w:p>
        </w:tc>
      </w:tr>
      <w:tr w14:paraId="4E407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67B63D5">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B8AE87D">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06" w:type="pct"/>
            <w:tcBorders>
              <w:top w:val="single" w:color="auto" w:sz="4" w:space="0"/>
              <w:left w:val="single" w:color="auto" w:sz="4" w:space="0"/>
              <w:bottom w:val="single" w:color="auto" w:sz="4" w:space="0"/>
              <w:right w:val="single" w:color="auto" w:sz="4" w:space="0"/>
            </w:tcBorders>
            <w:shd w:val="clear" w:color="auto" w:fill="auto"/>
            <w:vAlign w:val="center"/>
          </w:tcPr>
          <w:p w14:paraId="68317A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成本指标</w:t>
            </w: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6073E9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成本控制率</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6399DC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≤100%</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6B9CFD8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78.00%</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72C275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388CD06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0879A4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175386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7"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E51F4F">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6F893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效益指标</w:t>
            </w:r>
          </w:p>
        </w:tc>
        <w:tc>
          <w:tcPr>
            <w:tcW w:w="506" w:type="pct"/>
            <w:tcBorders>
              <w:top w:val="single" w:color="auto" w:sz="4" w:space="0"/>
              <w:left w:val="single" w:color="auto" w:sz="4" w:space="0"/>
              <w:bottom w:val="single" w:color="auto" w:sz="4" w:space="0"/>
              <w:right w:val="single" w:color="auto" w:sz="4" w:space="0"/>
            </w:tcBorders>
            <w:shd w:val="clear" w:color="auto" w:fill="auto"/>
            <w:vAlign w:val="center"/>
          </w:tcPr>
          <w:p w14:paraId="69677B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经济效益指标</w:t>
            </w: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4A3E4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文化消费带动增长率</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09F09BE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≥6%</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16B3A07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6%</w:t>
            </w:r>
          </w:p>
        </w:tc>
        <w:tc>
          <w:tcPr>
            <w:tcW w:w="394" w:type="pct"/>
            <w:tcBorders>
              <w:top w:val="single" w:color="auto" w:sz="4" w:space="0"/>
              <w:left w:val="single" w:color="auto" w:sz="4" w:space="0"/>
              <w:bottom w:val="single" w:color="auto" w:sz="4" w:space="0"/>
              <w:right w:val="single" w:color="auto" w:sz="4" w:space="0"/>
            </w:tcBorders>
            <w:shd w:val="clear" w:color="auto" w:fill="auto"/>
            <w:vAlign w:val="center"/>
          </w:tcPr>
          <w:p w14:paraId="441771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076BB9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7C114F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0909F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2"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77A58E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80517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0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690FD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社会效益指标</w:t>
            </w: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AEF2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年度免费服务总人次</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1BDA88F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较上年度增长</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17528F0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增长</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C9D6CC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0F34494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BD8DA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45EB8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1E39B2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0ED0206">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0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50C24F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28A9B8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重大安全事故发生率</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3AA2102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0</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720B6B1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0.00%</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6429F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096BC83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4</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59DF42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351F3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E701C20">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F9382A3">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0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DD8A6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服务对象满意度指标</w:t>
            </w: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6D1BC9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观众满意度</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00FBDC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≥90%</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1777C5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92.00%</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53D401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352F8A9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435C37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44F72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5" w:hRule="atLeast"/>
        </w:trPr>
        <w:tc>
          <w:tcPr>
            <w:tcW w:w="571"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D319CF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439" w:type="pct"/>
            <w:gridSpan w:val="2"/>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42063B8">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50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39895C1">
            <w:pPr>
              <w:keepNext w:val="0"/>
              <w:keepLines w:val="0"/>
              <w:pageBreakBefore w:val="0"/>
              <w:widowControl/>
              <w:kinsoku/>
              <w:wordWrap/>
              <w:overflowPunct/>
              <w:topLinePunct w:val="0"/>
              <w:autoSpaceDE/>
              <w:autoSpaceDN/>
              <w:bidi w:val="0"/>
              <w:adjustRightInd/>
              <w:snapToGrid/>
              <w:spacing w:line="240" w:lineRule="exact"/>
              <w:jc w:val="center"/>
              <w:rPr>
                <w:rFonts w:hint="default" w:ascii="Times New Roman" w:hAnsi="Times New Roman" w:eastAsia="仿宋_GB2312" w:cs="Times New Roman"/>
                <w:i w:val="0"/>
                <w:iCs w:val="0"/>
                <w:color w:val="000000"/>
                <w:sz w:val="21"/>
                <w:szCs w:val="21"/>
                <w:u w:val="none"/>
              </w:rPr>
            </w:pPr>
          </w:p>
        </w:tc>
        <w:tc>
          <w:tcPr>
            <w:tcW w:w="896"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A2E6B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项目实施单位满意度</w:t>
            </w:r>
          </w:p>
        </w:tc>
        <w:tc>
          <w:tcPr>
            <w:tcW w:w="353" w:type="pct"/>
            <w:tcBorders>
              <w:top w:val="single" w:color="auto" w:sz="4" w:space="0"/>
              <w:left w:val="single" w:color="auto" w:sz="4" w:space="0"/>
              <w:bottom w:val="single" w:color="auto" w:sz="4" w:space="0"/>
              <w:right w:val="single" w:color="auto" w:sz="4" w:space="0"/>
            </w:tcBorders>
            <w:shd w:val="clear" w:color="auto" w:fill="auto"/>
            <w:vAlign w:val="center"/>
          </w:tcPr>
          <w:p w14:paraId="0B03DB6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≥95%</w:t>
            </w:r>
          </w:p>
        </w:tc>
        <w:tc>
          <w:tcPr>
            <w:tcW w:w="479" w:type="pct"/>
            <w:tcBorders>
              <w:top w:val="single" w:color="auto" w:sz="4" w:space="0"/>
              <w:left w:val="single" w:color="auto" w:sz="4" w:space="0"/>
              <w:bottom w:val="single" w:color="auto" w:sz="4" w:space="0"/>
              <w:right w:val="single" w:color="auto" w:sz="4" w:space="0"/>
            </w:tcBorders>
            <w:shd w:val="clear" w:color="auto" w:fill="auto"/>
            <w:vAlign w:val="center"/>
          </w:tcPr>
          <w:p w14:paraId="135F76D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98.00%</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564227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378" w:type="pct"/>
            <w:tcBorders>
              <w:top w:val="single" w:color="auto" w:sz="4" w:space="0"/>
              <w:left w:val="single" w:color="auto" w:sz="4" w:space="0"/>
              <w:bottom w:val="single" w:color="auto" w:sz="4" w:space="0"/>
              <w:right w:val="single" w:color="auto" w:sz="4" w:space="0"/>
            </w:tcBorders>
            <w:shd w:val="clear" w:color="auto" w:fill="auto"/>
            <w:vAlign w:val="center"/>
          </w:tcPr>
          <w:p w14:paraId="04D52C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3</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3C56939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r w14:paraId="65A640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4" w:hRule="atLeast"/>
        </w:trPr>
        <w:tc>
          <w:tcPr>
            <w:tcW w:w="3247" w:type="pct"/>
            <w:gridSpan w:val="8"/>
            <w:tcBorders>
              <w:top w:val="single" w:color="auto" w:sz="4" w:space="0"/>
              <w:left w:val="single" w:color="auto" w:sz="4" w:space="0"/>
              <w:bottom w:val="single" w:color="auto" w:sz="4" w:space="0"/>
              <w:right w:val="single" w:color="auto" w:sz="4" w:space="0"/>
            </w:tcBorders>
            <w:shd w:val="clear" w:color="auto" w:fill="auto"/>
            <w:noWrap/>
            <w:vAlign w:val="center"/>
          </w:tcPr>
          <w:p w14:paraId="666873D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总分</w:t>
            </w:r>
          </w:p>
        </w:tc>
        <w:tc>
          <w:tcPr>
            <w:tcW w:w="394"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6FC96D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100</w:t>
            </w:r>
          </w:p>
        </w:tc>
        <w:tc>
          <w:tcPr>
            <w:tcW w:w="378"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298F93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 xml:space="preserve">94.37 </w:t>
            </w:r>
          </w:p>
        </w:tc>
        <w:tc>
          <w:tcPr>
            <w:tcW w:w="978" w:type="pct"/>
            <w:gridSpan w:val="2"/>
            <w:tcBorders>
              <w:top w:val="single" w:color="auto" w:sz="4" w:space="0"/>
              <w:left w:val="single" w:color="auto" w:sz="4" w:space="0"/>
              <w:bottom w:val="single" w:color="auto" w:sz="4" w:space="0"/>
              <w:right w:val="single" w:color="auto" w:sz="4" w:space="0"/>
            </w:tcBorders>
            <w:shd w:val="clear" w:color="auto" w:fill="auto"/>
            <w:vAlign w:val="center"/>
          </w:tcPr>
          <w:p w14:paraId="56E6C773">
            <w:pPr>
              <w:keepNext w:val="0"/>
              <w:keepLines w:val="0"/>
              <w:pageBreakBefore w:val="0"/>
              <w:widowControl/>
              <w:kinsoku/>
              <w:wordWrap/>
              <w:overflowPunct/>
              <w:topLinePunct w:val="0"/>
              <w:autoSpaceDE/>
              <w:autoSpaceDN/>
              <w:bidi w:val="0"/>
              <w:adjustRightInd/>
              <w:snapToGrid/>
              <w:spacing w:line="240" w:lineRule="exact"/>
              <w:jc w:val="both"/>
              <w:rPr>
                <w:rFonts w:hint="default" w:ascii="Times New Roman" w:hAnsi="Times New Roman" w:eastAsia="仿宋_GB2312" w:cs="Times New Roman"/>
                <w:i w:val="0"/>
                <w:iCs w:val="0"/>
                <w:color w:val="000000"/>
                <w:sz w:val="21"/>
                <w:szCs w:val="21"/>
                <w:u w:val="none"/>
              </w:rPr>
            </w:pPr>
          </w:p>
        </w:tc>
      </w:tr>
      <w:tr w14:paraId="000AE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trPr>
        <w:tc>
          <w:tcPr>
            <w:tcW w:w="765"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14:paraId="19F0BA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说明</w:t>
            </w:r>
          </w:p>
        </w:tc>
        <w:tc>
          <w:tcPr>
            <w:tcW w:w="4234" w:type="pct"/>
            <w:gridSpan w:val="10"/>
            <w:tcBorders>
              <w:top w:val="single" w:color="auto" w:sz="4" w:space="0"/>
              <w:left w:val="single" w:color="auto" w:sz="4" w:space="0"/>
              <w:bottom w:val="single" w:color="auto" w:sz="4" w:space="0"/>
              <w:right w:val="single" w:color="auto" w:sz="4" w:space="0"/>
            </w:tcBorders>
            <w:shd w:val="clear" w:color="auto" w:fill="auto"/>
            <w:noWrap/>
            <w:vAlign w:val="center"/>
          </w:tcPr>
          <w:p w14:paraId="26334B8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default" w:ascii="Times New Roman" w:hAnsi="Times New Roman" w:eastAsia="仿宋_GB2312" w:cs="Times New Roman"/>
                <w:i w:val="0"/>
                <w:iCs w:val="0"/>
                <w:color w:val="000000"/>
                <w:sz w:val="21"/>
                <w:szCs w:val="21"/>
                <w:u w:val="none"/>
              </w:rPr>
            </w:pPr>
            <w:r>
              <w:rPr>
                <w:rFonts w:hint="default" w:ascii="Times New Roman" w:hAnsi="Times New Roman" w:eastAsia="仿宋_GB2312" w:cs="Times New Roman"/>
                <w:i w:val="0"/>
                <w:iCs w:val="0"/>
                <w:color w:val="000000"/>
                <w:kern w:val="0"/>
                <w:sz w:val="21"/>
                <w:szCs w:val="21"/>
                <w:u w:val="none"/>
                <w:lang w:val="en-US" w:eastAsia="zh-CN" w:bidi="ar"/>
              </w:rPr>
              <w:t>无</w:t>
            </w:r>
          </w:p>
        </w:tc>
      </w:tr>
    </w:tbl>
    <w:p w14:paraId="71A57989">
      <w:pPr>
        <w:rPr>
          <w:rFonts w:hint="default" w:eastAsia="仿宋_GB2312" w:cs="仿宋_GB2312"/>
          <w:kern w:val="2"/>
          <w:sz w:val="32"/>
          <w:szCs w:val="32"/>
          <w:lang w:val="en-US" w:eastAsia="zh-CN" w:bidi="ar"/>
        </w:rPr>
      </w:pPr>
      <w:r>
        <w:rPr>
          <w:rFonts w:hint="default" w:eastAsia="仿宋_GB2312" w:cs="仿宋_GB2312"/>
          <w:kern w:val="2"/>
          <w:sz w:val="32"/>
          <w:szCs w:val="32"/>
          <w:lang w:val="en-US" w:eastAsia="zh-CN" w:bidi="ar"/>
        </w:rPr>
        <w:br w:type="page"/>
      </w:r>
    </w:p>
    <w:tbl>
      <w:tblPr>
        <w:tblStyle w:val="10"/>
        <w:tblpPr w:leftFromText="180" w:rightFromText="180" w:vertAnchor="text" w:horzAnchor="page" w:tblpX="1524" w:tblpY="12181"/>
        <w:tblOverlap w:val="never"/>
        <w:tblW w:w="0" w:type="auto"/>
        <w:jc w:val="center"/>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060"/>
      </w:tblGrid>
      <w:tr w14:paraId="7FE817A3">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jc w:val="center"/>
        </w:trPr>
        <w:tc>
          <w:tcPr>
            <w:tcW w:w="9060" w:type="dxa"/>
            <w:tcBorders>
              <w:top w:val="single" w:color="auto" w:sz="4" w:space="0"/>
            </w:tcBorders>
            <w:noWrap w:val="0"/>
            <w:vAlign w:val="center"/>
          </w:tcPr>
          <w:p w14:paraId="7AEC614F">
            <w:pPr>
              <w:keepNext w:val="0"/>
              <w:keepLines w:val="0"/>
              <w:suppressLineNumbers w:val="0"/>
              <w:spacing w:before="0" w:beforeAutospacing="0" w:after="0" w:afterAutospacing="0"/>
              <w:ind w:left="0" w:right="0"/>
              <w:rPr>
                <w:rFonts w:hint="default" w:ascii="仿宋_GB2312" w:hAnsi="仿宋_GB2312" w:eastAsia="仿宋_GB2312" w:cs="仿宋"/>
                <w:color w:val="auto"/>
                <w:w w:val="100"/>
                <w:sz w:val="28"/>
                <w:szCs w:val="28"/>
              </w:rPr>
            </w:pPr>
            <w:r>
              <w:rPr>
                <w:rFonts w:hint="eastAsia" w:ascii="仿宋_GB2312" w:hAnsi="仿宋_GB2312" w:eastAsia="仿宋_GB2312" w:cs="仿宋_GB2312"/>
                <w:color w:val="FF0000"/>
                <w:sz w:val="32"/>
                <w:szCs w:val="32"/>
                <w:lang w:val="en-US" w:eastAsia="zh-CN"/>
              </w:rPr>
              <w:br w:type="page"/>
            </w:r>
            <w:r>
              <w:rPr>
                <w:rFonts w:hint="eastAsia" w:ascii="仿宋_GB2312" w:hAnsi="仿宋_GB2312" w:eastAsia="仿宋_GB2312" w:cs="仿宋"/>
                <w:color w:val="auto"/>
                <w:w w:val="100"/>
                <w:sz w:val="28"/>
                <w:szCs w:val="28"/>
              </w:rPr>
              <w:t xml:space="preserve">湖南省文化和旅游厅办公室               </w:t>
            </w:r>
            <w:r>
              <w:rPr>
                <w:rFonts w:hint="eastAsia" w:ascii="仿宋_GB2312" w:hAnsi="仿宋_GB2312" w:eastAsia="仿宋_GB2312" w:cs="仿宋"/>
                <w:color w:val="auto"/>
                <w:w w:val="100"/>
                <w:sz w:val="28"/>
                <w:szCs w:val="28"/>
                <w:lang w:val="en-US" w:eastAsia="zh-CN"/>
              </w:rPr>
              <w:t xml:space="preserve">     </w:t>
            </w:r>
            <w:r>
              <w:rPr>
                <w:rFonts w:hint="default" w:ascii="Times New Roman" w:hAnsi="Times New Roman" w:eastAsia="仿宋_GB2312" w:cs="Times New Roman"/>
                <w:color w:val="auto"/>
                <w:w w:val="100"/>
                <w:sz w:val="28"/>
                <w:szCs w:val="28"/>
              </w:rPr>
              <w:t>202</w:t>
            </w:r>
            <w:r>
              <w:rPr>
                <w:rFonts w:hint="eastAsia" w:ascii="Times New Roman" w:hAnsi="Times New Roman" w:eastAsia="仿宋_GB2312" w:cs="Times New Roman"/>
                <w:color w:val="auto"/>
                <w:w w:val="100"/>
                <w:sz w:val="28"/>
                <w:szCs w:val="28"/>
                <w:lang w:val="en-US" w:eastAsia="zh-CN"/>
              </w:rPr>
              <w:t>6</w:t>
            </w:r>
            <w:r>
              <w:rPr>
                <w:rFonts w:hint="eastAsia" w:ascii="仿宋_GB2312" w:hAnsi="仿宋_GB2312" w:eastAsia="仿宋_GB2312" w:cs="仿宋"/>
                <w:color w:val="auto"/>
                <w:w w:val="100"/>
                <w:sz w:val="28"/>
                <w:szCs w:val="28"/>
              </w:rPr>
              <w:t>年</w:t>
            </w:r>
            <w:r>
              <w:rPr>
                <w:rFonts w:hint="eastAsia" w:ascii="Times New Roman" w:hAnsi="Times New Roman" w:eastAsia="仿宋_GB2312" w:cs="Times New Roman"/>
                <w:color w:val="auto"/>
                <w:w w:val="100"/>
                <w:sz w:val="28"/>
                <w:szCs w:val="28"/>
                <w:lang w:val="en-US" w:eastAsia="zh-CN"/>
              </w:rPr>
              <w:t>3</w:t>
            </w:r>
            <w:r>
              <w:rPr>
                <w:rFonts w:hint="eastAsia" w:ascii="仿宋_GB2312" w:hAnsi="仿宋_GB2312" w:eastAsia="仿宋_GB2312" w:cs="Times New Roman"/>
                <w:color w:val="auto"/>
                <w:w w:val="100"/>
                <w:sz w:val="28"/>
                <w:szCs w:val="28"/>
                <w:lang w:val="en-US" w:eastAsia="zh-CN"/>
              </w:rPr>
              <w:t>月</w:t>
            </w:r>
            <w:r>
              <w:rPr>
                <w:rFonts w:hint="eastAsia" w:ascii="Times New Roman" w:hAnsi="Times New Roman" w:eastAsia="仿宋_GB2312" w:cs="Times New Roman"/>
                <w:color w:val="auto"/>
                <w:w w:val="100"/>
                <w:sz w:val="28"/>
                <w:szCs w:val="28"/>
                <w:lang w:val="en-US" w:eastAsia="zh-CN"/>
              </w:rPr>
              <w:t>30</w:t>
            </w:r>
            <w:r>
              <w:rPr>
                <w:rFonts w:hint="eastAsia" w:ascii="仿宋_GB2312" w:hAnsi="仿宋_GB2312" w:eastAsia="仿宋_GB2312" w:cs="仿宋"/>
                <w:color w:val="auto"/>
                <w:w w:val="100"/>
                <w:sz w:val="28"/>
                <w:szCs w:val="28"/>
              </w:rPr>
              <w:t>日印发</w:t>
            </w:r>
          </w:p>
        </w:tc>
      </w:tr>
    </w:tbl>
    <w:p w14:paraId="6267DBCB">
      <w:pPr>
        <w:pStyle w:val="2"/>
        <w:rPr>
          <w:rFonts w:hint="default"/>
          <w:lang w:val="en-US" w:eastAsia="zh-CN"/>
        </w:rPr>
      </w:pPr>
    </w:p>
    <w:sectPr>
      <w:footerReference r:id="rId3" w:type="default"/>
      <w:pgSz w:w="11906" w:h="16838"/>
      <w:pgMar w:top="2098" w:right="1531" w:bottom="1531" w:left="1531" w:header="851" w:footer="992" w:gutter="0"/>
      <w:pgNumType w:fmt="numberInDash" w:start="2"/>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Nimbus Roman No9 L"/>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6D54E2">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6F4BC1">
                          <w:pPr>
                            <w:pStyle w:val="7"/>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B6F4BC1">
                    <w:pPr>
                      <w:pStyle w:val="7"/>
                    </w:pPr>
                    <w:r>
                      <w:rPr>
                        <w:rFonts w:hint="eastAsia" w:asciiTheme="minorEastAsia" w:hAnsiTheme="minorEastAsia" w:eastAsiaTheme="minorEastAsia" w:cstheme="minorEastAsia"/>
                        <w:sz w:val="24"/>
                        <w:szCs w:val="24"/>
                      </w:rPr>
                      <w:fldChar w:fldCharType="begin"/>
                    </w:r>
                    <w:r>
                      <w:rPr>
                        <w:rFonts w:hint="eastAsia" w:asciiTheme="minorEastAsia" w:hAnsiTheme="minorEastAsia" w:eastAsiaTheme="minorEastAsia" w:cstheme="minorEastAsia"/>
                        <w:sz w:val="24"/>
                        <w:szCs w:val="24"/>
                      </w:rPr>
                      <w:instrText xml:space="preserve"> PAGE  \* MERGEFORMAT </w:instrText>
                    </w:r>
                    <w:r>
                      <w:rPr>
                        <w:rFonts w:hint="eastAsia" w:asciiTheme="minorEastAsia" w:hAnsiTheme="minorEastAsia" w:eastAsiaTheme="minorEastAsia" w:cstheme="minorEastAsia"/>
                        <w:sz w:val="24"/>
                        <w:szCs w:val="24"/>
                      </w:rPr>
                      <w:fldChar w:fldCharType="separate"/>
                    </w: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CD7858"/>
    <w:multiLevelType w:val="singleLevel"/>
    <w:tmpl w:val="FBCD7858"/>
    <w:lvl w:ilvl="0" w:tentative="0">
      <w:start w:val="1"/>
      <w:numFmt w:val="decimal"/>
      <w:suff w:val="nothing"/>
      <w:lvlText w:val="%1．"/>
      <w:lvlJc w:val="left"/>
      <w:pPr>
        <w:ind w:left="0" w:firstLine="4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E1Zjg3ZTAzOTEzNGFmODlkYWU3ZmQ2NmQwOGZhMjQifQ=="/>
  </w:docVars>
  <w:rsids>
    <w:rsidRoot w:val="00000000"/>
    <w:rsid w:val="01B70B0C"/>
    <w:rsid w:val="056938B4"/>
    <w:rsid w:val="07585C53"/>
    <w:rsid w:val="079219B6"/>
    <w:rsid w:val="0F4C719D"/>
    <w:rsid w:val="118F65E6"/>
    <w:rsid w:val="1E3046E9"/>
    <w:rsid w:val="213D3949"/>
    <w:rsid w:val="274910D1"/>
    <w:rsid w:val="2D173319"/>
    <w:rsid w:val="2F6C1E8E"/>
    <w:rsid w:val="2FB9544A"/>
    <w:rsid w:val="3CA43E5C"/>
    <w:rsid w:val="41BD4E8B"/>
    <w:rsid w:val="47D62442"/>
    <w:rsid w:val="4FE85264"/>
    <w:rsid w:val="5110096C"/>
    <w:rsid w:val="54EE0BAA"/>
    <w:rsid w:val="5D267EA7"/>
    <w:rsid w:val="70175AAF"/>
    <w:rsid w:val="712FCA1F"/>
    <w:rsid w:val="71364909"/>
    <w:rsid w:val="71BB57B6"/>
    <w:rsid w:val="72DD1E82"/>
    <w:rsid w:val="73306208"/>
    <w:rsid w:val="76667385"/>
    <w:rsid w:val="79A61220"/>
    <w:rsid w:val="7A6F443F"/>
    <w:rsid w:val="7D9FA707"/>
    <w:rsid w:val="7E0155BF"/>
    <w:rsid w:val="7E5A1253"/>
    <w:rsid w:val="7E964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widowControl w:val="0"/>
      <w:suppressLineNumbers w:val="0"/>
      <w:spacing w:before="0" w:beforeLines="0" w:beforeAutospacing="0" w:after="0" w:afterLines="0" w:afterAutospacing="0" w:line="560" w:lineRule="exact"/>
      <w:ind w:firstLine="640" w:firstLineChars="200"/>
      <w:jc w:val="both"/>
      <w:outlineLvl w:val="0"/>
    </w:pPr>
    <w:rPr>
      <w:rFonts w:hint="default" w:ascii="Times New Roman" w:hAnsi="Times New Roman" w:eastAsia="黑体" w:cs="Times New Roman"/>
      <w:b/>
      <w:bCs/>
      <w:kern w:val="44"/>
      <w:sz w:val="32"/>
      <w:szCs w:val="32"/>
      <w:lang w:val="en-US" w:eastAsia="zh-CN" w:bidi="ar"/>
    </w:rPr>
  </w:style>
  <w:style w:type="paragraph" w:styleId="4">
    <w:name w:val="heading 2"/>
    <w:basedOn w:val="1"/>
    <w:next w:val="1"/>
    <w:qFormat/>
    <w:uiPriority w:val="0"/>
    <w:pPr>
      <w:pBdr>
        <w:top w:val="none" w:color="auto" w:sz="0" w:space="0"/>
        <w:left w:val="none" w:color="auto" w:sz="0" w:space="0"/>
        <w:bottom w:val="none" w:color="auto" w:sz="0" w:space="0"/>
        <w:right w:val="none" w:color="auto" w:sz="0" w:space="0"/>
      </w:pBdr>
      <w:spacing w:before="100" w:beforeAutospacing="1" w:after="100" w:afterAutospacing="1"/>
      <w:jc w:val="left"/>
      <w:outlineLvl w:val="1"/>
    </w:pPr>
    <w:rPr>
      <w:rFonts w:hint="eastAsia" w:ascii="宋体" w:hAnsi="宋体" w:eastAsia="宋体" w:cs="宋体"/>
      <w:b/>
      <w:kern w:val="0"/>
      <w:sz w:val="36"/>
      <w:szCs w:val="36"/>
      <w:lang w:val="en-US" w:eastAsia="zh-CN" w:bidi="ar"/>
    </w:rPr>
  </w:style>
  <w:style w:type="paragraph" w:styleId="5">
    <w:name w:val="heading 3"/>
    <w:basedOn w:val="1"/>
    <w:next w:val="1"/>
    <w:qFormat/>
    <w:uiPriority w:val="9"/>
    <w:pPr>
      <w:keepNext/>
      <w:keepLines/>
      <w:spacing w:before="260" w:after="260" w:line="416" w:lineRule="auto"/>
      <w:ind w:firstLine="0" w:firstLineChars="0"/>
      <w:outlineLvl w:val="2"/>
    </w:pPr>
    <w:rPr>
      <w:rFonts w:ascii="Times New Roman" w:hAnsi="Times New Roman" w:eastAsia="仿宋_GB2312" w:cs="Times New Roman"/>
      <w:b/>
      <w:bCs/>
      <w:sz w:val="32"/>
      <w:szCs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0"/>
  </w:style>
  <w:style w:type="paragraph" w:styleId="6">
    <w:name w:val="Body Text"/>
    <w:basedOn w:val="1"/>
    <w:next w:val="1"/>
    <w:qFormat/>
    <w:uiPriority w:val="0"/>
    <w:pPr>
      <w:spacing w:after="120"/>
    </w:pPr>
    <w:rPr>
      <w:rFonts w:ascii="Times New Roman" w:hAnsi="Times New Roman"/>
      <w:szCs w:val="24"/>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character" w:customStyle="1" w:styleId="12">
    <w:name w:val="font11"/>
    <w:basedOn w:val="11"/>
    <w:qFormat/>
    <w:uiPriority w:val="0"/>
    <w:rPr>
      <w:rFonts w:hint="eastAsia" w:ascii="仿宋_GB2312" w:eastAsia="仿宋_GB2312" w:cs="仿宋_GB2312"/>
      <w:color w:val="000000"/>
      <w:sz w:val="21"/>
      <w:szCs w:val="21"/>
      <w:u w:val="none"/>
    </w:rPr>
  </w:style>
  <w:style w:type="character" w:customStyle="1" w:styleId="13">
    <w:name w:val="font21"/>
    <w:basedOn w:val="11"/>
    <w:qFormat/>
    <w:uiPriority w:val="0"/>
    <w:rPr>
      <w:rFonts w:hint="default" w:ascii="Times New Roman" w:hAnsi="Times New Roman" w:cs="Times New Roman"/>
      <w:color w:val="000000"/>
      <w:sz w:val="21"/>
      <w:szCs w:val="21"/>
      <w:u w:val="none"/>
    </w:rPr>
  </w:style>
  <w:style w:type="character" w:customStyle="1" w:styleId="14">
    <w:name w:val="font31"/>
    <w:basedOn w:val="11"/>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6891</Words>
  <Characters>7443</Characters>
  <Lines>0</Lines>
  <Paragraphs>0</Paragraphs>
  <TotalTime>8</TotalTime>
  <ScaleCrop>false</ScaleCrop>
  <LinksUpToDate>false</LinksUpToDate>
  <CharactersWithSpaces>7546</CharactersWithSpaces>
  <Application>WPS Office_12.1.2.24722_F1E327BC-269C-435d-A152-05C5408002CA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2026-03-31T01:18:00Z</dcterms:created>
  <dc:creator>华为</dc:creator>
  <cp:lastModifiedBy>greatwall</cp:lastModifiedBy>
  <cp:lastPrinted>2026-03-31T17:46:00Z</cp:lastPrinted>
  <dcterms:modified xsi:type="dcterms:W3CDTF">2026-09-01T08:37:16Z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2052-12.1.2.24722</vt:lpwstr>
  </property>
  <property fmtid="{D5CDD505-2E9C-101B-9397-08002B2CF9AE}" pid="3" name="KSOTemplateDocerSaveRecord">
    <vt:lpwstr>eyJoZGlkIjoiNTc1OWMzYWFkMmQ1NDlhYTdjNWYwYWRjMzgwYmFjMjEiLCJ1c2VySWQiOiI3MDQyNTUxNjUifQ==</vt:lpwstr>
  </property>
  <property fmtid="{D5CDD505-2E9C-101B-9397-08002B2CF9AE}" pid="4" name="ICV">
    <vt:lpwstr>5F7A4BD455795D003C1E966ACA911717_43</vt:lpwstr>
  </property>
</Properties>
</file>