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4E0E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2" w:lineRule="auto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lang w:val="en-US" w:eastAsia="zh-CN"/>
        </w:rPr>
        <w:t>湖南省文化和旅游厅</w:t>
      </w:r>
    </w:p>
    <w:p w14:paraId="11F843D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2" w:lineRule="auto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lang w:val="en-US" w:eastAsia="zh-CN"/>
        </w:rPr>
        <w:t>2025</w:t>
      </w:r>
      <w:r>
        <w:rPr>
          <w:rFonts w:hint="default" w:ascii="Times New Roman" w:hAnsi="Times New Roman" w:eastAsia="方正小标宋简体" w:cs="Times New Roman"/>
          <w:sz w:val="44"/>
          <w:lang w:val="en-US" w:eastAsia="zh-CN"/>
        </w:rPr>
        <w:t>年度</w:t>
      </w:r>
      <w:r>
        <w:rPr>
          <w:rFonts w:hint="default" w:ascii="Times New Roman" w:hAnsi="Times New Roman" w:eastAsia="方正小标宋简体" w:cs="Times New Roman"/>
          <w:sz w:val="44"/>
        </w:rPr>
        <w:t>国家级非物质文化遗产保护资金</w:t>
      </w:r>
    </w:p>
    <w:p w14:paraId="21F6486B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12" w:lineRule="auto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lang w:val="en-US" w:eastAsia="zh-CN"/>
        </w:rPr>
        <w:t>绩效自评报告</w:t>
      </w:r>
    </w:p>
    <w:bookmarkEnd w:id="0"/>
    <w:p w14:paraId="47831FAA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144" w:lineRule="auto"/>
        <w:ind w:left="0" w:righ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</w:p>
    <w:p w14:paraId="7D884968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5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为加强国家非物质文化遗产保护保护资金规范化管理，提高专项资金的使用效益，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根据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《财政部关于开展2025年度中央对地方转移支付预算执行情况绩效自评工作的通知》（财监〔2026〕1号）、《湖南省财政厅关于做好2025年度全省中央转移支付资金绩效自评工作的通知》（湘财绩〔2026〕1号）文件精神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我厅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组织开展了2025年度国家非物质文化遗产保护资金的绩效自评工作。现将自评情况报告如下：</w:t>
      </w:r>
    </w:p>
    <w:p w14:paraId="78CCA60E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5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绩效目标分解下达情况</w:t>
      </w:r>
    </w:p>
    <w:p w14:paraId="1A730972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50" w:lineRule="exact"/>
        <w:ind w:left="0" w:right="0" w:firstLine="643" w:firstLineChars="200"/>
        <w:textAlignment w:val="auto"/>
        <w:rPr>
          <w:rFonts w:hint="default" w:ascii="Times New Roman" w:hAnsi="Times New Roman" w:eastAsia="楷体_GB2312" w:cs="Times New Roman"/>
          <w:b/>
          <w:bCs w:val="0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 w:val="0"/>
          <w:kern w:val="2"/>
          <w:sz w:val="32"/>
          <w:szCs w:val="32"/>
          <w:lang w:val="en-US" w:eastAsia="zh-CN"/>
        </w:rPr>
        <w:t>（一）中央下达转移支付预算和绩效目标情况</w:t>
      </w:r>
    </w:p>
    <w:p w14:paraId="0A123C3B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8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32"/>
          <w:szCs w:val="32"/>
          <w:lang w:val="en-US" w:eastAsia="zh-CN" w:bidi="ar-SA"/>
        </w:rPr>
        <w:t>1.预算下达情况。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2025年度中央下达湖南省国家非物质文化遗产保护资金3790万元，主要用于国家级非物质文化遗产代表性项目、国家级代表性传承人的补助，以及国家级文化生态保护区建设补助三个方面。资金分两批次下达，分别是2024年10月，以财教〔2024〕228号文件提前下达我省专项资金3224万元；</w:t>
      </w:r>
      <w:r>
        <w:rPr>
          <w:rFonts w:hint="default" w:ascii="Times New Roman" w:hAnsi="Times New Roman" w:eastAsia="仿宋_GB2312" w:cs="Times New Roman"/>
          <w:color w:val="000000"/>
          <w:spacing w:val="-6"/>
          <w:kern w:val="2"/>
          <w:sz w:val="32"/>
          <w:szCs w:val="32"/>
          <w:lang w:val="en-US" w:eastAsia="zh-CN" w:bidi="ar-SA"/>
        </w:rPr>
        <w:t>2025年4月以财教〔2025〕89号文件下达我省专项资金566万元。</w:t>
      </w:r>
    </w:p>
    <w:p w14:paraId="0650DC6C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8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32"/>
          <w:szCs w:val="32"/>
          <w:lang w:val="en-US" w:eastAsia="zh-CN" w:bidi="ar-SA"/>
        </w:rPr>
        <w:t>2.绩效目标下达情况。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中央下达转移支付同步设定了对国家级非遗代表性项目、代表性传承人记录工作、研培计划、代表性传承人传承活动等年度任务进行补助，推动非遗保护传承工作，夯实湖南省非遗保护传承基础，提升非遗可持续发展能力的年度绩效目标，并围绕产出、效益、满意度维度，设置了可量化、可考核的三级绩效指标。</w:t>
      </w:r>
    </w:p>
    <w:p w14:paraId="72A85EED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 w:val="0"/>
          <w:kern w:val="2"/>
          <w:sz w:val="32"/>
          <w:szCs w:val="32"/>
          <w:lang w:val="en-US" w:eastAsia="zh-CN" w:bidi="ar-SA"/>
        </w:rPr>
        <w:t>（二）省内资金安排、分解下达预算和绩效目标情况</w:t>
      </w:r>
    </w:p>
    <w:p w14:paraId="101A3E5B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8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1.资金安排、分解下达预算情况</w:t>
      </w:r>
    </w:p>
    <w:p w14:paraId="25188DA3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8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2025年度我省收到中央下达的国家非物质文化遗产保护资金3790万元，省财政厅联合省文旅厅严格按照非遗保护工作实际需求，结合各地市非遗资源情况、工作基础及年度重点任务，将资金分解下达至各市州、县市区及相关省级非遗保护单位，确保资金使用与非遗保护重点工作高度匹配。其中：代表性项目补助（含代表性项目、研培、记录工作）2370.5万元，占比62.55%；文化生态保护区补助1230万元，占比32.45%；国家级代表性传承人补助189.5万元，占比5%。</w:t>
      </w:r>
    </w:p>
    <w:p w14:paraId="3A000E52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 w14:paraId="4CDAC595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 w14:paraId="107CDE59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 w14:paraId="3D41E0A3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 w14:paraId="76546D79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 w14:paraId="1F145A72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 w14:paraId="60D8E4C9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 w14:paraId="4BA8C178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 w14:paraId="3912D642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tbl>
      <w:tblPr>
        <w:tblStyle w:val="10"/>
        <w:tblW w:w="9003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9"/>
        <w:gridCol w:w="1662"/>
        <w:gridCol w:w="1795"/>
        <w:gridCol w:w="1375"/>
        <w:gridCol w:w="1142"/>
      </w:tblGrid>
      <w:tr w14:paraId="53D81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3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0B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市州</w:t>
            </w:r>
          </w:p>
        </w:tc>
        <w:tc>
          <w:tcPr>
            <w:tcW w:w="48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4F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项目大类</w:t>
            </w:r>
          </w:p>
        </w:tc>
        <w:tc>
          <w:tcPr>
            <w:tcW w:w="11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7A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总计</w:t>
            </w:r>
          </w:p>
        </w:tc>
      </w:tr>
      <w:tr w14:paraId="17976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tblHeader/>
        </w:trPr>
        <w:tc>
          <w:tcPr>
            <w:tcW w:w="3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A6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EA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国家级非物质文化遗产代表性传承人补助经费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CA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国家级非物质文化遗产代表性项目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9A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文化生态保护区</w:t>
            </w:r>
          </w:p>
        </w:tc>
        <w:tc>
          <w:tcPr>
            <w:tcW w:w="11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D4D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E230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92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湖南省文化和旅游厅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EE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14.5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3B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360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53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D4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374.5</w:t>
            </w:r>
          </w:p>
        </w:tc>
      </w:tr>
      <w:tr w14:paraId="3B42E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26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湖南省教育厅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966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73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270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DE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53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270</w:t>
            </w:r>
          </w:p>
        </w:tc>
      </w:tr>
      <w:tr w14:paraId="2BDB0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BA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长沙市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07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16.5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AC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236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41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136.5</w:t>
            </w:r>
          </w:p>
        </w:tc>
      </w:tr>
      <w:tr w14:paraId="37F37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F5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株洲市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1A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A7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A0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1A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</w:tr>
      <w:tr w14:paraId="5BF20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88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湘潭市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58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9B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46.5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7F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20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48.5</w:t>
            </w:r>
          </w:p>
        </w:tc>
      </w:tr>
      <w:tr w14:paraId="7B7B3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D8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岳阳市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B3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6.5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D5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5A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C6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206.5</w:t>
            </w:r>
          </w:p>
        </w:tc>
      </w:tr>
      <w:tr w14:paraId="1A55C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97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衡阳市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A5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4A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30B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E8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</w:tr>
      <w:tr w14:paraId="16555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1E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常德市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FA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18.5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A0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147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B9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3C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165.5</w:t>
            </w:r>
          </w:p>
        </w:tc>
      </w:tr>
      <w:tr w14:paraId="2BD17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4E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邵阳市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4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23.5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5E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215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8E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00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238.5</w:t>
            </w:r>
          </w:p>
        </w:tc>
      </w:tr>
      <w:tr w14:paraId="67339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AE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郴州市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A4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8.5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85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B0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E8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103.5</w:t>
            </w:r>
          </w:p>
        </w:tc>
      </w:tr>
      <w:tr w14:paraId="44388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52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娄底市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B3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85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37F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B8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144</w:t>
            </w:r>
          </w:p>
        </w:tc>
      </w:tr>
      <w:tr w14:paraId="2D548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F0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益阳市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14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FA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E38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2A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</w:tr>
      <w:tr w14:paraId="59D28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DC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怀化市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3F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19.5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14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F1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7F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121.5</w:t>
            </w:r>
          </w:p>
        </w:tc>
      </w:tr>
      <w:tr w14:paraId="0A33A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DC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永州市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D8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6.5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43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5E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73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126.5</w:t>
            </w:r>
          </w:p>
        </w:tc>
      </w:tr>
      <w:tr w14:paraId="49700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BA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张家界市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5A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6.5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B7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E4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CF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106.5</w:t>
            </w:r>
          </w:p>
        </w:tc>
      </w:tr>
      <w:tr w14:paraId="02E72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02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湘西土家族苗族自治州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D3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23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310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E0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1230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16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1585</w:t>
            </w:r>
          </w:p>
        </w:tc>
      </w:tr>
      <w:tr w14:paraId="53B14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51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总计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E9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189.5</w:t>
            </w:r>
          </w:p>
        </w:tc>
        <w:tc>
          <w:tcPr>
            <w:tcW w:w="1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C2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2370.5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00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1230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54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righ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3790</w:t>
            </w:r>
          </w:p>
        </w:tc>
      </w:tr>
    </w:tbl>
    <w:p w14:paraId="661A900C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4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2.绩效目标分解情况</w:t>
      </w:r>
    </w:p>
    <w:p w14:paraId="771591CB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为确保中央绩效目标落地见效，省文旅厅联合省财政厅将省级总体绩效目标进一步细化分解，形成了覆盖全省、分级负责的绩效指标体系，同步下达至各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市州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，实现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资金到哪里、绩效目标就跟进到哪里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。根据实际情况进行分解，</w:t>
      </w:r>
      <w:r>
        <w:rPr>
          <w:rFonts w:hint="default" w:ascii="Times New Roman" w:hAnsi="Times New Roman" w:eastAsia="仿宋_GB2312" w:cs="Times New Roman"/>
          <w:color w:val="000000"/>
          <w:spacing w:val="6"/>
          <w:kern w:val="2"/>
          <w:sz w:val="32"/>
          <w:szCs w:val="32"/>
          <w:lang w:val="en-US" w:eastAsia="zh-CN" w:bidi="ar-SA"/>
        </w:rPr>
        <w:t>从产出指标（含数量、质量和时效指标）、效益指标（含经济效益、社会效益和可持续性指标）、满意度指标，</w:t>
      </w:r>
      <w:r>
        <w:rPr>
          <w:rFonts w:hint="default" w:ascii="Times New Roman" w:hAnsi="Times New Roman" w:eastAsia="仿宋_GB2312" w:cs="Times New Roman"/>
          <w:color w:val="000000"/>
          <w:spacing w:val="6"/>
          <w:kern w:val="2"/>
          <w:sz w:val="32"/>
          <w:szCs w:val="32"/>
          <w:highlight w:val="none"/>
          <w:lang w:val="en-US" w:eastAsia="zh-CN" w:bidi="ar-SA"/>
        </w:rPr>
        <w:t>进行细化，分解成1</w:t>
      </w:r>
      <w:r>
        <w:rPr>
          <w:rFonts w:hint="eastAsia" w:ascii="Times New Roman" w:hAnsi="Times New Roman" w:eastAsia="仿宋_GB2312" w:cs="Times New Roman"/>
          <w:color w:val="000000"/>
          <w:spacing w:val="6"/>
          <w:kern w:val="2"/>
          <w:sz w:val="32"/>
          <w:szCs w:val="32"/>
          <w:highlight w:val="none"/>
          <w:lang w:val="en-US" w:eastAsia="zh-CN" w:bidi="ar-SA"/>
        </w:rPr>
        <w:t>8</w:t>
      </w:r>
      <w:r>
        <w:rPr>
          <w:rFonts w:hint="default" w:ascii="Times New Roman" w:hAnsi="Times New Roman" w:eastAsia="仿宋_GB2312" w:cs="Times New Roman"/>
          <w:color w:val="000000"/>
          <w:spacing w:val="6"/>
          <w:kern w:val="2"/>
          <w:sz w:val="32"/>
          <w:szCs w:val="32"/>
          <w:highlight w:val="none"/>
          <w:lang w:val="en-US" w:eastAsia="zh-CN" w:bidi="ar-SA"/>
        </w:rPr>
        <w:t>个三级指标，并将细化的绩效目标下达至各项目实施单位。</w:t>
      </w:r>
    </w:p>
    <w:p w14:paraId="2CB4C83D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（1）产出指标。数量指标包括开展国家级非遗代表性项目年度保护任务数量、开展国家级非遗代表性传承人记录工作数量、实施研培计划任务数量、补助国家级代表性传承人传承活动人数、国家级文化生态保护（实验）区建设个数；质量指标包括国家级非遗代表性项目年度保护任务完成率、研培计划培训学院结业率、国家级文化生态保护区保护活动完成率；时效指标包括研培计划结业时间、代表性传承人记录工作招投标完成时间。</w:t>
      </w:r>
    </w:p>
    <w:p w14:paraId="611D5EC7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（2）效益指标。经济效益指标主要包括非遗传承人相关产品销售额增长率；社会效益指标非遗传承人群增长率、非遗保护与传承受益公众增长率、社会参与非遗保护与传承渠道。</w:t>
      </w:r>
    </w:p>
    <w:p w14:paraId="6F14EECD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（3）满意度指标。服务对象满意度指标包括获得非遗传承人满意度、非遗保护与传承活动受益公众满意度。</w:t>
      </w:r>
    </w:p>
    <w:p w14:paraId="78E8610F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32"/>
          <w:szCs w:val="32"/>
          <w:lang w:val="en-US" w:eastAsia="zh-CN" w:bidi="ar-SA"/>
        </w:rPr>
        <w:t>二</w:t>
      </w:r>
      <w:r>
        <w:rPr>
          <w:rFonts w:hint="default" w:ascii="Times New Roman" w:hAnsi="Times New Roman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  <w:t>、绩效情况分析</w:t>
      </w:r>
    </w:p>
    <w:p w14:paraId="6BE2D723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4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 w:val="0"/>
          <w:kern w:val="2"/>
          <w:sz w:val="32"/>
          <w:szCs w:val="32"/>
          <w:lang w:val="en-US" w:eastAsia="zh-CN" w:bidi="ar-SA"/>
        </w:rPr>
        <w:t>（一）项目资金投入情况分析</w:t>
      </w:r>
    </w:p>
    <w:p w14:paraId="16498B17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根据《财政部关于开展2025年度中央对地方转移支付预算执行情况绩效自评工作的通知》（财监〔2026〕1号）、《湖南省财政厅关于做好2025年度全省中央转移支付资金绩效自评工作的通知》（湘财绩〔2026〕1号）文件精神，我省组织各项目实施单位对专项资金进行了绩效自评，并根据自评情况随机抽查了部分项目的实施情况。通过项目实施单位的自评和抽查情况，采用定量与定性的分析方法，经综合评价，我省2025年度非遗保护专项资金使用规范，全面达成设定的绩效目标，资金使用效益显著。</w:t>
      </w:r>
    </w:p>
    <w:p w14:paraId="297CC5A5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4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1.项目资金到位情况</w:t>
      </w:r>
    </w:p>
    <w:p w14:paraId="4B4C0BFA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2025年中央财政共安排我省专项资金3790万元，省财政已全部足额下达至各项目实施单位，资金到位率为100%，所有资金全部纳入本次绩效评价范围。财政部门严格按照《国家非物质文化遗产保护资金管理办法》等相关文件规定，按时序进度精准下拨资金，保障各项非遗保护工作顺利启动实施。</w:t>
      </w:r>
    </w:p>
    <w:p w14:paraId="30FC9129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4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2.项目资金预算执行情况</w:t>
      </w:r>
    </w:p>
    <w:p w14:paraId="0CFD277A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经汇总项目实施单位使用情况，纳入本次绩效评价范围的专项资金合计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3790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万元，截至绩效自评时间，实际支出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2427.87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万元，执行率为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64.06%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。</w:t>
      </w:r>
    </w:p>
    <w:p w14:paraId="5C0A89DD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4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 w:val="0"/>
          <w:kern w:val="2"/>
          <w:sz w:val="32"/>
          <w:szCs w:val="32"/>
          <w:lang w:val="en-US" w:eastAsia="zh-CN" w:bidi="ar-SA"/>
        </w:rPr>
        <w:t>（二）项目资金管理情况</w:t>
      </w:r>
    </w:p>
    <w:p w14:paraId="0D2108CA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我省严格依据《中华人民共和国预算法》《国家非物质文化遗产保护资金管理办法》等有关法律法规，结合本省实际制定了《湖南省文化旅游发展专项资金管理办法》，进一步规范非遗保护专项资金的使用、监管和绩效评价全流程。各市州文旅、财政部门结合本地实际，配套制定相应的专项资金管理制度，从制度层面明确资金使用范围、审批流程、绩效管理要求，构建了省、市、县三级资金管理体系，为资金风险防控和规范使用提供坚实制度保障。</w:t>
      </w:r>
    </w:p>
    <w:p w14:paraId="75DDF113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从自评及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复核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情况来看，各资金使用单位均能严格按照专项资金管理要求规范使用资金，做到专款专用、专账核算，资金支付审批手续完备、原始凭证齐全，未发现挪用、挤占、截留、套取专项资金等违规行为，资金管理规范有序。</w:t>
      </w:r>
    </w:p>
    <w:p w14:paraId="2AB7F8C1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4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 w:val="0"/>
          <w:kern w:val="2"/>
          <w:sz w:val="32"/>
          <w:szCs w:val="32"/>
          <w:lang w:val="en-US" w:eastAsia="zh-CN" w:bidi="ar-SA"/>
        </w:rPr>
        <w:t>（三）总体绩效目标完成情况分析</w:t>
      </w:r>
    </w:p>
    <w:p w14:paraId="42BC5F3B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2025年，我省高质量完成各项非遗保护工作任务，总体绩效目标全面超额达成。全年共支持国家级非遗一般代表性项目82个，进一步改善了非遗项目存续状况，提升了非遗融入人民群众生产生活的深度和广度；开办非遗传承人群研修培训班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期，培训学员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190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余人，有效提升了传承人群的技能艺能和创新转化能力，夯实了非遗传承中坚力量；补助90名国家级非遗代表性传承人开展传习活动，传承人带徒授艺、展演展示等传承活动开展频次显著提升；完成8名国家级代表性传承人的数字化记录工作，全面留存非遗技艺珍贵资料；通过持续推进国家级非遗代表性项目保护、加强文化生态保护区建设、开展各类非遗展示展演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，提高了湖南非遗的社会知名度、美誉度和影响力，非遗保护传承氛围愈发浓厚，可持续发展能力显著增强。</w:t>
      </w:r>
    </w:p>
    <w:p w14:paraId="21923B1B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4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 w:val="0"/>
          <w:kern w:val="2"/>
          <w:sz w:val="32"/>
          <w:szCs w:val="32"/>
          <w:lang w:val="en-US" w:eastAsia="zh-CN" w:bidi="ar-SA"/>
        </w:rPr>
        <w:t>（四）绩效指标完成情况分析</w:t>
      </w:r>
    </w:p>
    <w:p w14:paraId="4868AC8A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4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1.产出指标完成情况</w:t>
      </w:r>
    </w:p>
    <w:tbl>
      <w:tblPr>
        <w:tblStyle w:val="10"/>
        <w:tblW w:w="89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07"/>
        <w:gridCol w:w="907"/>
        <w:gridCol w:w="3080"/>
        <w:gridCol w:w="1350"/>
        <w:gridCol w:w="1304"/>
        <w:gridCol w:w="1360"/>
      </w:tblGrid>
      <w:tr w14:paraId="54B7C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3B708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9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BF2FD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0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7C242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09EC2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3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31F70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13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B9802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完成情况</w:t>
            </w:r>
          </w:p>
        </w:tc>
      </w:tr>
      <w:tr w14:paraId="76A0D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0" w:hRule="atLeast"/>
          <w:jc w:val="center"/>
        </w:trPr>
        <w:tc>
          <w:tcPr>
            <w:tcW w:w="907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3CA8B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907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FD227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0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5AE39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开展国家级非遗代表性项目年度保护任务数量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569F7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F0AFA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9D121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</w:t>
            </w:r>
          </w:p>
        </w:tc>
      </w:tr>
      <w:tr w14:paraId="07AF4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CE8A0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90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06A61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0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5034F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补助国家级非遗代表性传承人传承活动人数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9FF2C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</w:t>
            </w:r>
          </w:p>
        </w:tc>
        <w:tc>
          <w:tcPr>
            <w:tcW w:w="13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54A67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</w:t>
            </w:r>
          </w:p>
        </w:tc>
        <w:tc>
          <w:tcPr>
            <w:tcW w:w="13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747CC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未完成</w:t>
            </w:r>
          </w:p>
        </w:tc>
      </w:tr>
      <w:tr w14:paraId="52181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5B83C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90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C1633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0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BB76E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开展国家级非遗代表性传承人记录工作人数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A978C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</w:t>
            </w:r>
          </w:p>
        </w:tc>
        <w:tc>
          <w:tcPr>
            <w:tcW w:w="13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39893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期</w:t>
            </w:r>
          </w:p>
        </w:tc>
        <w:tc>
          <w:tcPr>
            <w:tcW w:w="13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DB169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未完成</w:t>
            </w:r>
          </w:p>
        </w:tc>
      </w:tr>
      <w:tr w14:paraId="10171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952FF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90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F1FE6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0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FEB81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研培计划培训班次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94D6F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期</w:t>
            </w:r>
          </w:p>
        </w:tc>
        <w:tc>
          <w:tcPr>
            <w:tcW w:w="13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EC5CE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期</w:t>
            </w:r>
          </w:p>
        </w:tc>
        <w:tc>
          <w:tcPr>
            <w:tcW w:w="13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C5A76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完成</w:t>
            </w:r>
          </w:p>
        </w:tc>
      </w:tr>
      <w:tr w14:paraId="01F5F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6B273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90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E494F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0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705C5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研培计划培训人次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A4404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</w:t>
            </w:r>
          </w:p>
        </w:tc>
        <w:tc>
          <w:tcPr>
            <w:tcW w:w="13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B57EA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人</w:t>
            </w:r>
          </w:p>
        </w:tc>
        <w:tc>
          <w:tcPr>
            <w:tcW w:w="13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D7157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</w:t>
            </w:r>
          </w:p>
        </w:tc>
      </w:tr>
      <w:tr w14:paraId="01963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36CBF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907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F05B2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0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78B5F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国家级非遗代表性传承人传承活动补助发放到位率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35566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</w:t>
            </w:r>
          </w:p>
        </w:tc>
        <w:tc>
          <w:tcPr>
            <w:tcW w:w="13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9F93A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100%</w:t>
            </w:r>
          </w:p>
        </w:tc>
        <w:tc>
          <w:tcPr>
            <w:tcW w:w="13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65D66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</w:t>
            </w:r>
          </w:p>
        </w:tc>
      </w:tr>
      <w:tr w14:paraId="51EA8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556E7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90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A6AEA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0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88572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研培计划培训学院结业率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4C918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</w:t>
            </w:r>
          </w:p>
        </w:tc>
        <w:tc>
          <w:tcPr>
            <w:tcW w:w="13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9FEE1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</w:t>
            </w:r>
          </w:p>
        </w:tc>
        <w:tc>
          <w:tcPr>
            <w:tcW w:w="13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379F8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</w:t>
            </w:r>
          </w:p>
        </w:tc>
      </w:tr>
      <w:tr w14:paraId="29358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037FC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90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01DE8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0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8E619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国家级文化生态保护区保护活动完成率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B1ED2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</w:t>
            </w:r>
          </w:p>
        </w:tc>
        <w:tc>
          <w:tcPr>
            <w:tcW w:w="13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4C564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</w:t>
            </w:r>
          </w:p>
        </w:tc>
        <w:tc>
          <w:tcPr>
            <w:tcW w:w="13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CD819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</w:t>
            </w:r>
          </w:p>
        </w:tc>
      </w:tr>
      <w:tr w14:paraId="35A7C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66570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907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07E6E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0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9A48A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研培计划结业时间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62B93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月前</w:t>
            </w:r>
          </w:p>
        </w:tc>
        <w:tc>
          <w:tcPr>
            <w:tcW w:w="13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0C737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月前</w:t>
            </w:r>
          </w:p>
        </w:tc>
        <w:tc>
          <w:tcPr>
            <w:tcW w:w="13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4A616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</w:t>
            </w:r>
          </w:p>
        </w:tc>
      </w:tr>
      <w:tr w14:paraId="5702A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0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1ABAD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90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0426A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0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A643D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代表性传承人记录工作招投标完成时间</w:t>
            </w:r>
          </w:p>
        </w:tc>
        <w:tc>
          <w:tcPr>
            <w:tcW w:w="13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053E5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月前</w:t>
            </w:r>
          </w:p>
        </w:tc>
        <w:tc>
          <w:tcPr>
            <w:tcW w:w="13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965C0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月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</w:t>
            </w:r>
          </w:p>
        </w:tc>
        <w:tc>
          <w:tcPr>
            <w:tcW w:w="136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E538F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</w:t>
            </w:r>
          </w:p>
        </w:tc>
      </w:tr>
    </w:tbl>
    <w:p w14:paraId="52D75FCF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（1）补助国家级非遗代表性传承人传承活动人数预期值未达成的原因是：122人公布为国家级非物质文化遗产项目代表性传承人，已去世32人，因此实际补助90人。</w:t>
      </w:r>
    </w:p>
    <w:p w14:paraId="3CCCFABA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（2）研培计划培训班次计划完成值为7期以上，实际完成6期。存在偏差的原因是：绩效目标设定时未准确预估实际执行数量。</w:t>
      </w:r>
    </w:p>
    <w:p w14:paraId="5E2B05E1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4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2.效益指标完成情况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91"/>
        <w:gridCol w:w="1380"/>
        <w:gridCol w:w="2041"/>
        <w:gridCol w:w="1814"/>
        <w:gridCol w:w="1134"/>
        <w:gridCol w:w="1191"/>
      </w:tblGrid>
      <w:tr w14:paraId="47CB9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11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F427C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一级</w:t>
            </w:r>
          </w:p>
          <w:p w14:paraId="32C3C75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指标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EE5CC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0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CE6B3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81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C7906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5EA7F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11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B9E5F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</w:t>
            </w:r>
          </w:p>
          <w:p w14:paraId="2318922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情况</w:t>
            </w:r>
          </w:p>
        </w:tc>
      </w:tr>
      <w:tr w14:paraId="29A2E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191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538BB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效益</w:t>
            </w:r>
          </w:p>
          <w:p w14:paraId="7D6AD4A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指标</w:t>
            </w:r>
          </w:p>
        </w:tc>
        <w:tc>
          <w:tcPr>
            <w:tcW w:w="1380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A73F0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20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4CCD5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非遗相关产品销售额增长率</w:t>
            </w:r>
          </w:p>
        </w:tc>
        <w:tc>
          <w:tcPr>
            <w:tcW w:w="181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6A5B4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≧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3%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7CDAF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3%</w:t>
            </w:r>
          </w:p>
        </w:tc>
        <w:tc>
          <w:tcPr>
            <w:tcW w:w="11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D3EBD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</w:t>
            </w:r>
          </w:p>
        </w:tc>
      </w:tr>
      <w:tr w14:paraId="25008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191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C5672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8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77240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0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EAACA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非遗相关产品种类增长率</w:t>
            </w:r>
          </w:p>
        </w:tc>
        <w:tc>
          <w:tcPr>
            <w:tcW w:w="181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A5CB8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≧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5%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544BD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5%</w:t>
            </w:r>
          </w:p>
        </w:tc>
        <w:tc>
          <w:tcPr>
            <w:tcW w:w="11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368FB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</w:t>
            </w:r>
          </w:p>
        </w:tc>
      </w:tr>
      <w:tr w14:paraId="5608D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191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23FC4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80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EC6F2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20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8B5ED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非遗宣传传播覆盖人群增长率</w:t>
            </w:r>
          </w:p>
        </w:tc>
        <w:tc>
          <w:tcPr>
            <w:tcW w:w="181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98E2C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≧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3%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8525E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3%</w:t>
            </w:r>
          </w:p>
        </w:tc>
        <w:tc>
          <w:tcPr>
            <w:tcW w:w="11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6CBB2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</w:t>
            </w:r>
          </w:p>
        </w:tc>
      </w:tr>
      <w:tr w14:paraId="1491C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191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FB6FB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8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A245C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0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880EA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文化生态保护（实验）区建设宣传传播覆盖人群增长率</w:t>
            </w:r>
          </w:p>
        </w:tc>
        <w:tc>
          <w:tcPr>
            <w:tcW w:w="181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6C2F3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≧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3%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11ED7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3%</w:t>
            </w:r>
          </w:p>
        </w:tc>
        <w:tc>
          <w:tcPr>
            <w:tcW w:w="11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B893A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</w:t>
            </w:r>
          </w:p>
        </w:tc>
      </w:tr>
      <w:tr w14:paraId="7BF76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191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9A851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80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00CC0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可持续影响指标</w:t>
            </w:r>
          </w:p>
        </w:tc>
        <w:tc>
          <w:tcPr>
            <w:tcW w:w="20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5FF19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对提升非遗传承人技能艺能的影响</w:t>
            </w:r>
          </w:p>
        </w:tc>
        <w:tc>
          <w:tcPr>
            <w:tcW w:w="181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E2929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长期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99EB0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长期</w:t>
            </w:r>
          </w:p>
        </w:tc>
        <w:tc>
          <w:tcPr>
            <w:tcW w:w="11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E7C35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</w:t>
            </w:r>
          </w:p>
        </w:tc>
      </w:tr>
      <w:tr w14:paraId="34A6E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191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07E00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8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CA90F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04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1D50B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对增强非遗保护传承氛围的影响</w:t>
            </w:r>
          </w:p>
        </w:tc>
        <w:tc>
          <w:tcPr>
            <w:tcW w:w="181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E092E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长期</w:t>
            </w:r>
          </w:p>
        </w:tc>
        <w:tc>
          <w:tcPr>
            <w:tcW w:w="113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B0264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长期</w:t>
            </w:r>
          </w:p>
        </w:tc>
        <w:tc>
          <w:tcPr>
            <w:tcW w:w="11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02DE7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</w:t>
            </w:r>
          </w:p>
        </w:tc>
      </w:tr>
    </w:tbl>
    <w:p w14:paraId="353D8F54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从上表看，通过非遗项目的开展，参与人员逐渐增多，非遗文化产品日益丰富，其社会效益、经济效益日益显现。</w:t>
      </w:r>
    </w:p>
    <w:p w14:paraId="240A4211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4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3.满意度指标完成情况</w:t>
      </w:r>
    </w:p>
    <w:p w14:paraId="37DA08B4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获得补助的非遗传承人满意度为9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.7%；非遗保护与传承活动受益公众满意率为9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2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.8%，反映出越来越多的人从开始接触、接受非遗，到逐渐喜欢非遗。</w:t>
      </w:r>
    </w:p>
    <w:p w14:paraId="68879D78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、偏离绩效目标的原因和下一步改进措施</w:t>
      </w:r>
    </w:p>
    <w:p w14:paraId="085E05E1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4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 w:val="0"/>
          <w:kern w:val="2"/>
          <w:sz w:val="32"/>
          <w:szCs w:val="32"/>
          <w:lang w:val="en-US" w:eastAsia="zh-CN" w:bidi="ar-SA"/>
        </w:rPr>
        <w:t>（一）偏离绩效目标的原因</w:t>
      </w:r>
    </w:p>
    <w:p w14:paraId="4B5AE9EE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2025年度我省国家级非遗保护资金绩效目标整体全面超额完成，无重大指标偏离情况，仅存在个别细项工作小幅提升空间：一是部分偏远县市区非遗项目数字化建设进度稍缓，受地域、技术等因素影响，数字化记录成果后期制作效率有待提升；二是少数非遗文创产品的市场转化能力仍需加强，部分传承人群的市场运营思维和品牌打造能力不足；三是跨区域非遗保护合作机制尚未完全完善，部分非遗项目的区域协同保护力度有待加大。</w:t>
      </w:r>
    </w:p>
    <w:p w14:paraId="15B0773F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4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 w:val="0"/>
          <w:kern w:val="2"/>
          <w:sz w:val="32"/>
          <w:szCs w:val="32"/>
          <w:lang w:val="en-US" w:eastAsia="zh-CN" w:bidi="ar-SA"/>
        </w:rPr>
        <w:t>（二）下一步改进措施</w:t>
      </w:r>
    </w:p>
    <w:p w14:paraId="761BCCE3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 xml:space="preserve">强化技术赋能，提升非遗数字化保护水平。针对偏远县市区非遗数字化建设短板，统筹省级非遗保护技术资源，开展数字化保护技术下乡培训和现场指导，建立省级非遗数字化资源共享平台，实现数字化记录成果的统一制作、管理和传播，进一步提高数字化保护工作效率和质量。​    </w:t>
      </w:r>
    </w:p>
    <w:p w14:paraId="06742512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 xml:space="preserve">2.深化产教融合，增强非遗市场转化能力。联合高校、文创企业、电商平台开展非遗传承人群综合能力提升培训，增设市场运营、品牌打造、电商直播等课程，搭建非遗文创产品孵化平台，推动非遗传承人与市场主体深度合作，打造一批具有湖南特色的非遗文创品牌，促进非遗资源向经济价值有效转化。​    </w:t>
      </w:r>
    </w:p>
    <w:p w14:paraId="37CA3BD4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 xml:space="preserve">3.健全协同机制，推动跨区域非遗保护联动。建立省内各市县非遗保护跨区域合作机制，围绕湘绣、苗绣、侗族大歌等特色非遗项目，打造区域非遗保护联盟，统筹开展联合展演、联合研培、联合申报等工作，实现非遗资源共享、优势互补，提升全省非遗保护工作的整体效能。​    </w:t>
      </w:r>
    </w:p>
    <w:p w14:paraId="4EEB7DE0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4.优化资金管理，持续提升资金使用效益。进一步细化专项资金预算编制，结合项目实施周期和进度优化资金拨付节奏，对执行效率高、绩效成果好的项目单位予以资金倾斜；加强资金使用全流程动态监控，依托信息化手段实现资金使用、项目进展、绩效目标完成情况的实时监测，确保专项资金精准高效使用。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32"/>
          <w:szCs w:val="32"/>
          <w:lang w:val="en-US" w:eastAsia="zh-CN" w:bidi="ar-SA"/>
        </w:rPr>
        <w:t>​</w:t>
      </w:r>
    </w:p>
    <w:p w14:paraId="4E2DFF99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cs="Times New Roman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、绩效自评结果拟应用和公开情况</w:t>
      </w:r>
    </w:p>
    <w:p w14:paraId="283FBE52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4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 w:val="0"/>
          <w:kern w:val="2"/>
          <w:sz w:val="32"/>
          <w:szCs w:val="32"/>
          <w:lang w:val="en-US" w:eastAsia="zh-CN" w:bidi="ar-SA"/>
        </w:rPr>
        <w:t>（一）绩效自评结果的应用</w:t>
      </w:r>
    </w:p>
    <w:p w14:paraId="578C808F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绩效评价结果应用是提升专项资金管理水平和使用效益的重要手段，2025年度非遗保护资金绩效自评结果将重点应用于以下方面：​</w:t>
      </w:r>
    </w:p>
    <w:p w14:paraId="4237422F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以自评促优化。将自评结果作为2026年度非遗保护专项资金预算编制、项目安排的重要依据，对绩效表现优异的市州和项目单位，在资金分配、项目申报等方面予以优先支持；对存在小幅短板的工作领域，针对性优化项目规划和资金配置。​</w:t>
      </w:r>
    </w:p>
    <w:p w14:paraId="69DBD091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以自评促提升。及时将自评结果和问题整改要求反馈至各项目实施单位，督促相关单位对照问题制定整改方案，限期完成整改，并将整改情况纳入下一年度绩效评价内容，形成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“评价—整改—提升”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的闭环管理机制。</w:t>
      </w:r>
    </w:p>
    <w:p w14:paraId="3FD537E7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以自评促推广。总结提炼2025年度非遗保护工作中的优秀经验和典型案例，如湘西州文化生态保护区建设、非遗研培计划创新模式等，在全省范围内进行推广，发挥示范引领作用，推动全省非遗保护工作整体提质增效。</w:t>
      </w:r>
    </w:p>
    <w:p w14:paraId="66E14E6E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40" w:lineRule="exact"/>
        <w:ind w:left="0" w:right="0"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 w:val="0"/>
          <w:kern w:val="2"/>
          <w:sz w:val="32"/>
          <w:szCs w:val="32"/>
          <w:lang w:val="en-US" w:eastAsia="zh-CN" w:bidi="ar-SA"/>
        </w:rPr>
        <w:t>（二）绩效自评结果公开情况</w:t>
      </w:r>
    </w:p>
    <w:p w14:paraId="10F491F4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为主动接受社会公众监督，提升非遗保护工作的透明度和公信力，拟将本次2025年度国家级非物质文化遗产保护资金绩效自评结果（含自评报告、绩效指标完成情况表）在湖南省文化和旅游厅官方网站进行全面公开，公开内容做到真实、准确、完整，接受社会各界的监督和意见建议。</w:t>
      </w:r>
    </w:p>
    <w:p w14:paraId="1F379211">
      <w:pPr>
        <w:pStyle w:val="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N/>
        <w:bidi w:val="0"/>
        <w:adjustRightInd w:val="0"/>
        <w:snapToGrid w:val="0"/>
        <w:spacing w:before="0" w:beforeLines="0" w:beforeAutospacing="0" w:after="0" w:afterLines="0" w:afterAutospacing="0" w:line="54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kern w:val="44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kern w:val="44"/>
          <w:sz w:val="32"/>
          <w:szCs w:val="32"/>
          <w:lang w:val="en-US" w:eastAsia="zh-CN"/>
        </w:rPr>
        <w:t>五、其他需要说明的问题</w:t>
      </w:r>
    </w:p>
    <w:p w14:paraId="4A5AB4A3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N/>
        <w:bidi w:val="0"/>
        <w:adjustRightInd w:val="0"/>
        <w:snapToGrid w:val="0"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2025年度我厅负责的国家非物质文化遗产保护资金，在各级审计、财政监督中未发现重大违规问题，无挤占、挪用、套取资金等情况。</w:t>
      </w:r>
    </w:p>
    <w:p w14:paraId="6E1D55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napToGrid w:val="0"/>
        <w:spacing w:line="540" w:lineRule="exact"/>
        <w:ind w:firstLine="320" w:firstLineChars="1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</w:p>
    <w:p w14:paraId="63EC95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napToGrid w:val="0"/>
        <w:spacing w:line="540" w:lineRule="exact"/>
        <w:ind w:left="1598" w:leftChars="304" w:hanging="960" w:hangingChars="3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附件：2025年度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6"/>
          <w:kern w:val="2"/>
          <w:sz w:val="32"/>
          <w:szCs w:val="32"/>
          <w:lang w:val="en-US" w:eastAsia="zh-CN" w:bidi="ar-SA"/>
        </w:rPr>
        <w:t>国家级非物质文化遗产保护资金区域整体绩效自评表</w:t>
      </w:r>
    </w:p>
    <w:p w14:paraId="72F49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napToGrid w:val="0"/>
        <w:spacing w:line="540" w:lineRule="exact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 w14:paraId="05D3DA7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napToGrid w:val="0"/>
        <w:spacing w:line="540" w:lineRule="exact"/>
        <w:textAlignment w:val="auto"/>
        <w:rPr>
          <w:rFonts w:hint="default"/>
          <w:sz w:val="32"/>
          <w:szCs w:val="32"/>
        </w:rPr>
      </w:pPr>
    </w:p>
    <w:p w14:paraId="5F9AE43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snapToGrid w:val="0"/>
        <w:spacing w:beforeAutospacing="0" w:afterAutospacing="0" w:line="540" w:lineRule="exact"/>
        <w:ind w:right="0"/>
        <w:jc w:val="center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 xml:space="preserve">                        湖南省文化和旅游厅</w:t>
      </w:r>
    </w:p>
    <w:p w14:paraId="6F358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napToGrid w:val="0"/>
        <w:spacing w:line="540" w:lineRule="exact"/>
        <w:ind w:left="5040" w:leftChars="0" w:firstLine="80" w:firstLineChars="0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2026年3月2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8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日</w:t>
      </w:r>
    </w:p>
    <w:p w14:paraId="53FF353D">
      <w:pP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</w:p>
    <w:p w14:paraId="2A59926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753062C1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val="en-US" w:eastAsia="zh-CN"/>
        </w:rPr>
        <w:t>附件</w:t>
      </w:r>
    </w:p>
    <w:p w14:paraId="11D2C59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/>
          <w:bCs w:val="0"/>
          <w:color w:val="000000"/>
          <w:kern w:val="0"/>
          <w:sz w:val="44"/>
          <w:szCs w:val="44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val="en-US" w:eastAsia="zh-CN"/>
        </w:rPr>
        <w:t>年度国家级非物质文化遗产保护资金</w:t>
      </w:r>
    </w:p>
    <w:p w14:paraId="387190C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val="en-US" w:eastAsia="zh-CN"/>
        </w:rPr>
        <w:t>区域整体绩效自评表</w:t>
      </w:r>
    </w:p>
    <w:tbl>
      <w:tblPr>
        <w:tblStyle w:val="10"/>
        <w:tblW w:w="575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516"/>
        <w:gridCol w:w="104"/>
        <w:gridCol w:w="623"/>
        <w:gridCol w:w="981"/>
        <w:gridCol w:w="1106"/>
        <w:gridCol w:w="222"/>
        <w:gridCol w:w="1244"/>
        <w:gridCol w:w="282"/>
        <w:gridCol w:w="876"/>
        <w:gridCol w:w="1079"/>
        <w:gridCol w:w="1019"/>
        <w:gridCol w:w="1599"/>
      </w:tblGrid>
      <w:tr w14:paraId="16EDC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66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DA34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转移支付</w:t>
            </w:r>
          </w:p>
          <w:p w14:paraId="66CD488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（项目）名称</w:t>
            </w:r>
          </w:p>
        </w:tc>
        <w:tc>
          <w:tcPr>
            <w:tcW w:w="433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A763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国家级非物质文化遗产保护资金</w:t>
            </w:r>
          </w:p>
        </w:tc>
      </w:tr>
      <w:tr w14:paraId="1707A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66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E867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中央主管</w:t>
            </w:r>
          </w:p>
          <w:p w14:paraId="16CA2F2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部门</w:t>
            </w:r>
          </w:p>
        </w:tc>
        <w:tc>
          <w:tcPr>
            <w:tcW w:w="4333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FC3D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文化和旅游部</w:t>
            </w:r>
          </w:p>
        </w:tc>
      </w:tr>
      <w:tr w14:paraId="75BF4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66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3004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省级财政</w:t>
            </w:r>
          </w:p>
          <w:p w14:paraId="645C909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部门</w:t>
            </w:r>
          </w:p>
        </w:tc>
        <w:tc>
          <w:tcPr>
            <w:tcW w:w="13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152D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湖南省财政厅</w:t>
            </w:r>
          </w:p>
        </w:tc>
        <w:tc>
          <w:tcPr>
            <w:tcW w:w="7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416D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省级主管部门</w:t>
            </w:r>
          </w:p>
        </w:tc>
        <w:tc>
          <w:tcPr>
            <w:tcW w:w="23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2A65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湖南省文化和旅游厅</w:t>
            </w:r>
          </w:p>
        </w:tc>
      </w:tr>
      <w:tr w14:paraId="32A88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  <w:jc w:val="center"/>
        </w:trPr>
        <w:tc>
          <w:tcPr>
            <w:tcW w:w="666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97F5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资金投入情况（万元）</w:t>
            </w: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F549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87FF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7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1348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全年预算数（A）</w:t>
            </w: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BEB3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全年执行数（B）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EB56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分值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9F88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预算执行率（B/A*100%）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18AA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得分</w:t>
            </w:r>
          </w:p>
        </w:tc>
      </w:tr>
      <w:tr w14:paraId="55166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66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823A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D77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B65F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3790</w:t>
            </w:r>
          </w:p>
        </w:tc>
        <w:tc>
          <w:tcPr>
            <w:tcW w:w="7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F290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3790</w:t>
            </w: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0FEE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2427.87 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83C5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CBF1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64.06%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3855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6.41 </w:t>
            </w:r>
          </w:p>
        </w:tc>
      </w:tr>
      <w:tr w14:paraId="5ECE2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66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37A4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0728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其中：中央补助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FABE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3790</w:t>
            </w:r>
          </w:p>
        </w:tc>
        <w:tc>
          <w:tcPr>
            <w:tcW w:w="7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A926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3790</w:t>
            </w: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B9EE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2427.87 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E53E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68F4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D11C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6AEC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66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732F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BE27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地方资金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7F53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005E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306A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932B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3E14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5DC5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6DF3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66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2C39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BEDC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A092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0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C31A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56FC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787A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DDFA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B0C5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48DB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666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8027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资金管理</w:t>
            </w:r>
          </w:p>
          <w:p w14:paraId="6E45644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情况</w:t>
            </w: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FFB7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1D3E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情况说明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B1BF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分值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（40分）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D5E0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得分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2AF9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存在问题和改进措施</w:t>
            </w:r>
          </w:p>
        </w:tc>
      </w:tr>
      <w:tr w14:paraId="4891F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66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1E56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2A11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分配科学性</w:t>
            </w:r>
          </w:p>
        </w:tc>
        <w:tc>
          <w:tcPr>
            <w:tcW w:w="17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5A5D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严格按照相关制度及规定的范围和标准分配资金</w:t>
            </w:r>
          </w:p>
        </w:tc>
        <w:tc>
          <w:tcPr>
            <w:tcW w:w="51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01EB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FA06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225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41C7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66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ABA0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CC72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下达及时性</w:t>
            </w:r>
          </w:p>
        </w:tc>
        <w:tc>
          <w:tcPr>
            <w:tcW w:w="17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8A32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严格按照相关制度及规定的时限要求分解下达</w:t>
            </w:r>
          </w:p>
        </w:tc>
        <w:tc>
          <w:tcPr>
            <w:tcW w:w="51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DBAA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4E5E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BF78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6495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66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2B80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14DF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拨付合规性</w:t>
            </w:r>
          </w:p>
        </w:tc>
        <w:tc>
          <w:tcPr>
            <w:tcW w:w="17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2E6A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严格按照相关制度及规定支付资金，未出现违规</w:t>
            </w:r>
          </w:p>
        </w:tc>
        <w:tc>
          <w:tcPr>
            <w:tcW w:w="51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126E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5620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825A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5260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66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D968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C8F4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使用规范性</w:t>
            </w:r>
          </w:p>
        </w:tc>
        <w:tc>
          <w:tcPr>
            <w:tcW w:w="17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6142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严格按照下达预算的科目和项目执行，未出现违规</w:t>
            </w:r>
          </w:p>
        </w:tc>
        <w:tc>
          <w:tcPr>
            <w:tcW w:w="51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2DDE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5FF8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5BE3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5B07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66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70CA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ABCB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执行准确性</w:t>
            </w:r>
          </w:p>
        </w:tc>
        <w:tc>
          <w:tcPr>
            <w:tcW w:w="17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894F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严格按照预算安排的金额执行，不存在偏离</w:t>
            </w:r>
          </w:p>
        </w:tc>
        <w:tc>
          <w:tcPr>
            <w:tcW w:w="51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4B00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15B4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DBC1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存在问题：资金执行率不高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改进措施：加强跟踪监管，提高资金使用效率。</w:t>
            </w:r>
          </w:p>
        </w:tc>
      </w:tr>
      <w:tr w14:paraId="0EB2E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5" w:hRule="atLeast"/>
          <w:jc w:val="center"/>
        </w:trPr>
        <w:tc>
          <w:tcPr>
            <w:tcW w:w="66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D03F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DCC8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预算绩效管理情况</w:t>
            </w:r>
          </w:p>
        </w:tc>
        <w:tc>
          <w:tcPr>
            <w:tcW w:w="17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EE46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细化绩效目标，开展绩效监控和绩效评价</w:t>
            </w:r>
          </w:p>
        </w:tc>
        <w:tc>
          <w:tcPr>
            <w:tcW w:w="51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7076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3554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C685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存在问题：绩效目标不明确，项目监管不到位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改进措施：强化绩效管理，强化监管，提高资金使用效率</w:t>
            </w:r>
          </w:p>
        </w:tc>
      </w:tr>
      <w:tr w14:paraId="7893C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66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466D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2B5C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支出责任履行情况</w:t>
            </w:r>
          </w:p>
        </w:tc>
        <w:tc>
          <w:tcPr>
            <w:tcW w:w="17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09B5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足额安排资金履行本级支出责任</w:t>
            </w:r>
          </w:p>
        </w:tc>
        <w:tc>
          <w:tcPr>
            <w:tcW w:w="51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FF21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3868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AB07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D347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8" w:hRule="atLeast"/>
          <w:jc w:val="center"/>
        </w:trPr>
        <w:tc>
          <w:tcPr>
            <w:tcW w:w="66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B56A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0EE8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政策目标实现情况</w:t>
            </w:r>
          </w:p>
        </w:tc>
        <w:tc>
          <w:tcPr>
            <w:tcW w:w="17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ECAF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严格按照项目计划实施，达到预期效果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D7BC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66A7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61B4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存在问题：项目开展不及时，未能达到预期效果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改进措施：文旅部门应会同相关部门对项目进行监督检查，督促项目进度</w:t>
            </w:r>
          </w:p>
        </w:tc>
      </w:tr>
      <w:tr w14:paraId="1E98B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36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3AC8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总体目标完成情况</w:t>
            </w:r>
          </w:p>
        </w:tc>
        <w:tc>
          <w:tcPr>
            <w:tcW w:w="15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ECE2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总体目标</w:t>
            </w:r>
          </w:p>
        </w:tc>
        <w:tc>
          <w:tcPr>
            <w:tcW w:w="3033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37E2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全年实际完成情况</w:t>
            </w:r>
          </w:p>
        </w:tc>
      </w:tr>
      <w:tr w14:paraId="3F64A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4" w:hRule="atLeast"/>
          <w:jc w:val="center"/>
        </w:trPr>
        <w:tc>
          <w:tcPr>
            <w:tcW w:w="3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A4B8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88FE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对国家级非遗代表性项目、国家级非遗代表性传承人传习活动、国家级文化生态保护区、研培计划、国家级非遗代表性传承人记录等进行补助，推动非遗保护传承工作。</w:t>
            </w:r>
          </w:p>
        </w:tc>
        <w:tc>
          <w:tcPr>
            <w:tcW w:w="3033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F7DA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，我省高质量完成各项非遗保护工作任务，总体绩效目标全面超额达成。全年共支持国家级非遗一般代表性项目82个，进一步改善了非遗项目存续状况，提升了非遗融入人民群众生产生活的深度和广度；开办非遗传承人群研修培训班6期，培训学员190余人，有效提升了传承人群的技能艺能和创新转化能力，夯实了非遗传承中坚力量；补助90名国家级非遗代表性传承人开展传习活动，传承人带徒授艺、展演展示等传承活动开展频次显著提升；完成8名国家级代表性传承人的数字化记录工作，全面留存非遗技艺珍贵资料；通过持续推进国家级非遗代表性项目保护、加强文化生态保护区建设、开展各类非遗展示展演等，提高了湖南非遗的社会知名度、美誉度和影响力，非遗保护传承氛围愈发浓厚，可持续发展能力显著增强。</w:t>
            </w:r>
          </w:p>
        </w:tc>
      </w:tr>
      <w:tr w14:paraId="1658E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  <w:jc w:val="center"/>
        </w:trPr>
        <w:tc>
          <w:tcPr>
            <w:tcW w:w="36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9868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绩效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指标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DBA9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一级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指标</w:t>
            </w:r>
          </w:p>
        </w:tc>
        <w:tc>
          <w:tcPr>
            <w:tcW w:w="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E3BB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1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12A0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7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8C21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99AC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全年实际完成值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1B05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分值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9B0F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得分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7866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未完成原因和改进措施</w:t>
            </w:r>
          </w:p>
        </w:tc>
      </w:tr>
      <w:tr w14:paraId="4B419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3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23D5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7340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产出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指标</w:t>
            </w:r>
          </w:p>
        </w:tc>
        <w:tc>
          <w:tcPr>
            <w:tcW w:w="348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4FAA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1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521E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开展国家级非遗代表性项目年度保护任务数量</w:t>
            </w:r>
          </w:p>
        </w:tc>
        <w:tc>
          <w:tcPr>
            <w:tcW w:w="7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9820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≥65个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A692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82个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3DEC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5834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FFCC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0ACE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3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60A1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CFC2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4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441E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7BFF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补助国家级非遗代表性传承人传承活动人数</w:t>
            </w:r>
          </w:p>
        </w:tc>
        <w:tc>
          <w:tcPr>
            <w:tcW w:w="7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6B3B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≥122人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009F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90人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C2CD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C946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2.21 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A891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122人公布为国家级非物质文化遗产项目代表性传承人，已去世32人。</w:t>
            </w:r>
          </w:p>
        </w:tc>
      </w:tr>
      <w:tr w14:paraId="70920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3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B97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EA5D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4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FC2B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2104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开展国家级非遗代表性传承人记录工作人数</w:t>
            </w:r>
          </w:p>
        </w:tc>
        <w:tc>
          <w:tcPr>
            <w:tcW w:w="7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D9A5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≥6人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831B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6期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A4EF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1965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2.57 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45CA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BA45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3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3B61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8457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4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392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D50B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研培计划培训班次</w:t>
            </w:r>
          </w:p>
        </w:tc>
        <w:tc>
          <w:tcPr>
            <w:tcW w:w="7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AC2B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≥7期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5CD8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6期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FF97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90C7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2.57 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14A6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绩效目标设定时未预估准确完成值。</w:t>
            </w:r>
          </w:p>
        </w:tc>
      </w:tr>
      <w:tr w14:paraId="0C172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8A0B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9ED5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4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1D53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4A1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研培计划培训人次</w:t>
            </w:r>
          </w:p>
        </w:tc>
        <w:tc>
          <w:tcPr>
            <w:tcW w:w="7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E2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≥100人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3B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190人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57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7A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C9EC4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DF5B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3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7D30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5EB3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48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DAF4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1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01F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国家级非遗代表性传承人传承活动补助发放到位率</w:t>
            </w:r>
          </w:p>
        </w:tc>
        <w:tc>
          <w:tcPr>
            <w:tcW w:w="7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83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≧90%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85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96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E5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5E32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E72E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3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32F2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2B76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4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6AF9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31F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代表性传承人记录工作验收合格率</w:t>
            </w:r>
          </w:p>
        </w:tc>
        <w:tc>
          <w:tcPr>
            <w:tcW w:w="7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78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≧90%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B6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92%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96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BB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F733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900C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3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6B03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770D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4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5DBB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1B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研培计划合格率成率</w:t>
            </w:r>
          </w:p>
        </w:tc>
        <w:tc>
          <w:tcPr>
            <w:tcW w:w="7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46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≧90%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9C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36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9E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7EC2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6013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3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2F5B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CF3A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48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F80F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1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9E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研培计划结业时间</w:t>
            </w:r>
          </w:p>
        </w:tc>
        <w:tc>
          <w:tcPr>
            <w:tcW w:w="7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A4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2025年12月前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96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2025年11月6日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BFF3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5665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D3FD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E586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  <w:jc w:val="center"/>
        </w:trPr>
        <w:tc>
          <w:tcPr>
            <w:tcW w:w="3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1C95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7F78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4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6BBC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75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代表性传承人记录工作招投标完成时间</w:t>
            </w:r>
          </w:p>
        </w:tc>
        <w:tc>
          <w:tcPr>
            <w:tcW w:w="7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C2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2025年12月前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BE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2025年10月24日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1266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35B5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AA2D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3479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3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7B9B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B9CB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效益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指标</w:t>
            </w:r>
          </w:p>
        </w:tc>
        <w:tc>
          <w:tcPr>
            <w:tcW w:w="348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DA7E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经济效益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指标</w:t>
            </w:r>
          </w:p>
        </w:tc>
        <w:tc>
          <w:tcPr>
            <w:tcW w:w="11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83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非遗相关产品销售额增长率</w:t>
            </w:r>
          </w:p>
        </w:tc>
        <w:tc>
          <w:tcPr>
            <w:tcW w:w="7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B3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≧3%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10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3%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7A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71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0DA2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383D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3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EAAA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38F4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48" w:type="pct"/>
            <w:gridSpan w:val="2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28F247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2C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非遗相关产品种类增长率</w:t>
            </w:r>
          </w:p>
        </w:tc>
        <w:tc>
          <w:tcPr>
            <w:tcW w:w="7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32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≧5%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D5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5%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6F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B2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98D3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3208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3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1B79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1A83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48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B1D0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社会效益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指标</w:t>
            </w:r>
          </w:p>
        </w:tc>
        <w:tc>
          <w:tcPr>
            <w:tcW w:w="11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03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非遗宣传传播覆盖人群增长率</w:t>
            </w:r>
          </w:p>
        </w:tc>
        <w:tc>
          <w:tcPr>
            <w:tcW w:w="7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52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≧3%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8A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3%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7B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22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4E66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AF0D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3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A911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053D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4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235F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4F6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文化生态保护（实验）区建设宣传传播覆盖人群增长率</w:t>
            </w:r>
          </w:p>
        </w:tc>
        <w:tc>
          <w:tcPr>
            <w:tcW w:w="7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8C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≧3%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A5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3%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13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B3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72A9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EEAF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3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4535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D172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48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F4D3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可持续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影响指标</w:t>
            </w:r>
          </w:p>
        </w:tc>
        <w:tc>
          <w:tcPr>
            <w:tcW w:w="11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F2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对提升非遗传承人技能艺能的影响</w:t>
            </w:r>
          </w:p>
        </w:tc>
        <w:tc>
          <w:tcPr>
            <w:tcW w:w="7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7B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长期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3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长期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A4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DA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02C8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5397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3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E49E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E76F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4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097D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15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对增强非遗保护传承氛围的影响</w:t>
            </w:r>
          </w:p>
        </w:tc>
        <w:tc>
          <w:tcPr>
            <w:tcW w:w="7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A6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长期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F3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长期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50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5E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EA61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300D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3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9855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6398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满意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度指标</w:t>
            </w:r>
          </w:p>
        </w:tc>
        <w:tc>
          <w:tcPr>
            <w:tcW w:w="348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0A0D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服务对象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1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CF1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非遗传承人满意度</w:t>
            </w:r>
          </w:p>
        </w:tc>
        <w:tc>
          <w:tcPr>
            <w:tcW w:w="7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32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≥90%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FF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93.70%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2B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69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F6EA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6B35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3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E090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5796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48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BC4D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0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70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非遗保护与传承活动受益公众满意率</w:t>
            </w:r>
          </w:p>
        </w:tc>
        <w:tc>
          <w:tcPr>
            <w:tcW w:w="73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8E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≥90%</w:t>
            </w:r>
          </w:p>
        </w:tc>
        <w:tc>
          <w:tcPr>
            <w:tcW w:w="4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14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92.80%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32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E4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B370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2FB9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3225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DBC3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总分</w:t>
            </w:r>
          </w:p>
        </w:tc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23D0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57E3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91.76 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4554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B227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1118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说明</w:t>
            </w:r>
          </w:p>
        </w:tc>
        <w:tc>
          <w:tcPr>
            <w:tcW w:w="4631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05B6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</w:tr>
    </w:tbl>
    <w:p w14:paraId="1E994B46">
      <w:pPr>
        <w:rPr>
          <w:rFonts w:hint="eastAsia" w:ascii="Times New Roman" w:hAnsi="Times New Roman" w:eastAsia="方正小标宋_GBK" w:cs="Times New Roman"/>
          <w:bCs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_GBK" w:cs="Times New Roman"/>
          <w:bCs/>
          <w:color w:val="000000"/>
          <w:kern w:val="0"/>
          <w:sz w:val="36"/>
          <w:szCs w:val="36"/>
          <w:lang w:val="en-US" w:eastAsia="zh-CN"/>
        </w:rPr>
        <w:br w:type="page"/>
      </w:r>
    </w:p>
    <w:tbl>
      <w:tblPr>
        <w:tblStyle w:val="10"/>
        <w:tblpPr w:leftFromText="180" w:rightFromText="180" w:vertAnchor="text" w:horzAnchor="page" w:tblpX="1481" w:tblpY="12229"/>
        <w:tblOverlap w:val="never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13DE38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9060" w:type="dxa"/>
            <w:tcBorders>
              <w:top w:val="single" w:color="auto" w:sz="4" w:space="0"/>
            </w:tcBorders>
            <w:noWrap w:val="0"/>
            <w:vAlign w:val="center"/>
          </w:tcPr>
          <w:p w14:paraId="6EF082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"/>
                <w:color w:val="auto"/>
                <w:w w:val="1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32"/>
                <w:szCs w:val="32"/>
                <w:lang w:val="en-US" w:eastAsia="zh-CN"/>
              </w:rPr>
              <w:br w:type="page"/>
            </w:r>
            <w:r>
              <w:rPr>
                <w:rFonts w:hint="eastAsia" w:ascii="仿宋_GB2312" w:hAnsi="仿宋_GB2312" w:eastAsia="仿宋_GB2312" w:cs="仿宋"/>
                <w:color w:val="auto"/>
                <w:w w:val="100"/>
                <w:sz w:val="28"/>
                <w:szCs w:val="28"/>
              </w:rPr>
              <w:t xml:space="preserve">湖南省文化和旅游厅办公室               </w:t>
            </w:r>
            <w:r>
              <w:rPr>
                <w:rFonts w:hint="eastAsia" w:ascii="仿宋_GB2312" w:hAnsi="仿宋_GB2312" w:eastAsia="仿宋_GB2312" w:cs="仿宋"/>
                <w:color w:val="auto"/>
                <w:w w:val="100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auto"/>
                <w:w w:val="100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w w:val="1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"/>
                <w:color w:val="auto"/>
                <w:w w:val="100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w w:val="10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Times New Roman"/>
                <w:color w:val="auto"/>
                <w:w w:val="100"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w w:val="10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"/>
                <w:color w:val="auto"/>
                <w:w w:val="100"/>
                <w:sz w:val="28"/>
                <w:szCs w:val="28"/>
              </w:rPr>
              <w:t>日印发</w:t>
            </w:r>
          </w:p>
        </w:tc>
      </w:tr>
    </w:tbl>
    <w:p w14:paraId="71F02529">
      <w:pPr>
        <w:pStyle w:val="2"/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2098" w:right="1531" w:bottom="1531" w:left="1531" w:header="720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0" w:distance="360"/>
      <w:pgNumType w:fmt="numberInDash" w:start="2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8C517">
    <w:pPr>
      <w:pStyle w:val="6"/>
      <w:ind w:right="360" w:firstLine="360"/>
      <w:jc w:val="center"/>
      <w:rPr>
        <w:rFonts w:ascii="宋体" w:hAnsi="宋体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4585DC">
                          <w:pPr>
                            <w:pStyle w:val="6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- 14 -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4585DC">
                    <w:pPr>
                      <w:pStyle w:val="6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- 14 -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709AC0"/>
    <w:multiLevelType w:val="singleLevel"/>
    <w:tmpl w:val="7C709AC0"/>
    <w:lvl w:ilvl="0" w:tentative="0">
      <w:start w:val="1"/>
      <w:numFmt w:val="decimal"/>
      <w:suff w:val="nothing"/>
      <w:lvlText w:val="%1."/>
      <w:lvlJc w:val="left"/>
      <w:pPr>
        <w:tabs>
          <w:tab w:val="left" w:pos="420"/>
        </w:tabs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Zjg3ZTAzOTEzNGFmODlkYWU3ZmQ2NmQwOGZhMjQifQ=="/>
  </w:docVars>
  <w:rsids>
    <w:rsidRoot w:val="00000000"/>
    <w:rsid w:val="08DE52DB"/>
    <w:rsid w:val="0DDA0B35"/>
    <w:rsid w:val="11B65AF8"/>
    <w:rsid w:val="14E1593C"/>
    <w:rsid w:val="157115EE"/>
    <w:rsid w:val="17717B7C"/>
    <w:rsid w:val="19051BAC"/>
    <w:rsid w:val="1E167D96"/>
    <w:rsid w:val="25197F40"/>
    <w:rsid w:val="2B2C087C"/>
    <w:rsid w:val="2B50192B"/>
    <w:rsid w:val="31FE479E"/>
    <w:rsid w:val="3F5B6288"/>
    <w:rsid w:val="3F6D76B7"/>
    <w:rsid w:val="47C70913"/>
    <w:rsid w:val="4BF76C86"/>
    <w:rsid w:val="4CBF221B"/>
    <w:rsid w:val="4CD15729"/>
    <w:rsid w:val="515B30D2"/>
    <w:rsid w:val="52272DD7"/>
    <w:rsid w:val="5C3B671B"/>
    <w:rsid w:val="5D331782"/>
    <w:rsid w:val="60057CBB"/>
    <w:rsid w:val="63820E04"/>
    <w:rsid w:val="64C057E6"/>
    <w:rsid w:val="67C759FA"/>
    <w:rsid w:val="67D1400D"/>
    <w:rsid w:val="6DDFFFB8"/>
    <w:rsid w:val="704D2679"/>
    <w:rsid w:val="753F48D1"/>
    <w:rsid w:val="79EB1D20"/>
    <w:rsid w:val="7A145998"/>
    <w:rsid w:val="7BE10955"/>
    <w:rsid w:val="7DF31B52"/>
    <w:rsid w:val="7F7D35D2"/>
    <w:rsid w:val="7FAF3AAA"/>
    <w:rsid w:val="7FCBCC2C"/>
    <w:rsid w:val="87FCC336"/>
    <w:rsid w:val="BBED7463"/>
    <w:rsid w:val="DFFFA94C"/>
    <w:rsid w:val="EA3C325E"/>
    <w:rsid w:val="EF1E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jc w:val="both"/>
    </w:pPr>
    <w:rPr>
      <w:rFonts w:asciiTheme="minorAscii" w:hAnsiTheme="minorAsci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suppressLineNumbers w:val="0"/>
      <w:spacing w:before="0" w:beforeLines="0" w:beforeAutospacing="0" w:after="0" w:afterLines="0" w:afterAutospacing="0" w:line="560" w:lineRule="exact"/>
      <w:ind w:firstLine="640" w:firstLineChars="200"/>
      <w:jc w:val="both"/>
      <w:outlineLvl w:val="0"/>
    </w:pPr>
    <w:rPr>
      <w:rFonts w:hint="default" w:ascii="Times New Roman" w:hAnsi="Times New Roman" w:eastAsia="黑体" w:cs="Times New Roman"/>
      <w:b/>
      <w:bCs/>
      <w:kern w:val="44"/>
      <w:sz w:val="32"/>
      <w:szCs w:val="32"/>
      <w:lang w:val="en-US" w:eastAsia="zh-CN" w:bidi="ar"/>
    </w:rPr>
  </w:style>
  <w:style w:type="paragraph" w:styleId="4">
    <w:name w:val="heading 2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widowControl w:val="0"/>
      <w:suppressLineNumbers w:val="0"/>
      <w:spacing w:before="0" w:beforeLines="0" w:beforeAutospacing="0" w:after="0" w:afterLines="0" w:afterAutospacing="0" w:line="560" w:lineRule="exact"/>
      <w:ind w:firstLine="640" w:firstLineChars="200"/>
      <w:jc w:val="both"/>
      <w:outlineLvl w:val="2"/>
    </w:pPr>
    <w:rPr>
      <w:rFonts w:hint="default" w:ascii="Times New Roman" w:hAnsi="Times New Roman" w:eastAsia="仿宋_GB2312" w:cs="Times New Roman"/>
      <w:b/>
      <w:bCs/>
      <w:kern w:val="2"/>
      <w:sz w:val="32"/>
      <w:szCs w:val="32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  <w:rPr>
      <w:rFonts w:ascii="Calibri" w:hAnsi="Calibri" w:eastAsia="宋体" w:cs="Times New Roman"/>
      <w:sz w:val="32"/>
      <w:szCs w:val="24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  <w:rPr>
      <w:rFonts w:ascii="Calibri" w:hAnsi="Calibri" w:eastAsia="宋体" w:cs="Times New Roman"/>
      <w:sz w:val="24"/>
      <w:szCs w:val="24"/>
    </w:rPr>
  </w:style>
  <w:style w:type="character" w:customStyle="1" w:styleId="12">
    <w:name w:val="font0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11"/>
    <w:basedOn w:val="11"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  <w:style w:type="character" w:customStyle="1" w:styleId="14">
    <w:name w:val="font51"/>
    <w:basedOn w:val="11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5">
    <w:name w:val="font61"/>
    <w:basedOn w:val="1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6128</Words>
  <Characters>6603</Characters>
  <Lines>0</Lines>
  <Paragraphs>0</Paragraphs>
  <TotalTime>2</TotalTime>
  <ScaleCrop>false</ScaleCrop>
  <LinksUpToDate>false</LinksUpToDate>
  <CharactersWithSpaces>6667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2026-03-22T00:58:00Z</dcterms:created>
  <dc:creator>华为</dc:creator>
  <cp:lastModifiedBy>greatwall</cp:lastModifiedBy>
  <cp:lastPrinted>2026-03-31T07:26:00Z</cp:lastPrinted>
  <dcterms:modified xsi:type="dcterms:W3CDTF">2026-09-01T08:36:23Z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KSOTemplateDocerSaveRecord">
    <vt:lpwstr>eyJoZGlkIjoiNTc1OWMzYWFkMmQ1NDlhYTdjNWYwYWRjMzgwYmFjMjEiLCJ1c2VySWQiOiI3MDQyNTUxNjUifQ==</vt:lpwstr>
  </property>
  <property fmtid="{D5CDD505-2E9C-101B-9397-08002B2CF9AE}" pid="4" name="ICV">
    <vt:lpwstr>488DAEB2711D3656071E966AE68CBA74_43</vt:lpwstr>
  </property>
</Properties>
</file>