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99308C">
      <w:pPr>
        <w:pBdr>
          <w:top w:val="none" w:color="auto" w:sz="0" w:space="1"/>
          <w:left w:val="none" w:color="auto" w:sz="0" w:space="4"/>
          <w:bottom w:val="none" w:color="auto" w:sz="0" w:space="0"/>
          <w:right w:val="none" w:color="auto" w:sz="0" w:space="4"/>
          <w:between w:val="none" w:color="auto" w:sz="0" w:space="0"/>
        </w:pBdr>
        <w:adjustRightInd/>
        <w:spacing w:line="336" w:lineRule="auto"/>
        <w:jc w:val="center"/>
        <w:rPr>
          <w:rFonts w:hint="eastAsia" w:ascii="Times New Roman" w:hAnsi="Times New Roman" w:eastAsia="方正小标宋简体"/>
          <w:b w:val="0"/>
          <w:bCs w:val="0"/>
          <w:sz w:val="44"/>
          <w:szCs w:val="44"/>
        </w:rPr>
      </w:pPr>
      <w:r>
        <w:rPr>
          <w:rFonts w:ascii="仿宋_GB2312" w:eastAsia="仿宋_GB2312"/>
          <w:sz w:val="32"/>
          <w:szCs w:val="32"/>
        </w:rPr>
        <mc:AlternateContent>
          <mc:Choice Requires="wps">
            <w:drawing>
              <wp:anchor distT="0" distB="0" distL="114300" distR="114300" simplePos="0" relativeHeight="251660288" behindDoc="0" locked="0" layoutInCell="1" allowOverlap="1">
                <wp:simplePos x="0" y="0"/>
                <wp:positionH relativeFrom="column">
                  <wp:posOffset>-47625</wp:posOffset>
                </wp:positionH>
                <wp:positionV relativeFrom="paragraph">
                  <wp:posOffset>137160</wp:posOffset>
                </wp:positionV>
                <wp:extent cx="5755640" cy="0"/>
                <wp:effectExtent l="0" t="13970" r="16510" b="24130"/>
                <wp:wrapSquare wrapText="bothSides"/>
                <wp:docPr id="5" name="直接连接符 5"/>
                <wp:cNvGraphicFramePr/>
                <a:graphic xmlns:a="http://schemas.openxmlformats.org/drawingml/2006/main">
                  <a:graphicData uri="http://schemas.microsoft.com/office/word/2010/wordprocessingShape">
                    <wps:wsp>
                      <wps:cNvCnPr/>
                      <wps:spPr>
                        <a:xfrm>
                          <a:off x="0" y="0"/>
                          <a:ext cx="5755640" cy="0"/>
                        </a:xfrm>
                        <a:prstGeom prst="line">
                          <a:avLst/>
                        </a:prstGeom>
                        <a:ln w="28575" cap="flat" cmpd="sng">
                          <a:solidFill>
                            <a:schemeClr val="bg1"/>
                          </a:solidFill>
                          <a:prstDash val="solid"/>
                          <a:round/>
                          <a:headEnd type="none" w="med" len="med"/>
                          <a:tailEnd type="none" w="med" len="med"/>
                        </a:ln>
                      </wps:spPr>
                      <wps:bodyPr upright="1"/>
                    </wps:wsp>
                  </a:graphicData>
                </a:graphic>
              </wp:anchor>
            </w:drawing>
          </mc:Choice>
          <mc:Fallback>
            <w:pict>
              <v:line id="_x0000_s1026" o:spid="_x0000_s1026" o:spt="20" style="position:absolute;left:0pt;margin-left:-3.75pt;margin-top:10.8pt;height:0pt;width:453.2pt;mso-wrap-distance-bottom:0pt;mso-wrap-distance-left:9pt;mso-wrap-distance-right:9pt;mso-wrap-distance-top:0pt;z-index:251660288;mso-width-relative:page;mso-height-relative:page;" filled="f" stroked="t" coordsize="21600,21600" o:gfxdata="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DgM1RLUAAAACAEAAA8AAAAAAAAAAQAgAAAAIgAAAGRycy9kb3ducmV2LnhtbFBL&#10;AQIUABQAAAAIAIdO4kCHQnzE+gEAAO8DAAAOAAAAAAAAAAEAIAAAACMBAABkcnMvZTJvRG9jLnht&#10;bFBLBQYAAAAABgAGAFkBAACPBQAAAAA=&#10;">
                <v:fill on="f" focussize="0,0"/>
                <v:stroke weight="2.25pt" color="#FFFFFF [3212]" joinstyle="round"/>
                <v:imagedata o:title=""/>
                <o:lock v:ext="edit" aspectratio="f"/>
                <w10:wrap type="square"/>
              </v:line>
            </w:pict>
          </mc:Fallback>
        </mc:AlternateContent>
      </w:r>
      <w:r>
        <w:rPr>
          <w:rFonts w:hint="eastAsia" w:ascii="Times New Roman" w:hAnsi="Times New Roman" w:eastAsia="方正小标宋简体"/>
          <w:b w:val="0"/>
          <w:bCs w:val="0"/>
          <w:sz w:val="44"/>
          <w:szCs w:val="44"/>
        </w:rPr>
        <w:t>湖南省文化和旅游厅</w:t>
      </w:r>
    </w:p>
    <w:p w14:paraId="481DA1FD">
      <w:pPr>
        <w:pStyle w:val="7"/>
        <w:keepNext w:val="0"/>
        <w:keepLines w:val="0"/>
        <w:pageBreakBefore w:val="0"/>
        <w:widowControl w:val="0"/>
        <w:kinsoku/>
        <w:wordWrap/>
        <w:overflowPunct/>
        <w:topLinePunct w:val="0"/>
        <w:autoSpaceDE/>
        <w:autoSpaceDN/>
        <w:bidi w:val="0"/>
        <w:adjustRightInd w:val="0"/>
        <w:snapToGrid w:val="0"/>
        <w:spacing w:after="0" w:line="264" w:lineRule="auto"/>
        <w:ind w:left="0" w:leftChars="0" w:right="0" w:rightChars="0" w:firstLine="0" w:firstLineChars="0"/>
        <w:jc w:val="center"/>
        <w:textAlignment w:val="auto"/>
        <w:rPr>
          <w:rFonts w:hint="eastAsia" w:ascii="Times New Roman" w:hAnsi="Times New Roman" w:eastAsia="方正小标宋简体" w:cs="方正小标宋简体"/>
          <w:kern w:val="2"/>
          <w:sz w:val="44"/>
          <w:szCs w:val="44"/>
          <w:lang w:val="en-US" w:eastAsia="zh-CN" w:bidi="ar"/>
        </w:rPr>
      </w:pPr>
      <w:r>
        <w:rPr>
          <w:rFonts w:hint="eastAsia" w:ascii="Times New Roman" w:hAnsi="Times New Roman" w:eastAsia="方正小标宋简体" w:cs="方正小标宋简体"/>
          <w:b/>
          <w:bCs/>
          <w:kern w:val="2"/>
          <w:sz w:val="44"/>
          <w:szCs w:val="44"/>
          <w:lang w:val="en-US" w:eastAsia="zh-CN" w:bidi="ar"/>
        </w:rPr>
        <w:t>202</w:t>
      </w:r>
      <w:r>
        <w:rPr>
          <w:rFonts w:hint="eastAsia" w:eastAsia="方正小标宋简体" w:cs="方正小标宋简体"/>
          <w:b/>
          <w:bCs/>
          <w:kern w:val="2"/>
          <w:sz w:val="44"/>
          <w:szCs w:val="44"/>
          <w:lang w:val="en-US" w:eastAsia="zh-CN" w:bidi="ar"/>
        </w:rPr>
        <w:t>5</w:t>
      </w:r>
      <w:r>
        <w:rPr>
          <w:rFonts w:hint="eastAsia" w:ascii="Times New Roman" w:hAnsi="Times New Roman" w:eastAsia="方正小标宋简体" w:cs="方正小标宋简体"/>
          <w:kern w:val="2"/>
          <w:sz w:val="44"/>
          <w:szCs w:val="44"/>
          <w:lang w:val="en-US" w:eastAsia="zh-CN" w:bidi="ar"/>
        </w:rPr>
        <w:t>年度</w:t>
      </w:r>
      <w:r>
        <w:rPr>
          <w:rFonts w:hint="eastAsia" w:eastAsia="方正小标宋简体" w:cs="方正小标宋简体"/>
          <w:kern w:val="2"/>
          <w:sz w:val="44"/>
          <w:szCs w:val="44"/>
          <w:lang w:val="en-US" w:eastAsia="zh-CN" w:bidi="ar"/>
        </w:rPr>
        <w:t>中央支持地方</w:t>
      </w:r>
      <w:r>
        <w:rPr>
          <w:rFonts w:hint="eastAsia" w:ascii="Times New Roman" w:hAnsi="Times New Roman" w:eastAsia="方正小标宋简体" w:cs="方正小标宋简体"/>
          <w:kern w:val="2"/>
          <w:sz w:val="44"/>
          <w:szCs w:val="44"/>
          <w:lang w:val="en-US" w:eastAsia="zh-CN" w:bidi="ar"/>
        </w:rPr>
        <w:t>公共文化服务体系</w:t>
      </w:r>
    </w:p>
    <w:p w14:paraId="40A5BF20">
      <w:pPr>
        <w:pStyle w:val="7"/>
        <w:keepNext w:val="0"/>
        <w:keepLines w:val="0"/>
        <w:pageBreakBefore w:val="0"/>
        <w:widowControl w:val="0"/>
        <w:kinsoku/>
        <w:wordWrap/>
        <w:overflowPunct/>
        <w:topLinePunct w:val="0"/>
        <w:autoSpaceDE/>
        <w:autoSpaceDN/>
        <w:bidi w:val="0"/>
        <w:adjustRightInd w:val="0"/>
        <w:snapToGrid w:val="0"/>
        <w:spacing w:after="0" w:line="264" w:lineRule="auto"/>
        <w:ind w:left="0" w:leftChars="0" w:right="0" w:rightChars="0" w:firstLine="0" w:firstLineChars="0"/>
        <w:jc w:val="center"/>
        <w:textAlignment w:val="auto"/>
        <w:rPr>
          <w:rFonts w:hint="eastAsia" w:ascii="Times New Roman" w:hAnsi="Times New Roman" w:eastAsia="方正小标宋简体" w:cs="Times New Roman"/>
          <w:kern w:val="2"/>
          <w:sz w:val="44"/>
          <w:szCs w:val="44"/>
        </w:rPr>
      </w:pPr>
      <w:r>
        <w:rPr>
          <w:rFonts w:hint="eastAsia" w:ascii="Times New Roman" w:hAnsi="Times New Roman" w:eastAsia="方正小标宋简体" w:cs="方正小标宋简体"/>
          <w:kern w:val="2"/>
          <w:sz w:val="44"/>
          <w:szCs w:val="44"/>
          <w:lang w:val="en-US" w:eastAsia="zh-CN" w:bidi="ar"/>
        </w:rPr>
        <w:t>建设补助资金绩效自评报告</w:t>
      </w:r>
    </w:p>
    <w:p w14:paraId="5DCE0231">
      <w:pPr>
        <w:keepNext w:val="0"/>
        <w:keepLines w:val="0"/>
        <w:pageBreakBefore w:val="0"/>
        <w:widowControl w:val="0"/>
        <w:suppressLineNumbers w:val="0"/>
        <w:kinsoku/>
        <w:wordWrap/>
        <w:overflowPunct/>
        <w:topLinePunct w:val="0"/>
        <w:autoSpaceDE w:val="0"/>
        <w:autoSpaceDN/>
        <w:bidi w:val="0"/>
        <w:adjustRightInd/>
        <w:snapToGrid w:val="0"/>
        <w:spacing w:before="0" w:beforeAutospacing="0" w:after="0" w:afterAutospacing="0" w:line="264" w:lineRule="auto"/>
        <w:ind w:left="0" w:right="0" w:firstLine="640" w:firstLineChars="200"/>
        <w:jc w:val="both"/>
        <w:textAlignment w:val="auto"/>
        <w:rPr>
          <w:rFonts w:hint="eastAsia" w:ascii="Times New Roman" w:hAnsi="Times New Roman" w:eastAsia="仿宋_GB2312" w:cs="Times New Roman"/>
          <w:kern w:val="2"/>
          <w:sz w:val="32"/>
          <w:szCs w:val="32"/>
        </w:rPr>
      </w:pPr>
    </w:p>
    <w:p w14:paraId="683373E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kern w:val="2"/>
          <w:sz w:val="32"/>
          <w:szCs w:val="32"/>
          <w:lang w:val="en-US" w:eastAsia="zh-CN" w:bidi="ar"/>
        </w:rPr>
        <w:t>根据</w:t>
      </w:r>
      <w:r>
        <w:rPr>
          <w:rFonts w:eastAsia="仿宋_GB2312"/>
          <w:color w:val="000000"/>
          <w:sz w:val="32"/>
          <w:szCs w:val="32"/>
        </w:rPr>
        <w:t>《财政部关于开展20</w:t>
      </w:r>
      <w:r>
        <w:rPr>
          <w:rFonts w:hint="eastAsia" w:eastAsia="仿宋_GB2312"/>
          <w:color w:val="000000"/>
          <w:sz w:val="32"/>
          <w:szCs w:val="32"/>
          <w:lang w:val="en-US" w:eastAsia="zh-CN"/>
        </w:rPr>
        <w:t>25</w:t>
      </w:r>
      <w:r>
        <w:rPr>
          <w:rFonts w:eastAsia="仿宋_GB2312"/>
          <w:color w:val="000000"/>
          <w:sz w:val="32"/>
          <w:szCs w:val="32"/>
        </w:rPr>
        <w:t>年度中央对地方转移支付预算执行情况绩效自评工作的通知》（财监〔202</w:t>
      </w:r>
      <w:r>
        <w:rPr>
          <w:rFonts w:hint="eastAsia" w:eastAsia="仿宋_GB2312"/>
          <w:color w:val="000000"/>
          <w:sz w:val="32"/>
          <w:szCs w:val="32"/>
          <w:lang w:val="en-US" w:eastAsia="zh-CN"/>
        </w:rPr>
        <w:t>6</w:t>
      </w:r>
      <w:r>
        <w:rPr>
          <w:rFonts w:eastAsia="仿宋_GB2312"/>
          <w:color w:val="000000"/>
          <w:sz w:val="32"/>
          <w:szCs w:val="32"/>
        </w:rPr>
        <w:t>〕</w:t>
      </w:r>
      <w:r>
        <w:rPr>
          <w:rFonts w:hint="eastAsia" w:eastAsia="仿宋_GB2312"/>
          <w:color w:val="000000"/>
          <w:sz w:val="32"/>
          <w:szCs w:val="32"/>
          <w:lang w:val="en-US" w:eastAsia="zh-CN"/>
        </w:rPr>
        <w:t>1</w:t>
      </w:r>
      <w:r>
        <w:rPr>
          <w:rFonts w:eastAsia="仿宋_GB2312"/>
          <w:color w:val="000000"/>
          <w:sz w:val="32"/>
          <w:szCs w:val="32"/>
        </w:rPr>
        <w:t>号）</w:t>
      </w:r>
      <w:r>
        <w:rPr>
          <w:rFonts w:hint="eastAsia" w:eastAsia="仿宋_GB2312"/>
          <w:color w:val="000000"/>
          <w:sz w:val="32"/>
          <w:szCs w:val="32"/>
          <w:lang w:eastAsia="zh-CN"/>
        </w:rPr>
        <w:t>、《湖南省财政厅关于做好2025年度全省中央转移支付资金绩效自评工作的通知》</w:t>
      </w:r>
      <w:r>
        <w:rPr>
          <w:rFonts w:eastAsia="仿宋_GB2312"/>
          <w:color w:val="000000"/>
          <w:sz w:val="32"/>
          <w:szCs w:val="32"/>
        </w:rPr>
        <w:t>（</w:t>
      </w:r>
      <w:r>
        <w:rPr>
          <w:rFonts w:hint="eastAsia" w:eastAsia="仿宋_GB2312"/>
          <w:color w:val="000000"/>
          <w:sz w:val="32"/>
          <w:szCs w:val="32"/>
          <w:lang w:eastAsia="zh-CN"/>
        </w:rPr>
        <w:t>湘</w:t>
      </w:r>
      <w:r>
        <w:rPr>
          <w:rFonts w:hint="eastAsia" w:eastAsia="仿宋_GB2312"/>
          <w:color w:val="000000"/>
          <w:sz w:val="32"/>
          <w:szCs w:val="32"/>
        </w:rPr>
        <w:t>财</w:t>
      </w:r>
      <w:r>
        <w:rPr>
          <w:rFonts w:hint="eastAsia" w:eastAsia="仿宋_GB2312"/>
          <w:color w:val="000000"/>
          <w:sz w:val="32"/>
          <w:szCs w:val="32"/>
          <w:lang w:eastAsia="zh-CN"/>
        </w:rPr>
        <w:t>绩</w:t>
      </w:r>
      <w:r>
        <w:rPr>
          <w:rFonts w:hint="eastAsia" w:eastAsia="仿宋_GB2312"/>
          <w:color w:val="000000"/>
          <w:sz w:val="32"/>
          <w:szCs w:val="32"/>
        </w:rPr>
        <w:t>〔2026〕1号</w:t>
      </w:r>
      <w:r>
        <w:rPr>
          <w:rFonts w:eastAsia="仿宋_GB2312"/>
          <w:color w:val="000000"/>
          <w:sz w:val="32"/>
          <w:szCs w:val="32"/>
        </w:rPr>
        <w:t>）</w:t>
      </w:r>
      <w:r>
        <w:rPr>
          <w:rFonts w:hint="eastAsia" w:eastAsia="仿宋_GB2312"/>
          <w:color w:val="000000"/>
          <w:sz w:val="32"/>
          <w:szCs w:val="32"/>
          <w:lang w:eastAsia="zh-CN"/>
        </w:rPr>
        <w:t>、《湖南省财政厅关于开展2025年度中央支持地方公共文化服务体系建设补助资金绩效评价的通知》</w:t>
      </w:r>
      <w:r>
        <w:rPr>
          <w:rFonts w:hint="eastAsia" w:ascii="Times New Roman" w:hAnsi="Times New Roman" w:eastAsia="仿宋_GB2312" w:cs="仿宋_GB2312"/>
          <w:kern w:val="2"/>
          <w:sz w:val="32"/>
          <w:szCs w:val="32"/>
          <w:lang w:val="en-US" w:eastAsia="zh-CN" w:bidi="ar"/>
        </w:rPr>
        <w:t>文件精神，我厅组织开展了</w:t>
      </w:r>
      <w:r>
        <w:rPr>
          <w:rFonts w:hint="default" w:ascii="Times New Roman" w:hAnsi="Times New Roman" w:eastAsia="仿宋_GB2312" w:cs="Times New Roman"/>
          <w:kern w:val="2"/>
          <w:sz w:val="32"/>
          <w:szCs w:val="32"/>
          <w:lang w:val="en-US" w:eastAsia="zh-CN" w:bidi="ar"/>
        </w:rPr>
        <w:t>202</w:t>
      </w:r>
      <w:r>
        <w:rPr>
          <w:rFonts w:hint="eastAsia" w:eastAsia="仿宋_GB2312" w:cs="Times New Roman"/>
          <w:kern w:val="2"/>
          <w:sz w:val="32"/>
          <w:szCs w:val="32"/>
          <w:lang w:val="en-US" w:eastAsia="zh-CN" w:bidi="ar"/>
        </w:rPr>
        <w:t>5</w:t>
      </w:r>
      <w:r>
        <w:rPr>
          <w:rFonts w:hint="eastAsia" w:ascii="Times New Roman" w:hAnsi="Times New Roman" w:eastAsia="仿宋_GB2312" w:cs="仿宋_GB2312"/>
          <w:kern w:val="2"/>
          <w:sz w:val="32"/>
          <w:szCs w:val="32"/>
          <w:lang w:val="en-US" w:eastAsia="zh-CN" w:bidi="ar"/>
        </w:rPr>
        <w:t>年度中央支持地方公共文化服务体系建设补助资金的绩效</w:t>
      </w:r>
      <w:r>
        <w:rPr>
          <w:rFonts w:hint="eastAsia" w:eastAsia="仿宋_GB2312" w:cs="仿宋_GB2312"/>
          <w:kern w:val="2"/>
          <w:sz w:val="32"/>
          <w:szCs w:val="32"/>
          <w:lang w:val="en-US" w:eastAsia="zh-CN" w:bidi="ar"/>
        </w:rPr>
        <w:t>自评</w:t>
      </w:r>
      <w:r>
        <w:rPr>
          <w:rFonts w:hint="eastAsia" w:ascii="Times New Roman" w:hAnsi="Times New Roman" w:eastAsia="仿宋_GB2312" w:cs="仿宋_GB2312"/>
          <w:kern w:val="2"/>
          <w:sz w:val="32"/>
          <w:szCs w:val="32"/>
          <w:lang w:val="en-US" w:eastAsia="zh-CN" w:bidi="ar"/>
        </w:rPr>
        <w:t>工作，现将评价情况报告如下：</w:t>
      </w:r>
    </w:p>
    <w:p w14:paraId="1AE0C9C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beforeAutospacing="0" w:afterAutospacing="0" w:line="560" w:lineRule="exact"/>
        <w:ind w:left="0" w:right="0" w:firstLine="640" w:firstLineChars="200"/>
        <w:jc w:val="both"/>
        <w:textAlignment w:val="auto"/>
        <w:rPr>
          <w:rFonts w:hint="default" w:ascii="Times New Roman" w:hAnsi="Times New Roman" w:eastAsia="黑体" w:cs="Times New Roman"/>
          <w:b w:val="0"/>
          <w:bCs/>
          <w:kern w:val="44"/>
          <w:sz w:val="32"/>
          <w:szCs w:val="32"/>
          <w:lang w:val="en-US" w:eastAsia="zh-CN"/>
        </w:rPr>
      </w:pPr>
      <w:r>
        <w:rPr>
          <w:rFonts w:hint="eastAsia" w:ascii="Times New Roman" w:hAnsi="Times New Roman" w:eastAsia="黑体" w:cs="黑体"/>
          <w:b w:val="0"/>
          <w:bCs/>
          <w:kern w:val="44"/>
          <w:sz w:val="32"/>
          <w:szCs w:val="32"/>
        </w:rPr>
        <w:t>一、</w:t>
      </w:r>
      <w:r>
        <w:rPr>
          <w:rFonts w:hint="eastAsia" w:eastAsia="黑体" w:cs="黑体"/>
          <w:b w:val="0"/>
          <w:bCs/>
          <w:kern w:val="44"/>
          <w:sz w:val="32"/>
          <w:szCs w:val="32"/>
          <w:lang w:val="en-US" w:eastAsia="zh-CN"/>
        </w:rPr>
        <w:t>绩效目标分解下达情况</w:t>
      </w:r>
    </w:p>
    <w:p w14:paraId="0DBCC043">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0" w:beforeAutospacing="0" w:after="0" w:afterAutospacing="0" w:line="560" w:lineRule="exact"/>
        <w:ind w:left="0" w:right="0" w:firstLine="643" w:firstLineChars="200"/>
        <w:textAlignment w:val="auto"/>
        <w:rPr>
          <w:rFonts w:hint="default" w:ascii="Times New Roman" w:hAnsi="Times New Roman" w:eastAsia="楷体_GB2312" w:cs="楷体_GB2312"/>
          <w:b/>
          <w:bCs w:val="0"/>
          <w:kern w:val="2"/>
          <w:sz w:val="32"/>
          <w:szCs w:val="32"/>
          <w:lang w:val="en-US" w:eastAsia="zh-CN"/>
        </w:rPr>
      </w:pPr>
      <w:r>
        <w:rPr>
          <w:rFonts w:hint="eastAsia" w:ascii="Times New Roman" w:hAnsi="Times New Roman" w:eastAsia="楷体_GB2312" w:cs="楷体_GB2312"/>
          <w:b/>
          <w:bCs w:val="0"/>
          <w:kern w:val="2"/>
          <w:sz w:val="32"/>
          <w:szCs w:val="32"/>
          <w:lang w:val="en-US" w:eastAsia="zh-CN"/>
        </w:rPr>
        <w:t>（一）中央下达转移支付预算和绩效目标情况</w:t>
      </w:r>
    </w:p>
    <w:p w14:paraId="4AF0E3A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eastAsia"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kern w:val="2"/>
          <w:sz w:val="32"/>
          <w:szCs w:val="32"/>
          <w:lang w:val="en-US" w:eastAsia="zh-CN" w:bidi="ar"/>
        </w:rPr>
        <w:t>2025年度中央下达我省公共文化服务体系建设补助资金</w:t>
      </w:r>
      <w:r>
        <w:rPr>
          <w:rFonts w:hint="eastAsia" w:eastAsia="仿宋_GB2312" w:cs="Times New Roman"/>
          <w:kern w:val="2"/>
          <w:sz w:val="32"/>
          <w:szCs w:val="32"/>
          <w:lang w:val="en-US" w:eastAsia="zh-CN" w:bidi="ar"/>
        </w:rPr>
        <w:t>103401</w:t>
      </w:r>
      <w:r>
        <w:rPr>
          <w:rFonts w:hint="eastAsia" w:ascii="Times New Roman" w:hAnsi="Times New Roman" w:eastAsia="仿宋_GB2312" w:cs="仿宋_GB2312"/>
          <w:kern w:val="2"/>
          <w:sz w:val="32"/>
          <w:szCs w:val="32"/>
          <w:lang w:val="en-US" w:eastAsia="zh-CN" w:bidi="ar"/>
        </w:rPr>
        <w:t>万元，中央明确绩效目标为：</w:t>
      </w:r>
      <w:r>
        <w:rPr>
          <w:rFonts w:hint="eastAsia" w:eastAsia="仿宋_GB2312" w:cs="仿宋_GB2312"/>
          <w:kern w:val="2"/>
          <w:sz w:val="32"/>
          <w:szCs w:val="32"/>
          <w:lang w:val="en-US" w:eastAsia="zh-CN" w:bidi="ar"/>
        </w:rPr>
        <w:t>引导和支持地方提供基本公共文化服务项目，改善基层公共文化体育设施条件，加强基层公共文化服务人才队伍建设等，支持加快构建现代公共文化服务体系，促进基本公共文化服务标准化、均等化，保障广大群众读书看报、收听广播、观看电视、观赏电影、进行文化鉴赏、开展文化体育活动等基本文化权益。其中，</w:t>
      </w:r>
      <w:r>
        <w:rPr>
          <w:rFonts w:hint="eastAsia" w:ascii="Times New Roman" w:hAnsi="Times New Roman" w:eastAsia="仿宋_GB2312" w:cs="仿宋_GB2312"/>
          <w:kern w:val="2"/>
          <w:sz w:val="32"/>
          <w:szCs w:val="32"/>
          <w:lang w:val="en-US" w:eastAsia="zh-CN" w:bidi="ar"/>
        </w:rPr>
        <w:t>省文化和旅游厅负责项目资金额度为</w:t>
      </w:r>
      <w:r>
        <w:rPr>
          <w:rFonts w:hint="eastAsia" w:eastAsia="仿宋_GB2312" w:cs="Times New Roman"/>
          <w:kern w:val="2"/>
          <w:sz w:val="32"/>
          <w:szCs w:val="32"/>
          <w:lang w:val="en-US" w:eastAsia="zh-CN" w:bidi="ar"/>
        </w:rPr>
        <w:t>8736</w:t>
      </w:r>
      <w:r>
        <w:rPr>
          <w:rFonts w:hint="eastAsia" w:ascii="Times New Roman" w:hAnsi="Times New Roman" w:eastAsia="仿宋_GB2312" w:cs="仿宋_GB2312"/>
          <w:kern w:val="2"/>
          <w:sz w:val="32"/>
          <w:szCs w:val="32"/>
          <w:lang w:val="en-US" w:eastAsia="zh-CN" w:bidi="ar"/>
        </w:rPr>
        <w:t>万元</w:t>
      </w:r>
      <w:r>
        <w:rPr>
          <w:rFonts w:hint="eastAsia" w:eastAsia="仿宋_GB2312" w:cs="仿宋_GB2312"/>
          <w:kern w:val="2"/>
          <w:sz w:val="32"/>
          <w:szCs w:val="32"/>
          <w:lang w:val="en-US" w:eastAsia="zh-CN" w:bidi="ar"/>
        </w:rPr>
        <w:t>，主要用于公共文化服务体系建设绩效奖励、一般项目、戏曲公益性演出项目（戏曲进乡村）、濒危剧种免费或低票价演出、智慧图书馆项目建设和公共文化云建设项目。</w:t>
      </w:r>
    </w:p>
    <w:p w14:paraId="707CC281">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0" w:beforeAutospacing="0" w:after="0" w:afterAutospacing="0" w:line="560" w:lineRule="exact"/>
        <w:ind w:left="0" w:right="0" w:firstLine="643" w:firstLineChars="200"/>
        <w:textAlignment w:val="auto"/>
        <w:rPr>
          <w:rFonts w:hint="default" w:ascii="Times New Roman" w:hAnsi="Times New Roman" w:eastAsia="楷体_GB2312" w:cs="楷体_GB2312"/>
          <w:b/>
          <w:bCs w:val="0"/>
          <w:kern w:val="2"/>
          <w:sz w:val="32"/>
          <w:szCs w:val="32"/>
          <w:lang w:val="en-US" w:eastAsia="zh-CN"/>
        </w:rPr>
      </w:pPr>
      <w:r>
        <w:rPr>
          <w:rFonts w:hint="eastAsia" w:ascii="Times New Roman" w:hAnsi="Times New Roman" w:eastAsia="楷体_GB2312" w:cs="楷体_GB2312"/>
          <w:b/>
          <w:bCs w:val="0"/>
          <w:kern w:val="2"/>
          <w:sz w:val="32"/>
          <w:szCs w:val="32"/>
          <w:lang w:val="en-US" w:eastAsia="zh-CN"/>
        </w:rPr>
        <w:t>（二）省内资金安排、分解下达预算和绩效目标情况</w:t>
      </w:r>
    </w:p>
    <w:p w14:paraId="0ECF4C0A">
      <w:pPr>
        <w:keepNext w:val="0"/>
        <w:keepLines w:val="0"/>
        <w:pageBreakBefore w:val="0"/>
        <w:widowControl w:val="0"/>
        <w:numPr>
          <w:ilvl w:val="0"/>
          <w:numId w:val="1"/>
        </w:numPr>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leftChars="0" w:right="0" w:firstLine="643" w:firstLineChars="200"/>
        <w:jc w:val="both"/>
        <w:textAlignment w:val="auto"/>
        <w:rPr>
          <w:rFonts w:hint="eastAsia" w:eastAsia="仿宋_GB2312" w:cs="仿宋_GB2312"/>
          <w:b/>
          <w:bCs/>
          <w:kern w:val="2"/>
          <w:sz w:val="32"/>
          <w:szCs w:val="32"/>
          <w:lang w:val="en-US" w:eastAsia="zh-CN" w:bidi="ar"/>
        </w:rPr>
      </w:pPr>
      <w:r>
        <w:rPr>
          <w:rFonts w:hint="eastAsia" w:eastAsia="仿宋_GB2312" w:cs="仿宋_GB2312"/>
          <w:b/>
          <w:bCs/>
          <w:kern w:val="2"/>
          <w:sz w:val="32"/>
          <w:szCs w:val="32"/>
          <w:lang w:val="en-US" w:eastAsia="zh-CN" w:bidi="ar"/>
        </w:rPr>
        <w:t>省内资金安排及分解下达情况</w:t>
      </w:r>
    </w:p>
    <w:p w14:paraId="54BBA7D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157" w:afterLines="50" w:afterAutospacing="0" w:line="560" w:lineRule="exact"/>
        <w:ind w:left="0" w:right="0" w:firstLine="640" w:firstLineChars="200"/>
        <w:jc w:val="both"/>
        <w:textAlignment w:val="auto"/>
        <w:rPr>
          <w:rFonts w:hint="eastAsia" w:eastAsia="仿宋_GB2312" w:cs="仿宋_GB2312"/>
          <w:kern w:val="2"/>
          <w:sz w:val="32"/>
          <w:szCs w:val="32"/>
          <w:lang w:val="en-US" w:eastAsia="zh-CN" w:bidi="ar"/>
        </w:rPr>
      </w:pPr>
      <w:r>
        <w:rPr>
          <w:rFonts w:hint="eastAsia" w:eastAsia="仿宋_GB2312" w:cs="仿宋_GB2312"/>
          <w:kern w:val="2"/>
          <w:sz w:val="32"/>
          <w:szCs w:val="32"/>
          <w:lang w:val="en-US" w:eastAsia="zh-CN" w:bidi="ar"/>
        </w:rPr>
        <w:t>2025年度，我省严格按照预算管理要求完成分解下达工作。本年度省内共安排省文化和旅游厅会同省财政厅，依据年度工作任务及项目库储备情况，拟定资金分配初步方案；按程序履行公示、征求意见及报批程序后，及时将资金拨付至各市（州）财政及相关项目实施单位，同步明确资金使用范围、管理规范及绩效目标，确保资金专款专用、及时到位（具体分配方案如下）。</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01"/>
        <w:gridCol w:w="1769"/>
        <w:gridCol w:w="4462"/>
      </w:tblGrid>
      <w:tr w14:paraId="0E737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2401" w:type="dxa"/>
            <w:vAlign w:val="center"/>
          </w:tcPr>
          <w:p w14:paraId="1E6F6ACF">
            <w:pPr>
              <w:keepNext w:val="0"/>
              <w:keepLines w:val="0"/>
              <w:pageBreakBefore w:val="0"/>
              <w:widowControl/>
              <w:suppressLineNumbers w:val="0"/>
              <w:kinsoku/>
              <w:wordWrap/>
              <w:overflowPunct/>
              <w:topLinePunct w:val="0"/>
              <w:autoSpaceDN/>
              <w:bidi w:val="0"/>
              <w:adjustRightInd/>
              <w:snapToGrid w:val="0"/>
              <w:spacing w:before="0" w:beforeAutospacing="0" w:after="0" w:afterAutospacing="0" w:line="360" w:lineRule="exact"/>
              <w:ind w:left="0" w:right="0"/>
              <w:jc w:val="center"/>
              <w:textAlignment w:val="center"/>
              <w:rPr>
                <w:rStyle w:val="14"/>
                <w:rFonts w:hint="default" w:ascii="Times New Roman" w:hAnsi="Times New Roman" w:eastAsia="仿宋_GB2312" w:cs="Times New Roman"/>
                <w:sz w:val="28"/>
                <w:szCs w:val="28"/>
              </w:rPr>
            </w:pPr>
            <w:r>
              <w:rPr>
                <w:rStyle w:val="14"/>
                <w:rFonts w:hint="default" w:ascii="Times New Roman" w:hAnsi="Times New Roman" w:eastAsia="仿宋_GB2312" w:cs="Times New Roman"/>
                <w:sz w:val="28"/>
                <w:szCs w:val="28"/>
                <w:lang w:val="en-US" w:eastAsia="zh-CN" w:bidi="ar"/>
              </w:rPr>
              <w:t>支持方向</w:t>
            </w:r>
          </w:p>
        </w:tc>
        <w:tc>
          <w:tcPr>
            <w:tcW w:w="1769" w:type="dxa"/>
            <w:vAlign w:val="center"/>
          </w:tcPr>
          <w:p w14:paraId="35F09D0D">
            <w:pPr>
              <w:keepNext w:val="0"/>
              <w:keepLines w:val="0"/>
              <w:pageBreakBefore w:val="0"/>
              <w:widowControl/>
              <w:suppressLineNumbers w:val="0"/>
              <w:kinsoku/>
              <w:wordWrap/>
              <w:overflowPunct/>
              <w:topLinePunct w:val="0"/>
              <w:autoSpaceDN/>
              <w:bidi w:val="0"/>
              <w:adjustRightInd/>
              <w:snapToGrid w:val="0"/>
              <w:spacing w:before="0" w:beforeAutospacing="0" w:after="0" w:afterAutospacing="0" w:line="360" w:lineRule="exact"/>
              <w:ind w:left="0" w:right="0"/>
              <w:jc w:val="center"/>
              <w:textAlignment w:val="center"/>
              <w:rPr>
                <w:rStyle w:val="14"/>
                <w:rFonts w:hint="default" w:ascii="Times New Roman" w:hAnsi="Times New Roman" w:eastAsia="仿宋_GB2312" w:cs="Times New Roman"/>
                <w:sz w:val="28"/>
                <w:szCs w:val="28"/>
              </w:rPr>
            </w:pPr>
            <w:r>
              <w:rPr>
                <w:rStyle w:val="14"/>
                <w:rFonts w:hint="default" w:ascii="Times New Roman" w:hAnsi="Times New Roman" w:eastAsia="仿宋_GB2312" w:cs="Times New Roman"/>
                <w:sz w:val="28"/>
                <w:szCs w:val="28"/>
                <w:lang w:val="en-US" w:eastAsia="zh-CN" w:bidi="ar"/>
              </w:rPr>
              <w:t>金额（万元）</w:t>
            </w:r>
          </w:p>
        </w:tc>
        <w:tc>
          <w:tcPr>
            <w:tcW w:w="4462" w:type="dxa"/>
            <w:vAlign w:val="center"/>
          </w:tcPr>
          <w:p w14:paraId="3FAF2BB8">
            <w:pPr>
              <w:keepNext w:val="0"/>
              <w:keepLines w:val="0"/>
              <w:pageBreakBefore w:val="0"/>
              <w:widowControl/>
              <w:suppressLineNumbers w:val="0"/>
              <w:kinsoku/>
              <w:wordWrap/>
              <w:overflowPunct/>
              <w:topLinePunct w:val="0"/>
              <w:autoSpaceDN/>
              <w:bidi w:val="0"/>
              <w:adjustRightInd/>
              <w:snapToGrid w:val="0"/>
              <w:spacing w:before="0" w:beforeAutospacing="0" w:after="0" w:afterAutospacing="0" w:line="360" w:lineRule="exact"/>
              <w:ind w:left="0" w:right="0"/>
              <w:jc w:val="center"/>
              <w:textAlignment w:val="center"/>
              <w:rPr>
                <w:rStyle w:val="14"/>
                <w:rFonts w:hint="default" w:ascii="Times New Roman" w:hAnsi="Times New Roman" w:eastAsia="仿宋_GB2312" w:cs="Times New Roman"/>
                <w:sz w:val="28"/>
                <w:szCs w:val="28"/>
              </w:rPr>
            </w:pPr>
            <w:r>
              <w:rPr>
                <w:rStyle w:val="14"/>
                <w:rFonts w:hint="default" w:ascii="Times New Roman" w:hAnsi="Times New Roman" w:eastAsia="仿宋_GB2312" w:cs="Times New Roman"/>
                <w:sz w:val="28"/>
                <w:szCs w:val="28"/>
                <w:lang w:val="en-US" w:eastAsia="zh-CN" w:bidi="ar"/>
              </w:rPr>
              <w:t>指标文号</w:t>
            </w:r>
          </w:p>
        </w:tc>
      </w:tr>
      <w:tr w14:paraId="7BB3A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jc w:val="center"/>
        </w:trPr>
        <w:tc>
          <w:tcPr>
            <w:tcW w:w="2401" w:type="dxa"/>
            <w:vAlign w:val="center"/>
          </w:tcPr>
          <w:p w14:paraId="22FC7B63">
            <w:pPr>
              <w:keepNext w:val="0"/>
              <w:keepLines w:val="0"/>
              <w:pageBreakBefore w:val="0"/>
              <w:widowControl/>
              <w:suppressLineNumbers w:val="0"/>
              <w:kinsoku/>
              <w:wordWrap/>
              <w:overflowPunct/>
              <w:topLinePunct w:val="0"/>
              <w:autoSpaceDN/>
              <w:bidi w:val="0"/>
              <w:adjustRightInd/>
              <w:snapToGrid w:val="0"/>
              <w:spacing w:before="0" w:beforeAutospacing="0" w:after="0" w:afterAutospacing="0" w:line="360" w:lineRule="exact"/>
              <w:ind w:left="0" w:right="0"/>
              <w:jc w:val="center"/>
              <w:textAlignment w:val="center"/>
              <w:rPr>
                <w:rStyle w:val="14"/>
                <w:rFonts w:hint="default" w:ascii="Times New Roman" w:hAnsi="Times New Roman" w:eastAsia="仿宋_GB2312" w:cs="Times New Roman"/>
                <w:sz w:val="28"/>
                <w:szCs w:val="28"/>
              </w:rPr>
            </w:pPr>
            <w:r>
              <w:rPr>
                <w:rStyle w:val="14"/>
                <w:rFonts w:hint="default" w:ascii="Times New Roman" w:hAnsi="Times New Roman" w:eastAsia="仿宋_GB2312" w:cs="Times New Roman"/>
                <w:sz w:val="28"/>
                <w:szCs w:val="28"/>
                <w:lang w:val="en-US" w:eastAsia="zh-CN" w:bidi="ar"/>
              </w:rPr>
              <w:t>一般项目</w:t>
            </w:r>
          </w:p>
        </w:tc>
        <w:tc>
          <w:tcPr>
            <w:tcW w:w="1769" w:type="dxa"/>
            <w:vAlign w:val="center"/>
          </w:tcPr>
          <w:p w14:paraId="28A27582">
            <w:pPr>
              <w:keepNext w:val="0"/>
              <w:keepLines w:val="0"/>
              <w:pageBreakBefore w:val="0"/>
              <w:widowControl/>
              <w:suppressLineNumbers w:val="0"/>
              <w:kinsoku/>
              <w:wordWrap/>
              <w:overflowPunct/>
              <w:topLinePunct w:val="0"/>
              <w:autoSpaceDN/>
              <w:bidi w:val="0"/>
              <w:adjustRightInd/>
              <w:snapToGrid w:val="0"/>
              <w:spacing w:before="0" w:beforeAutospacing="0" w:after="0" w:afterAutospacing="0" w:line="360" w:lineRule="exact"/>
              <w:ind w:left="0" w:right="0"/>
              <w:jc w:val="center"/>
              <w:textAlignment w:val="center"/>
              <w:rPr>
                <w:rStyle w:val="14"/>
                <w:rFonts w:hint="default" w:ascii="Times New Roman" w:hAnsi="Times New Roman" w:eastAsia="仿宋_GB2312" w:cs="Times New Roman"/>
                <w:sz w:val="28"/>
                <w:szCs w:val="28"/>
              </w:rPr>
            </w:pPr>
            <w:r>
              <w:rPr>
                <w:rStyle w:val="14"/>
                <w:rFonts w:hint="default" w:ascii="Times New Roman" w:hAnsi="Times New Roman" w:eastAsia="仿宋_GB2312" w:cs="Times New Roman"/>
                <w:sz w:val="28"/>
                <w:szCs w:val="28"/>
                <w:lang w:val="en-US" w:eastAsia="zh-CN" w:bidi="ar"/>
              </w:rPr>
              <w:t>2190</w:t>
            </w:r>
          </w:p>
        </w:tc>
        <w:tc>
          <w:tcPr>
            <w:tcW w:w="4462" w:type="dxa"/>
            <w:vAlign w:val="center"/>
          </w:tcPr>
          <w:p w14:paraId="064C7B17">
            <w:pPr>
              <w:keepNext w:val="0"/>
              <w:keepLines w:val="0"/>
              <w:pageBreakBefore w:val="0"/>
              <w:widowControl/>
              <w:suppressLineNumbers w:val="0"/>
              <w:kinsoku/>
              <w:wordWrap/>
              <w:overflowPunct/>
              <w:topLinePunct w:val="0"/>
              <w:autoSpaceDN/>
              <w:bidi w:val="0"/>
              <w:adjustRightInd/>
              <w:snapToGrid w:val="0"/>
              <w:spacing w:before="0" w:beforeAutospacing="0" w:after="0" w:afterAutospacing="0" w:line="360" w:lineRule="exact"/>
              <w:ind w:left="0" w:right="0"/>
              <w:jc w:val="center"/>
              <w:textAlignment w:val="center"/>
              <w:rPr>
                <w:rStyle w:val="14"/>
                <w:rFonts w:hint="default" w:ascii="Times New Roman" w:hAnsi="Times New Roman" w:eastAsia="仿宋_GB2312" w:cs="Times New Roman"/>
                <w:sz w:val="28"/>
                <w:szCs w:val="28"/>
                <w:lang w:bidi="ar"/>
              </w:rPr>
            </w:pPr>
            <w:r>
              <w:rPr>
                <w:rStyle w:val="14"/>
                <w:rFonts w:hint="default" w:ascii="Times New Roman" w:hAnsi="Times New Roman" w:eastAsia="仿宋_GB2312" w:cs="Times New Roman"/>
                <w:sz w:val="28"/>
                <w:szCs w:val="28"/>
                <w:lang w:bidi="ar"/>
              </w:rPr>
              <w:t>湘财文指[2024]81号；</w:t>
            </w:r>
          </w:p>
          <w:p w14:paraId="6CC815FC">
            <w:pPr>
              <w:keepNext w:val="0"/>
              <w:keepLines w:val="0"/>
              <w:pageBreakBefore w:val="0"/>
              <w:widowControl/>
              <w:suppressLineNumbers w:val="0"/>
              <w:kinsoku/>
              <w:wordWrap/>
              <w:overflowPunct/>
              <w:topLinePunct w:val="0"/>
              <w:autoSpaceDN/>
              <w:bidi w:val="0"/>
              <w:adjustRightInd/>
              <w:snapToGrid w:val="0"/>
              <w:spacing w:before="0" w:beforeAutospacing="0" w:after="0" w:afterAutospacing="0" w:line="360" w:lineRule="exact"/>
              <w:ind w:left="0" w:right="0"/>
              <w:jc w:val="center"/>
              <w:textAlignment w:val="center"/>
              <w:rPr>
                <w:rStyle w:val="14"/>
                <w:rFonts w:hint="default" w:ascii="Times New Roman" w:hAnsi="Times New Roman" w:eastAsia="仿宋_GB2312" w:cs="Times New Roman"/>
                <w:sz w:val="28"/>
                <w:szCs w:val="28"/>
              </w:rPr>
            </w:pPr>
            <w:r>
              <w:rPr>
                <w:rStyle w:val="14"/>
                <w:rFonts w:hint="default" w:ascii="Times New Roman" w:hAnsi="Times New Roman" w:eastAsia="仿宋_GB2312" w:cs="Times New Roman"/>
                <w:sz w:val="28"/>
                <w:szCs w:val="28"/>
                <w:lang w:bidi="ar"/>
              </w:rPr>
              <w:t>湘财文指[2025]53号</w:t>
            </w:r>
          </w:p>
        </w:tc>
      </w:tr>
      <w:tr w14:paraId="6D74F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jc w:val="center"/>
        </w:trPr>
        <w:tc>
          <w:tcPr>
            <w:tcW w:w="2401" w:type="dxa"/>
            <w:vAlign w:val="center"/>
          </w:tcPr>
          <w:p w14:paraId="6F9DE5B2">
            <w:pPr>
              <w:keepNext w:val="0"/>
              <w:keepLines w:val="0"/>
              <w:pageBreakBefore w:val="0"/>
              <w:widowControl/>
              <w:suppressLineNumbers w:val="0"/>
              <w:kinsoku/>
              <w:wordWrap/>
              <w:overflowPunct/>
              <w:topLinePunct w:val="0"/>
              <w:autoSpaceDN/>
              <w:bidi w:val="0"/>
              <w:adjustRightInd/>
              <w:snapToGrid w:val="0"/>
              <w:spacing w:before="0" w:beforeAutospacing="0" w:after="0" w:afterAutospacing="0" w:line="360" w:lineRule="exact"/>
              <w:ind w:left="0" w:right="0"/>
              <w:jc w:val="center"/>
              <w:textAlignment w:val="center"/>
              <w:rPr>
                <w:rStyle w:val="14"/>
                <w:rFonts w:hint="default" w:ascii="Times New Roman" w:hAnsi="Times New Roman" w:eastAsia="仿宋_GB2312" w:cs="Times New Roman"/>
                <w:sz w:val="28"/>
                <w:szCs w:val="28"/>
              </w:rPr>
            </w:pPr>
            <w:r>
              <w:rPr>
                <w:rStyle w:val="14"/>
                <w:rFonts w:hint="default" w:ascii="Times New Roman" w:hAnsi="Times New Roman" w:eastAsia="仿宋_GB2312" w:cs="Times New Roman"/>
                <w:sz w:val="28"/>
                <w:szCs w:val="28"/>
                <w:lang w:val="en-US" w:eastAsia="zh-CN" w:bidi="ar"/>
              </w:rPr>
              <w:t>绩效奖励</w:t>
            </w:r>
          </w:p>
        </w:tc>
        <w:tc>
          <w:tcPr>
            <w:tcW w:w="1769" w:type="dxa"/>
            <w:vAlign w:val="center"/>
          </w:tcPr>
          <w:p w14:paraId="3653B3B1">
            <w:pPr>
              <w:keepNext w:val="0"/>
              <w:keepLines w:val="0"/>
              <w:pageBreakBefore w:val="0"/>
              <w:widowControl/>
              <w:suppressLineNumbers w:val="0"/>
              <w:kinsoku/>
              <w:wordWrap/>
              <w:overflowPunct/>
              <w:topLinePunct w:val="0"/>
              <w:autoSpaceDN/>
              <w:bidi w:val="0"/>
              <w:adjustRightInd/>
              <w:snapToGrid w:val="0"/>
              <w:spacing w:before="0" w:beforeAutospacing="0" w:after="0" w:afterAutospacing="0" w:line="360" w:lineRule="exact"/>
              <w:ind w:left="0" w:right="0"/>
              <w:jc w:val="center"/>
              <w:textAlignment w:val="center"/>
              <w:rPr>
                <w:rStyle w:val="14"/>
                <w:rFonts w:hint="default" w:ascii="Times New Roman" w:hAnsi="Times New Roman" w:eastAsia="仿宋_GB2312" w:cs="Times New Roman"/>
                <w:sz w:val="28"/>
                <w:szCs w:val="28"/>
              </w:rPr>
            </w:pPr>
            <w:r>
              <w:rPr>
                <w:rStyle w:val="14"/>
                <w:rFonts w:hint="default" w:ascii="Times New Roman" w:hAnsi="Times New Roman" w:eastAsia="仿宋_GB2312" w:cs="Times New Roman"/>
                <w:sz w:val="28"/>
                <w:szCs w:val="28"/>
                <w:lang w:val="en-US" w:eastAsia="zh-CN"/>
              </w:rPr>
              <w:t>1972</w:t>
            </w:r>
          </w:p>
        </w:tc>
        <w:tc>
          <w:tcPr>
            <w:tcW w:w="4462" w:type="dxa"/>
            <w:vAlign w:val="center"/>
          </w:tcPr>
          <w:p w14:paraId="220CFB7E">
            <w:pPr>
              <w:keepNext w:val="0"/>
              <w:keepLines w:val="0"/>
              <w:pageBreakBefore w:val="0"/>
              <w:widowControl/>
              <w:suppressLineNumbers w:val="0"/>
              <w:kinsoku/>
              <w:wordWrap/>
              <w:overflowPunct/>
              <w:topLinePunct w:val="0"/>
              <w:autoSpaceDN/>
              <w:bidi w:val="0"/>
              <w:adjustRightInd/>
              <w:snapToGrid w:val="0"/>
              <w:spacing w:before="0" w:beforeAutospacing="0" w:after="0" w:afterAutospacing="0" w:line="360" w:lineRule="exact"/>
              <w:ind w:left="0" w:right="0"/>
              <w:jc w:val="center"/>
              <w:textAlignment w:val="center"/>
              <w:rPr>
                <w:rStyle w:val="14"/>
                <w:rFonts w:hint="default" w:ascii="Times New Roman" w:hAnsi="Times New Roman" w:eastAsia="仿宋_GB2312" w:cs="Times New Roman"/>
                <w:sz w:val="28"/>
                <w:szCs w:val="28"/>
              </w:rPr>
            </w:pPr>
            <w:r>
              <w:rPr>
                <w:rStyle w:val="14"/>
                <w:rFonts w:hint="default" w:ascii="Times New Roman" w:hAnsi="Times New Roman" w:eastAsia="仿宋_GB2312" w:cs="Times New Roman"/>
                <w:sz w:val="28"/>
                <w:szCs w:val="28"/>
              </w:rPr>
              <w:t>湘财文指[2024]81号</w:t>
            </w:r>
            <w:r>
              <w:rPr>
                <w:rStyle w:val="14"/>
                <w:rFonts w:hint="default" w:ascii="Times New Roman" w:hAnsi="Times New Roman" w:eastAsia="仿宋_GB2312" w:cs="Times New Roman"/>
                <w:sz w:val="28"/>
                <w:szCs w:val="28"/>
                <w:lang w:eastAsia="zh-CN"/>
              </w:rPr>
              <w:t>、湘财文指[2025]53号、湘财文指[2025]153号</w:t>
            </w:r>
          </w:p>
        </w:tc>
      </w:tr>
      <w:tr w14:paraId="371A3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2401" w:type="dxa"/>
            <w:vAlign w:val="center"/>
          </w:tcPr>
          <w:p w14:paraId="5C53F40B">
            <w:pPr>
              <w:keepNext w:val="0"/>
              <w:keepLines w:val="0"/>
              <w:pageBreakBefore w:val="0"/>
              <w:widowControl/>
              <w:suppressLineNumbers w:val="0"/>
              <w:kinsoku/>
              <w:wordWrap/>
              <w:overflowPunct/>
              <w:topLinePunct w:val="0"/>
              <w:autoSpaceDN/>
              <w:bidi w:val="0"/>
              <w:adjustRightInd/>
              <w:snapToGrid w:val="0"/>
              <w:spacing w:before="0" w:beforeAutospacing="0" w:after="0" w:afterAutospacing="0" w:line="360" w:lineRule="exact"/>
              <w:ind w:left="0" w:right="0"/>
              <w:jc w:val="center"/>
              <w:textAlignment w:val="center"/>
              <w:rPr>
                <w:rStyle w:val="14"/>
                <w:rFonts w:hint="default" w:ascii="Times New Roman" w:hAnsi="Times New Roman" w:eastAsia="仿宋_GB2312" w:cs="Times New Roman"/>
                <w:sz w:val="28"/>
                <w:szCs w:val="28"/>
                <w:lang w:val="en-US" w:eastAsia="zh-CN" w:bidi="ar"/>
              </w:rPr>
            </w:pPr>
            <w:r>
              <w:rPr>
                <w:rStyle w:val="14"/>
                <w:rFonts w:hint="default" w:ascii="Times New Roman" w:hAnsi="Times New Roman" w:eastAsia="仿宋_GB2312" w:cs="Times New Roman"/>
                <w:sz w:val="28"/>
                <w:szCs w:val="28"/>
                <w:lang w:val="en-US" w:eastAsia="zh-CN" w:bidi="ar"/>
              </w:rPr>
              <w:t>戏曲公益性演出项目</w:t>
            </w:r>
          </w:p>
        </w:tc>
        <w:tc>
          <w:tcPr>
            <w:tcW w:w="1769" w:type="dxa"/>
            <w:vAlign w:val="center"/>
          </w:tcPr>
          <w:p w14:paraId="33072824">
            <w:pPr>
              <w:keepNext w:val="0"/>
              <w:keepLines w:val="0"/>
              <w:pageBreakBefore w:val="0"/>
              <w:widowControl/>
              <w:suppressLineNumbers w:val="0"/>
              <w:kinsoku/>
              <w:wordWrap/>
              <w:overflowPunct/>
              <w:topLinePunct w:val="0"/>
              <w:autoSpaceDN/>
              <w:bidi w:val="0"/>
              <w:adjustRightInd/>
              <w:snapToGrid w:val="0"/>
              <w:spacing w:before="0" w:beforeAutospacing="0" w:after="0" w:afterAutospacing="0" w:line="360" w:lineRule="exact"/>
              <w:ind w:left="0" w:right="0"/>
              <w:jc w:val="center"/>
              <w:textAlignment w:val="center"/>
              <w:rPr>
                <w:rStyle w:val="14"/>
                <w:rFonts w:hint="default" w:ascii="Times New Roman" w:hAnsi="Times New Roman" w:eastAsia="仿宋_GB2312" w:cs="Times New Roman"/>
                <w:sz w:val="28"/>
                <w:szCs w:val="28"/>
                <w:lang w:bidi="ar"/>
              </w:rPr>
            </w:pPr>
            <w:r>
              <w:rPr>
                <w:rStyle w:val="14"/>
                <w:rFonts w:hint="default" w:ascii="Times New Roman" w:hAnsi="Times New Roman" w:eastAsia="仿宋_GB2312" w:cs="Times New Roman"/>
                <w:sz w:val="28"/>
                <w:szCs w:val="28"/>
                <w:lang w:val="en-US" w:eastAsia="zh-CN" w:bidi="ar"/>
              </w:rPr>
              <w:t>2814</w:t>
            </w:r>
          </w:p>
        </w:tc>
        <w:tc>
          <w:tcPr>
            <w:tcW w:w="4462" w:type="dxa"/>
            <w:vAlign w:val="center"/>
          </w:tcPr>
          <w:p w14:paraId="07287083">
            <w:pPr>
              <w:keepNext w:val="0"/>
              <w:keepLines w:val="0"/>
              <w:pageBreakBefore w:val="0"/>
              <w:widowControl/>
              <w:suppressLineNumbers w:val="0"/>
              <w:kinsoku/>
              <w:wordWrap/>
              <w:overflowPunct/>
              <w:topLinePunct w:val="0"/>
              <w:autoSpaceDN/>
              <w:bidi w:val="0"/>
              <w:adjustRightInd/>
              <w:snapToGrid w:val="0"/>
              <w:spacing w:before="0" w:beforeAutospacing="0" w:after="0" w:afterAutospacing="0" w:line="360" w:lineRule="exact"/>
              <w:ind w:left="0" w:right="0"/>
              <w:jc w:val="center"/>
              <w:textAlignment w:val="center"/>
              <w:rPr>
                <w:rStyle w:val="14"/>
                <w:rFonts w:hint="default" w:ascii="Times New Roman" w:hAnsi="Times New Roman" w:eastAsia="仿宋_GB2312" w:cs="Times New Roman"/>
                <w:sz w:val="28"/>
                <w:szCs w:val="28"/>
                <w:lang w:bidi="ar"/>
              </w:rPr>
            </w:pPr>
            <w:r>
              <w:rPr>
                <w:rStyle w:val="14"/>
                <w:rFonts w:hint="default" w:ascii="Times New Roman" w:hAnsi="Times New Roman" w:eastAsia="仿宋_GB2312" w:cs="Times New Roman"/>
                <w:sz w:val="28"/>
                <w:szCs w:val="28"/>
                <w:lang w:bidi="ar"/>
              </w:rPr>
              <w:t>湘财预[2024]411号</w:t>
            </w:r>
          </w:p>
        </w:tc>
      </w:tr>
      <w:tr w14:paraId="5D38B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4" w:hRule="atLeast"/>
          <w:jc w:val="center"/>
        </w:trPr>
        <w:tc>
          <w:tcPr>
            <w:tcW w:w="2401" w:type="dxa"/>
            <w:vAlign w:val="center"/>
          </w:tcPr>
          <w:p w14:paraId="4AF9BB3E">
            <w:pPr>
              <w:keepNext w:val="0"/>
              <w:keepLines w:val="0"/>
              <w:pageBreakBefore w:val="0"/>
              <w:widowControl/>
              <w:suppressLineNumbers w:val="0"/>
              <w:kinsoku/>
              <w:wordWrap/>
              <w:overflowPunct/>
              <w:topLinePunct w:val="0"/>
              <w:autoSpaceDN/>
              <w:bidi w:val="0"/>
              <w:adjustRightInd/>
              <w:snapToGrid w:val="0"/>
              <w:spacing w:before="0" w:beforeAutospacing="0" w:after="0" w:afterAutospacing="0" w:line="360" w:lineRule="exact"/>
              <w:ind w:left="0" w:right="0"/>
              <w:jc w:val="center"/>
              <w:textAlignment w:val="center"/>
              <w:rPr>
                <w:rStyle w:val="14"/>
                <w:rFonts w:hint="default" w:ascii="Times New Roman" w:hAnsi="Times New Roman" w:eastAsia="仿宋_GB2312" w:cs="Times New Roman"/>
                <w:sz w:val="28"/>
                <w:szCs w:val="28"/>
                <w:lang w:val="en-US" w:eastAsia="zh-CN" w:bidi="ar"/>
              </w:rPr>
            </w:pPr>
            <w:r>
              <w:rPr>
                <w:rStyle w:val="14"/>
                <w:rFonts w:hint="default" w:ascii="Times New Roman" w:hAnsi="Times New Roman" w:eastAsia="仿宋_GB2312" w:cs="Times New Roman"/>
                <w:sz w:val="28"/>
                <w:szCs w:val="28"/>
                <w:lang w:val="en-US" w:eastAsia="zh-CN" w:bidi="ar"/>
              </w:rPr>
              <w:t>智慧图书馆体系建设和公共文化云建设</w:t>
            </w:r>
          </w:p>
        </w:tc>
        <w:tc>
          <w:tcPr>
            <w:tcW w:w="1769" w:type="dxa"/>
            <w:vAlign w:val="center"/>
          </w:tcPr>
          <w:p w14:paraId="2F917CAD">
            <w:pPr>
              <w:keepNext w:val="0"/>
              <w:keepLines w:val="0"/>
              <w:pageBreakBefore w:val="0"/>
              <w:widowControl/>
              <w:suppressLineNumbers w:val="0"/>
              <w:kinsoku/>
              <w:wordWrap/>
              <w:overflowPunct/>
              <w:topLinePunct w:val="0"/>
              <w:autoSpaceDN/>
              <w:bidi w:val="0"/>
              <w:adjustRightInd/>
              <w:snapToGrid w:val="0"/>
              <w:spacing w:before="0" w:beforeAutospacing="0" w:after="0" w:afterAutospacing="0" w:line="360" w:lineRule="exact"/>
              <w:ind w:left="0" w:right="0"/>
              <w:jc w:val="center"/>
              <w:textAlignment w:val="center"/>
              <w:rPr>
                <w:rStyle w:val="14"/>
                <w:rFonts w:hint="default" w:ascii="Times New Roman" w:hAnsi="Times New Roman" w:eastAsia="仿宋_GB2312" w:cs="Times New Roman"/>
                <w:sz w:val="28"/>
                <w:szCs w:val="28"/>
                <w:lang w:bidi="ar"/>
              </w:rPr>
            </w:pPr>
            <w:r>
              <w:rPr>
                <w:rStyle w:val="14"/>
                <w:rFonts w:hint="default" w:ascii="Times New Roman" w:hAnsi="Times New Roman" w:eastAsia="仿宋_GB2312" w:cs="Times New Roman"/>
                <w:sz w:val="28"/>
                <w:szCs w:val="28"/>
                <w:lang w:val="en-US" w:eastAsia="zh-CN" w:bidi="ar"/>
              </w:rPr>
              <w:t>1760</w:t>
            </w:r>
          </w:p>
        </w:tc>
        <w:tc>
          <w:tcPr>
            <w:tcW w:w="4462" w:type="dxa"/>
            <w:vAlign w:val="center"/>
          </w:tcPr>
          <w:p w14:paraId="2A424617">
            <w:pPr>
              <w:keepNext w:val="0"/>
              <w:keepLines w:val="0"/>
              <w:pageBreakBefore w:val="0"/>
              <w:widowControl/>
              <w:suppressLineNumbers w:val="0"/>
              <w:kinsoku/>
              <w:wordWrap/>
              <w:overflowPunct/>
              <w:topLinePunct w:val="0"/>
              <w:autoSpaceDN/>
              <w:bidi w:val="0"/>
              <w:adjustRightInd/>
              <w:snapToGrid w:val="0"/>
              <w:spacing w:before="0" w:beforeAutospacing="0" w:after="0" w:afterAutospacing="0" w:line="360" w:lineRule="exact"/>
              <w:ind w:left="0" w:right="0"/>
              <w:jc w:val="center"/>
              <w:textAlignment w:val="center"/>
              <w:rPr>
                <w:rStyle w:val="14"/>
                <w:rFonts w:hint="default" w:ascii="Times New Roman" w:hAnsi="Times New Roman" w:eastAsia="仿宋_GB2312" w:cs="Times New Roman"/>
                <w:sz w:val="28"/>
                <w:szCs w:val="28"/>
                <w:lang w:bidi="ar"/>
              </w:rPr>
            </w:pPr>
            <w:r>
              <w:rPr>
                <w:rStyle w:val="14"/>
                <w:rFonts w:hint="default" w:ascii="Times New Roman" w:hAnsi="Times New Roman" w:eastAsia="仿宋_GB2312" w:cs="Times New Roman"/>
                <w:sz w:val="28"/>
                <w:szCs w:val="28"/>
                <w:lang w:bidi="ar"/>
              </w:rPr>
              <w:t>湘财预[2025]153号</w:t>
            </w:r>
            <w:r>
              <w:rPr>
                <w:rStyle w:val="14"/>
                <w:rFonts w:hint="default" w:ascii="Times New Roman" w:hAnsi="Times New Roman" w:eastAsia="仿宋_GB2312" w:cs="Times New Roman"/>
                <w:sz w:val="28"/>
                <w:szCs w:val="28"/>
                <w:lang w:eastAsia="zh-CN" w:bidi="ar"/>
              </w:rPr>
              <w:t>、湘财文指</w:t>
            </w:r>
            <w:r>
              <w:rPr>
                <w:rStyle w:val="14"/>
                <w:rFonts w:hint="default" w:ascii="Times New Roman" w:hAnsi="Times New Roman" w:eastAsia="仿宋_GB2312" w:cs="Times New Roman"/>
                <w:sz w:val="28"/>
                <w:szCs w:val="28"/>
                <w:lang w:bidi="ar"/>
              </w:rPr>
              <w:t>[</w:t>
            </w:r>
            <w:r>
              <w:rPr>
                <w:rStyle w:val="14"/>
                <w:rFonts w:hint="default" w:ascii="Times New Roman" w:hAnsi="Times New Roman" w:eastAsia="仿宋_GB2312" w:cs="Times New Roman"/>
                <w:sz w:val="28"/>
                <w:szCs w:val="28"/>
                <w:lang w:eastAsia="zh-CN" w:bidi="ar"/>
              </w:rPr>
              <w:t>2025]53号</w:t>
            </w:r>
          </w:p>
        </w:tc>
      </w:tr>
      <w:tr w14:paraId="2C1F3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2401" w:type="dxa"/>
            <w:vAlign w:val="center"/>
          </w:tcPr>
          <w:p w14:paraId="6A168499">
            <w:pPr>
              <w:keepNext w:val="0"/>
              <w:keepLines w:val="0"/>
              <w:pageBreakBefore w:val="0"/>
              <w:widowControl/>
              <w:suppressLineNumbers w:val="0"/>
              <w:kinsoku/>
              <w:wordWrap/>
              <w:overflowPunct/>
              <w:topLinePunct w:val="0"/>
              <w:autoSpaceDN/>
              <w:bidi w:val="0"/>
              <w:adjustRightInd/>
              <w:snapToGrid w:val="0"/>
              <w:spacing w:before="0" w:beforeAutospacing="0" w:after="0" w:afterAutospacing="0" w:line="360" w:lineRule="exact"/>
              <w:ind w:left="0" w:right="0"/>
              <w:jc w:val="center"/>
              <w:textAlignment w:val="center"/>
              <w:rPr>
                <w:rStyle w:val="14"/>
                <w:rFonts w:hint="default" w:ascii="Times New Roman" w:hAnsi="Times New Roman" w:eastAsia="仿宋_GB2312" w:cs="Times New Roman"/>
                <w:sz w:val="28"/>
                <w:szCs w:val="28"/>
                <w:lang w:val="en-US" w:eastAsia="zh-CN" w:bidi="ar"/>
              </w:rPr>
            </w:pPr>
            <w:r>
              <w:rPr>
                <w:rStyle w:val="14"/>
                <w:rFonts w:hint="eastAsia" w:eastAsia="仿宋_GB2312" w:cs="Times New Roman"/>
                <w:sz w:val="28"/>
                <w:szCs w:val="28"/>
                <w:lang w:val="en-US" w:eastAsia="zh-CN" w:bidi="ar"/>
              </w:rPr>
              <w:t>合计</w:t>
            </w:r>
          </w:p>
        </w:tc>
        <w:tc>
          <w:tcPr>
            <w:tcW w:w="1769" w:type="dxa"/>
            <w:vAlign w:val="center"/>
          </w:tcPr>
          <w:p w14:paraId="5E65DA96">
            <w:pPr>
              <w:keepNext w:val="0"/>
              <w:keepLines w:val="0"/>
              <w:pageBreakBefore w:val="0"/>
              <w:widowControl/>
              <w:suppressLineNumbers w:val="0"/>
              <w:kinsoku/>
              <w:wordWrap/>
              <w:overflowPunct/>
              <w:topLinePunct w:val="0"/>
              <w:autoSpaceDN/>
              <w:bidi w:val="0"/>
              <w:adjustRightInd/>
              <w:snapToGrid w:val="0"/>
              <w:spacing w:before="0" w:beforeAutospacing="0" w:after="0" w:afterAutospacing="0" w:line="360" w:lineRule="exact"/>
              <w:ind w:left="0" w:right="0"/>
              <w:jc w:val="center"/>
              <w:textAlignment w:val="center"/>
              <w:rPr>
                <w:rStyle w:val="14"/>
                <w:rFonts w:hint="default" w:ascii="Times New Roman" w:hAnsi="Times New Roman" w:eastAsia="仿宋_GB2312" w:cs="Times New Roman"/>
                <w:sz w:val="28"/>
                <w:szCs w:val="28"/>
                <w:lang w:val="en-US" w:eastAsia="zh-CN" w:bidi="ar"/>
              </w:rPr>
            </w:pPr>
            <w:r>
              <w:rPr>
                <w:rStyle w:val="14"/>
                <w:rFonts w:hint="default" w:ascii="Times New Roman" w:hAnsi="Times New Roman" w:eastAsia="仿宋_GB2312" w:cs="Times New Roman"/>
                <w:sz w:val="28"/>
                <w:szCs w:val="28"/>
                <w:lang w:val="en-US" w:eastAsia="zh-CN" w:bidi="ar"/>
              </w:rPr>
              <w:fldChar w:fldCharType="begin"/>
            </w:r>
            <w:r>
              <w:rPr>
                <w:rStyle w:val="14"/>
                <w:rFonts w:hint="default" w:ascii="Times New Roman" w:hAnsi="Times New Roman" w:eastAsia="仿宋_GB2312" w:cs="Times New Roman"/>
                <w:sz w:val="28"/>
                <w:szCs w:val="28"/>
                <w:lang w:val="en-US" w:eastAsia="zh-CN" w:bidi="ar"/>
              </w:rPr>
              <w:instrText xml:space="preserve"> = sum(B2:B5) \* MERGEFORMAT </w:instrText>
            </w:r>
            <w:r>
              <w:rPr>
                <w:rStyle w:val="14"/>
                <w:rFonts w:hint="default" w:ascii="Times New Roman" w:hAnsi="Times New Roman" w:eastAsia="仿宋_GB2312" w:cs="Times New Roman"/>
                <w:sz w:val="28"/>
                <w:szCs w:val="28"/>
                <w:lang w:val="en-US" w:eastAsia="zh-CN" w:bidi="ar"/>
              </w:rPr>
              <w:fldChar w:fldCharType="separate"/>
            </w:r>
            <w:r>
              <w:rPr>
                <w:rStyle w:val="14"/>
                <w:rFonts w:hint="default" w:ascii="Times New Roman" w:hAnsi="Times New Roman" w:eastAsia="仿宋_GB2312" w:cs="Times New Roman"/>
                <w:sz w:val="28"/>
                <w:szCs w:val="28"/>
                <w:lang w:val="en-US" w:eastAsia="zh-CN" w:bidi="ar"/>
              </w:rPr>
              <w:t>8736</w:t>
            </w:r>
            <w:r>
              <w:rPr>
                <w:rStyle w:val="14"/>
                <w:rFonts w:hint="default" w:ascii="Times New Roman" w:hAnsi="Times New Roman" w:eastAsia="仿宋_GB2312" w:cs="Times New Roman"/>
                <w:sz w:val="28"/>
                <w:szCs w:val="28"/>
                <w:lang w:val="en-US" w:eastAsia="zh-CN" w:bidi="ar"/>
              </w:rPr>
              <w:fldChar w:fldCharType="end"/>
            </w:r>
          </w:p>
        </w:tc>
        <w:tc>
          <w:tcPr>
            <w:tcW w:w="4462" w:type="dxa"/>
            <w:vAlign w:val="center"/>
          </w:tcPr>
          <w:p w14:paraId="44CFBD7B">
            <w:pPr>
              <w:keepNext w:val="0"/>
              <w:keepLines w:val="0"/>
              <w:pageBreakBefore w:val="0"/>
              <w:widowControl/>
              <w:suppressLineNumbers w:val="0"/>
              <w:kinsoku/>
              <w:wordWrap/>
              <w:overflowPunct/>
              <w:topLinePunct w:val="0"/>
              <w:autoSpaceDN/>
              <w:bidi w:val="0"/>
              <w:adjustRightInd/>
              <w:snapToGrid w:val="0"/>
              <w:spacing w:before="0" w:beforeAutospacing="0" w:after="0" w:afterAutospacing="0" w:line="360" w:lineRule="exact"/>
              <w:ind w:left="0" w:right="0"/>
              <w:jc w:val="center"/>
              <w:textAlignment w:val="center"/>
              <w:rPr>
                <w:rStyle w:val="14"/>
                <w:rFonts w:hint="default" w:ascii="Times New Roman" w:hAnsi="Times New Roman" w:eastAsia="仿宋_GB2312" w:cs="Times New Roman"/>
                <w:sz w:val="28"/>
                <w:szCs w:val="28"/>
                <w:lang w:bidi="ar"/>
              </w:rPr>
            </w:pPr>
          </w:p>
        </w:tc>
      </w:tr>
    </w:tbl>
    <w:p w14:paraId="2050B28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eastAsia" w:eastAsia="仿宋_GB2312" w:cs="仿宋_GB2312"/>
          <w:kern w:val="2"/>
          <w:sz w:val="32"/>
          <w:szCs w:val="32"/>
          <w:lang w:val="en-US" w:eastAsia="zh-CN" w:bidi="ar"/>
        </w:rPr>
      </w:pPr>
      <w:r>
        <w:rPr>
          <w:rFonts w:hint="eastAsia" w:eastAsia="仿宋_GB2312" w:cs="仿宋_GB2312"/>
          <w:kern w:val="2"/>
          <w:sz w:val="32"/>
          <w:szCs w:val="32"/>
          <w:lang w:val="en-US" w:eastAsia="zh-CN" w:bidi="ar"/>
        </w:rPr>
        <w:t>按照时间节点，中央支持地方公共文化服务体系建设补助资金</w:t>
      </w:r>
      <w:r>
        <w:rPr>
          <w:rFonts w:hint="eastAsia" w:eastAsia="仿宋_GB2312" w:cs="Times New Roman"/>
          <w:kern w:val="2"/>
          <w:sz w:val="32"/>
          <w:szCs w:val="32"/>
          <w:lang w:val="en-US" w:eastAsia="zh-CN" w:bidi="ar"/>
        </w:rPr>
        <w:t>8736</w:t>
      </w:r>
      <w:r>
        <w:rPr>
          <w:rFonts w:hint="eastAsia" w:eastAsia="仿宋_GB2312" w:cs="仿宋_GB2312"/>
          <w:kern w:val="2"/>
          <w:sz w:val="32"/>
          <w:szCs w:val="32"/>
          <w:lang w:val="en-US" w:eastAsia="zh-CN" w:bidi="ar"/>
        </w:rPr>
        <w:t>万元已100%分解下达至各相关主体。</w:t>
      </w:r>
    </w:p>
    <w:tbl>
      <w:tblPr>
        <w:tblStyle w:val="10"/>
        <w:tblW w:w="867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065"/>
        <w:gridCol w:w="3653"/>
        <w:gridCol w:w="2957"/>
      </w:tblGrid>
      <w:tr w14:paraId="40586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8B66A">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序号</w:t>
            </w:r>
          </w:p>
        </w:tc>
        <w:tc>
          <w:tcPr>
            <w:tcW w:w="3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4D546">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sz w:val="28"/>
                <w:szCs w:val="28"/>
                <w:u w:val="none"/>
              </w:rPr>
            </w:pPr>
            <w:r>
              <w:rPr>
                <w:rStyle w:val="14"/>
                <w:rFonts w:hint="default" w:ascii="Times New Roman" w:hAnsi="Times New Roman" w:eastAsia="仿宋_GB2312" w:cs="Times New Roman"/>
                <w:sz w:val="28"/>
                <w:szCs w:val="28"/>
                <w:lang w:val="en-US" w:eastAsia="zh-CN" w:bidi="ar"/>
              </w:rPr>
              <w:t>市州</w:t>
            </w:r>
          </w:p>
        </w:tc>
        <w:tc>
          <w:tcPr>
            <w:tcW w:w="2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67DE8">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sz w:val="28"/>
                <w:szCs w:val="28"/>
                <w:u w:val="none"/>
              </w:rPr>
            </w:pPr>
            <w:r>
              <w:rPr>
                <w:rStyle w:val="14"/>
                <w:rFonts w:hint="eastAsia" w:eastAsia="仿宋_GB2312" w:cs="Times New Roman"/>
                <w:sz w:val="28"/>
                <w:szCs w:val="28"/>
                <w:lang w:val="en-US" w:eastAsia="zh-CN" w:bidi="ar"/>
              </w:rPr>
              <w:t>金额（万元）</w:t>
            </w:r>
          </w:p>
        </w:tc>
      </w:tr>
      <w:tr w14:paraId="063EF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21442">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1</w:t>
            </w:r>
          </w:p>
        </w:tc>
        <w:tc>
          <w:tcPr>
            <w:tcW w:w="3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FB7A5">
            <w:pPr>
              <w:keepNext w:val="0"/>
              <w:keepLines w:val="0"/>
              <w:widowControl/>
              <w:suppressLineNumbers w:val="0"/>
              <w:snapToGrid w:val="0"/>
              <w:spacing w:line="360" w:lineRule="exact"/>
              <w:jc w:val="center"/>
              <w:textAlignment w:val="center"/>
              <w:rPr>
                <w:rStyle w:val="14"/>
                <w:sz w:val="28"/>
                <w:szCs w:val="28"/>
                <w:lang w:bidi="ar"/>
              </w:rPr>
            </w:pPr>
            <w:r>
              <w:rPr>
                <w:rStyle w:val="14"/>
                <w:rFonts w:hint="default" w:ascii="Times New Roman" w:hAnsi="Times New Roman" w:eastAsia="仿宋_GB2312" w:cs="Times New Roman"/>
                <w:sz w:val="28"/>
                <w:szCs w:val="28"/>
              </w:rPr>
              <w:t>湖南省文化和旅游厅</w:t>
            </w:r>
          </w:p>
        </w:tc>
        <w:tc>
          <w:tcPr>
            <w:tcW w:w="2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A55AD">
            <w:pPr>
              <w:keepNext w:val="0"/>
              <w:keepLines w:val="0"/>
              <w:widowControl/>
              <w:suppressLineNumbers w:val="0"/>
              <w:snapToGrid w:val="0"/>
              <w:spacing w:line="360" w:lineRule="exact"/>
              <w:jc w:val="center"/>
              <w:textAlignment w:val="center"/>
              <w:rPr>
                <w:rStyle w:val="14"/>
                <w:sz w:val="28"/>
                <w:szCs w:val="28"/>
                <w:lang w:bidi="ar"/>
              </w:rPr>
            </w:pPr>
            <w:r>
              <w:rPr>
                <w:rStyle w:val="14"/>
                <w:rFonts w:hint="default" w:ascii="Times New Roman" w:hAnsi="Times New Roman" w:eastAsia="仿宋_GB2312" w:cs="Times New Roman"/>
                <w:sz w:val="28"/>
                <w:szCs w:val="28"/>
              </w:rPr>
              <w:t>4493</w:t>
            </w:r>
          </w:p>
        </w:tc>
      </w:tr>
      <w:tr w14:paraId="304D3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CEFD2">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2</w:t>
            </w:r>
          </w:p>
        </w:tc>
        <w:tc>
          <w:tcPr>
            <w:tcW w:w="3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9796E">
            <w:pPr>
              <w:keepNext w:val="0"/>
              <w:keepLines w:val="0"/>
              <w:widowControl/>
              <w:suppressLineNumbers w:val="0"/>
              <w:snapToGrid w:val="0"/>
              <w:spacing w:line="360" w:lineRule="exact"/>
              <w:jc w:val="center"/>
              <w:textAlignment w:val="center"/>
              <w:rPr>
                <w:rStyle w:val="14"/>
                <w:sz w:val="28"/>
                <w:szCs w:val="28"/>
                <w:lang w:bidi="ar"/>
              </w:rPr>
            </w:pPr>
            <w:r>
              <w:rPr>
                <w:rStyle w:val="14"/>
                <w:rFonts w:hint="default" w:ascii="Times New Roman" w:hAnsi="Times New Roman" w:eastAsia="仿宋_GB2312" w:cs="Times New Roman"/>
                <w:sz w:val="28"/>
                <w:szCs w:val="28"/>
              </w:rPr>
              <w:t>长沙市</w:t>
            </w:r>
          </w:p>
        </w:tc>
        <w:tc>
          <w:tcPr>
            <w:tcW w:w="2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1A8FA">
            <w:pPr>
              <w:keepNext w:val="0"/>
              <w:keepLines w:val="0"/>
              <w:widowControl/>
              <w:suppressLineNumbers w:val="0"/>
              <w:snapToGrid w:val="0"/>
              <w:spacing w:line="360" w:lineRule="exact"/>
              <w:jc w:val="center"/>
              <w:textAlignment w:val="center"/>
              <w:rPr>
                <w:rStyle w:val="14"/>
                <w:sz w:val="28"/>
                <w:szCs w:val="28"/>
                <w:lang w:bidi="ar"/>
              </w:rPr>
            </w:pPr>
            <w:r>
              <w:rPr>
                <w:rStyle w:val="14"/>
                <w:rFonts w:hint="default" w:ascii="Times New Roman" w:hAnsi="Times New Roman" w:eastAsia="仿宋_GB2312" w:cs="Times New Roman"/>
                <w:sz w:val="28"/>
                <w:szCs w:val="28"/>
              </w:rPr>
              <w:t>110</w:t>
            </w:r>
          </w:p>
        </w:tc>
      </w:tr>
      <w:tr w14:paraId="55C8D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D8CEC">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3</w:t>
            </w:r>
          </w:p>
        </w:tc>
        <w:tc>
          <w:tcPr>
            <w:tcW w:w="3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F8971">
            <w:pPr>
              <w:keepNext w:val="0"/>
              <w:keepLines w:val="0"/>
              <w:widowControl/>
              <w:suppressLineNumbers w:val="0"/>
              <w:snapToGrid w:val="0"/>
              <w:spacing w:line="360" w:lineRule="exact"/>
              <w:jc w:val="center"/>
              <w:textAlignment w:val="center"/>
              <w:rPr>
                <w:rStyle w:val="14"/>
                <w:sz w:val="28"/>
                <w:szCs w:val="28"/>
                <w:lang w:bidi="ar"/>
              </w:rPr>
            </w:pPr>
            <w:r>
              <w:rPr>
                <w:rStyle w:val="14"/>
                <w:rFonts w:hint="default" w:ascii="Times New Roman" w:hAnsi="Times New Roman" w:eastAsia="仿宋_GB2312" w:cs="Times New Roman"/>
                <w:sz w:val="28"/>
                <w:szCs w:val="28"/>
              </w:rPr>
              <w:t>株洲市</w:t>
            </w:r>
          </w:p>
        </w:tc>
        <w:tc>
          <w:tcPr>
            <w:tcW w:w="2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19ED5">
            <w:pPr>
              <w:keepNext w:val="0"/>
              <w:keepLines w:val="0"/>
              <w:widowControl/>
              <w:suppressLineNumbers w:val="0"/>
              <w:snapToGrid w:val="0"/>
              <w:spacing w:line="360" w:lineRule="exact"/>
              <w:jc w:val="center"/>
              <w:textAlignment w:val="center"/>
              <w:rPr>
                <w:rStyle w:val="14"/>
                <w:sz w:val="28"/>
                <w:szCs w:val="28"/>
                <w:lang w:bidi="ar"/>
              </w:rPr>
            </w:pPr>
            <w:r>
              <w:rPr>
                <w:rStyle w:val="14"/>
                <w:rFonts w:hint="default" w:ascii="Times New Roman" w:hAnsi="Times New Roman" w:eastAsia="仿宋_GB2312" w:cs="Times New Roman"/>
                <w:sz w:val="28"/>
                <w:szCs w:val="28"/>
              </w:rPr>
              <w:t>155</w:t>
            </w:r>
          </w:p>
        </w:tc>
      </w:tr>
      <w:tr w14:paraId="2BFDD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C3C45">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4</w:t>
            </w:r>
          </w:p>
        </w:tc>
        <w:tc>
          <w:tcPr>
            <w:tcW w:w="3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C062B">
            <w:pPr>
              <w:keepNext w:val="0"/>
              <w:keepLines w:val="0"/>
              <w:widowControl/>
              <w:suppressLineNumbers w:val="0"/>
              <w:snapToGrid w:val="0"/>
              <w:spacing w:line="360" w:lineRule="exact"/>
              <w:jc w:val="center"/>
              <w:textAlignment w:val="center"/>
              <w:rPr>
                <w:rStyle w:val="14"/>
                <w:sz w:val="28"/>
                <w:szCs w:val="28"/>
                <w:lang w:bidi="ar"/>
              </w:rPr>
            </w:pPr>
            <w:r>
              <w:rPr>
                <w:rStyle w:val="14"/>
                <w:rFonts w:hint="default" w:ascii="Times New Roman" w:hAnsi="Times New Roman" w:eastAsia="仿宋_GB2312" w:cs="Times New Roman"/>
                <w:sz w:val="28"/>
                <w:szCs w:val="28"/>
              </w:rPr>
              <w:t>湘潭市</w:t>
            </w:r>
          </w:p>
        </w:tc>
        <w:tc>
          <w:tcPr>
            <w:tcW w:w="2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E7283">
            <w:pPr>
              <w:keepNext w:val="0"/>
              <w:keepLines w:val="0"/>
              <w:widowControl/>
              <w:suppressLineNumbers w:val="0"/>
              <w:snapToGrid w:val="0"/>
              <w:spacing w:line="360" w:lineRule="exact"/>
              <w:jc w:val="center"/>
              <w:textAlignment w:val="center"/>
              <w:rPr>
                <w:rStyle w:val="14"/>
                <w:sz w:val="28"/>
                <w:szCs w:val="28"/>
                <w:lang w:bidi="ar"/>
              </w:rPr>
            </w:pPr>
            <w:r>
              <w:rPr>
                <w:rStyle w:val="14"/>
                <w:rFonts w:hint="default" w:ascii="Times New Roman" w:hAnsi="Times New Roman" w:eastAsia="仿宋_GB2312" w:cs="Times New Roman"/>
                <w:sz w:val="28"/>
                <w:szCs w:val="28"/>
              </w:rPr>
              <w:t>14</w:t>
            </w:r>
          </w:p>
        </w:tc>
      </w:tr>
      <w:tr w14:paraId="579A5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0FCD9">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5</w:t>
            </w:r>
          </w:p>
        </w:tc>
        <w:tc>
          <w:tcPr>
            <w:tcW w:w="3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59A11">
            <w:pPr>
              <w:keepNext w:val="0"/>
              <w:keepLines w:val="0"/>
              <w:widowControl/>
              <w:suppressLineNumbers w:val="0"/>
              <w:snapToGrid w:val="0"/>
              <w:spacing w:line="360" w:lineRule="exact"/>
              <w:jc w:val="center"/>
              <w:textAlignment w:val="center"/>
              <w:rPr>
                <w:rStyle w:val="14"/>
                <w:sz w:val="28"/>
                <w:szCs w:val="28"/>
                <w:lang w:bidi="ar"/>
              </w:rPr>
            </w:pPr>
            <w:r>
              <w:rPr>
                <w:rStyle w:val="14"/>
                <w:rFonts w:hint="default" w:ascii="Times New Roman" w:hAnsi="Times New Roman" w:eastAsia="仿宋_GB2312" w:cs="Times New Roman"/>
                <w:sz w:val="28"/>
                <w:szCs w:val="28"/>
              </w:rPr>
              <w:t>衡阳市</w:t>
            </w:r>
          </w:p>
        </w:tc>
        <w:tc>
          <w:tcPr>
            <w:tcW w:w="2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942E9">
            <w:pPr>
              <w:keepNext w:val="0"/>
              <w:keepLines w:val="0"/>
              <w:widowControl/>
              <w:suppressLineNumbers w:val="0"/>
              <w:snapToGrid w:val="0"/>
              <w:spacing w:line="360" w:lineRule="exact"/>
              <w:jc w:val="center"/>
              <w:textAlignment w:val="center"/>
              <w:rPr>
                <w:rStyle w:val="14"/>
                <w:sz w:val="28"/>
                <w:szCs w:val="28"/>
                <w:lang w:bidi="ar"/>
              </w:rPr>
            </w:pPr>
            <w:r>
              <w:rPr>
                <w:rStyle w:val="14"/>
                <w:rFonts w:hint="default" w:ascii="Times New Roman" w:hAnsi="Times New Roman" w:eastAsia="仿宋_GB2312" w:cs="Times New Roman"/>
                <w:sz w:val="28"/>
                <w:szCs w:val="28"/>
              </w:rPr>
              <w:t>125</w:t>
            </w:r>
          </w:p>
        </w:tc>
      </w:tr>
      <w:tr w14:paraId="013EE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3B8C3">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6</w:t>
            </w:r>
          </w:p>
        </w:tc>
        <w:tc>
          <w:tcPr>
            <w:tcW w:w="3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57653">
            <w:pPr>
              <w:keepNext w:val="0"/>
              <w:keepLines w:val="0"/>
              <w:widowControl/>
              <w:suppressLineNumbers w:val="0"/>
              <w:snapToGrid w:val="0"/>
              <w:spacing w:line="360" w:lineRule="exact"/>
              <w:jc w:val="center"/>
              <w:textAlignment w:val="center"/>
              <w:rPr>
                <w:rStyle w:val="14"/>
                <w:sz w:val="28"/>
                <w:szCs w:val="28"/>
                <w:lang w:bidi="ar"/>
              </w:rPr>
            </w:pPr>
            <w:r>
              <w:rPr>
                <w:rStyle w:val="14"/>
                <w:rFonts w:hint="default" w:ascii="Times New Roman" w:hAnsi="Times New Roman" w:eastAsia="仿宋_GB2312" w:cs="Times New Roman"/>
                <w:sz w:val="28"/>
                <w:szCs w:val="28"/>
              </w:rPr>
              <w:t>岳阳市</w:t>
            </w:r>
          </w:p>
        </w:tc>
        <w:tc>
          <w:tcPr>
            <w:tcW w:w="2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8A7DA">
            <w:pPr>
              <w:keepNext w:val="0"/>
              <w:keepLines w:val="0"/>
              <w:widowControl/>
              <w:suppressLineNumbers w:val="0"/>
              <w:snapToGrid w:val="0"/>
              <w:spacing w:line="360" w:lineRule="exact"/>
              <w:jc w:val="center"/>
              <w:textAlignment w:val="center"/>
              <w:rPr>
                <w:rStyle w:val="14"/>
                <w:sz w:val="28"/>
                <w:szCs w:val="28"/>
                <w:lang w:bidi="ar"/>
              </w:rPr>
            </w:pPr>
            <w:r>
              <w:rPr>
                <w:rStyle w:val="14"/>
                <w:rFonts w:hint="default" w:ascii="Times New Roman" w:hAnsi="Times New Roman" w:eastAsia="仿宋_GB2312" w:cs="Times New Roman"/>
                <w:sz w:val="28"/>
                <w:szCs w:val="28"/>
              </w:rPr>
              <w:t>171</w:t>
            </w:r>
          </w:p>
        </w:tc>
      </w:tr>
      <w:tr w14:paraId="0B7C6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DE076">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7</w:t>
            </w:r>
          </w:p>
        </w:tc>
        <w:tc>
          <w:tcPr>
            <w:tcW w:w="3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F0FE8">
            <w:pPr>
              <w:keepNext w:val="0"/>
              <w:keepLines w:val="0"/>
              <w:widowControl/>
              <w:suppressLineNumbers w:val="0"/>
              <w:snapToGrid w:val="0"/>
              <w:spacing w:line="360" w:lineRule="exact"/>
              <w:jc w:val="center"/>
              <w:textAlignment w:val="center"/>
              <w:rPr>
                <w:rStyle w:val="14"/>
                <w:sz w:val="28"/>
                <w:szCs w:val="28"/>
                <w:lang w:bidi="ar"/>
              </w:rPr>
            </w:pPr>
            <w:r>
              <w:rPr>
                <w:rStyle w:val="14"/>
                <w:rFonts w:hint="default" w:ascii="Times New Roman" w:hAnsi="Times New Roman" w:eastAsia="仿宋_GB2312" w:cs="Times New Roman"/>
                <w:sz w:val="28"/>
                <w:szCs w:val="28"/>
              </w:rPr>
              <w:t>常德市</w:t>
            </w:r>
          </w:p>
        </w:tc>
        <w:tc>
          <w:tcPr>
            <w:tcW w:w="2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B90B4">
            <w:pPr>
              <w:keepNext w:val="0"/>
              <w:keepLines w:val="0"/>
              <w:widowControl/>
              <w:suppressLineNumbers w:val="0"/>
              <w:snapToGrid w:val="0"/>
              <w:spacing w:line="360" w:lineRule="exact"/>
              <w:jc w:val="center"/>
              <w:textAlignment w:val="center"/>
              <w:rPr>
                <w:rStyle w:val="14"/>
                <w:sz w:val="28"/>
                <w:szCs w:val="28"/>
                <w:lang w:bidi="ar"/>
              </w:rPr>
            </w:pPr>
            <w:r>
              <w:rPr>
                <w:rStyle w:val="14"/>
                <w:rFonts w:hint="default" w:ascii="Times New Roman" w:hAnsi="Times New Roman" w:eastAsia="仿宋_GB2312" w:cs="Times New Roman"/>
                <w:sz w:val="28"/>
                <w:szCs w:val="28"/>
              </w:rPr>
              <w:t>157</w:t>
            </w:r>
          </w:p>
        </w:tc>
      </w:tr>
      <w:tr w14:paraId="7BE9D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EFA9B">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8</w:t>
            </w:r>
          </w:p>
        </w:tc>
        <w:tc>
          <w:tcPr>
            <w:tcW w:w="3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434BA">
            <w:pPr>
              <w:keepNext w:val="0"/>
              <w:keepLines w:val="0"/>
              <w:widowControl/>
              <w:suppressLineNumbers w:val="0"/>
              <w:snapToGrid w:val="0"/>
              <w:spacing w:line="360" w:lineRule="exact"/>
              <w:jc w:val="center"/>
              <w:textAlignment w:val="center"/>
              <w:rPr>
                <w:rStyle w:val="14"/>
                <w:sz w:val="28"/>
                <w:szCs w:val="28"/>
                <w:lang w:bidi="ar"/>
              </w:rPr>
            </w:pPr>
            <w:r>
              <w:rPr>
                <w:rStyle w:val="14"/>
                <w:rFonts w:hint="default" w:ascii="Times New Roman" w:hAnsi="Times New Roman" w:eastAsia="仿宋_GB2312" w:cs="Times New Roman"/>
                <w:sz w:val="28"/>
                <w:szCs w:val="28"/>
              </w:rPr>
              <w:t>郴州市</w:t>
            </w:r>
          </w:p>
        </w:tc>
        <w:tc>
          <w:tcPr>
            <w:tcW w:w="2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D3EFB">
            <w:pPr>
              <w:keepNext w:val="0"/>
              <w:keepLines w:val="0"/>
              <w:widowControl/>
              <w:suppressLineNumbers w:val="0"/>
              <w:snapToGrid w:val="0"/>
              <w:spacing w:line="360" w:lineRule="exact"/>
              <w:jc w:val="center"/>
              <w:textAlignment w:val="center"/>
              <w:rPr>
                <w:rStyle w:val="14"/>
                <w:sz w:val="28"/>
                <w:szCs w:val="28"/>
                <w:lang w:bidi="ar"/>
              </w:rPr>
            </w:pPr>
            <w:r>
              <w:rPr>
                <w:rStyle w:val="14"/>
                <w:rFonts w:hint="default" w:ascii="Times New Roman" w:hAnsi="Times New Roman" w:eastAsia="仿宋_GB2312" w:cs="Times New Roman"/>
                <w:sz w:val="28"/>
                <w:szCs w:val="28"/>
              </w:rPr>
              <w:t>329</w:t>
            </w:r>
          </w:p>
        </w:tc>
      </w:tr>
      <w:tr w14:paraId="2A892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14266">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9</w:t>
            </w:r>
          </w:p>
        </w:tc>
        <w:tc>
          <w:tcPr>
            <w:tcW w:w="3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5B265">
            <w:pPr>
              <w:keepNext w:val="0"/>
              <w:keepLines w:val="0"/>
              <w:widowControl/>
              <w:suppressLineNumbers w:val="0"/>
              <w:snapToGrid w:val="0"/>
              <w:spacing w:line="360" w:lineRule="exact"/>
              <w:jc w:val="center"/>
              <w:textAlignment w:val="center"/>
              <w:rPr>
                <w:rStyle w:val="14"/>
                <w:sz w:val="28"/>
                <w:szCs w:val="28"/>
                <w:lang w:bidi="ar"/>
              </w:rPr>
            </w:pPr>
            <w:r>
              <w:rPr>
                <w:rStyle w:val="14"/>
                <w:rFonts w:hint="default" w:ascii="Times New Roman" w:hAnsi="Times New Roman" w:eastAsia="仿宋_GB2312" w:cs="Times New Roman"/>
                <w:sz w:val="28"/>
                <w:szCs w:val="28"/>
              </w:rPr>
              <w:t>娄底市</w:t>
            </w:r>
          </w:p>
        </w:tc>
        <w:tc>
          <w:tcPr>
            <w:tcW w:w="2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E619C">
            <w:pPr>
              <w:keepNext w:val="0"/>
              <w:keepLines w:val="0"/>
              <w:widowControl/>
              <w:suppressLineNumbers w:val="0"/>
              <w:snapToGrid w:val="0"/>
              <w:spacing w:line="360" w:lineRule="exact"/>
              <w:jc w:val="center"/>
              <w:textAlignment w:val="center"/>
              <w:rPr>
                <w:rStyle w:val="14"/>
                <w:sz w:val="28"/>
                <w:szCs w:val="28"/>
                <w:lang w:bidi="ar"/>
              </w:rPr>
            </w:pPr>
            <w:r>
              <w:rPr>
                <w:rStyle w:val="14"/>
                <w:rFonts w:hint="default" w:ascii="Times New Roman" w:hAnsi="Times New Roman" w:eastAsia="仿宋_GB2312" w:cs="Times New Roman"/>
                <w:sz w:val="28"/>
                <w:szCs w:val="28"/>
              </w:rPr>
              <w:t>178</w:t>
            </w:r>
          </w:p>
        </w:tc>
      </w:tr>
      <w:tr w14:paraId="418F1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E7F43">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10</w:t>
            </w:r>
          </w:p>
        </w:tc>
        <w:tc>
          <w:tcPr>
            <w:tcW w:w="3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91756">
            <w:pPr>
              <w:keepNext w:val="0"/>
              <w:keepLines w:val="0"/>
              <w:widowControl/>
              <w:suppressLineNumbers w:val="0"/>
              <w:snapToGrid w:val="0"/>
              <w:spacing w:line="360" w:lineRule="exact"/>
              <w:jc w:val="center"/>
              <w:textAlignment w:val="center"/>
              <w:rPr>
                <w:rStyle w:val="14"/>
                <w:sz w:val="28"/>
                <w:szCs w:val="28"/>
                <w:lang w:bidi="ar"/>
              </w:rPr>
            </w:pPr>
            <w:r>
              <w:rPr>
                <w:rStyle w:val="14"/>
                <w:rFonts w:hint="default" w:ascii="Times New Roman" w:hAnsi="Times New Roman" w:eastAsia="仿宋_GB2312" w:cs="Times New Roman"/>
                <w:sz w:val="28"/>
                <w:szCs w:val="28"/>
              </w:rPr>
              <w:t>邵阳市</w:t>
            </w:r>
          </w:p>
        </w:tc>
        <w:tc>
          <w:tcPr>
            <w:tcW w:w="2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72273">
            <w:pPr>
              <w:keepNext w:val="0"/>
              <w:keepLines w:val="0"/>
              <w:widowControl/>
              <w:suppressLineNumbers w:val="0"/>
              <w:snapToGrid w:val="0"/>
              <w:spacing w:line="360" w:lineRule="exact"/>
              <w:jc w:val="center"/>
              <w:textAlignment w:val="center"/>
              <w:rPr>
                <w:rStyle w:val="14"/>
                <w:sz w:val="28"/>
                <w:szCs w:val="28"/>
                <w:lang w:bidi="ar"/>
              </w:rPr>
            </w:pPr>
            <w:r>
              <w:rPr>
                <w:rStyle w:val="14"/>
                <w:rFonts w:hint="default" w:ascii="Times New Roman" w:hAnsi="Times New Roman" w:eastAsia="仿宋_GB2312" w:cs="Times New Roman"/>
                <w:sz w:val="28"/>
                <w:szCs w:val="28"/>
              </w:rPr>
              <w:t>746</w:t>
            </w:r>
          </w:p>
        </w:tc>
      </w:tr>
      <w:tr w14:paraId="4DDEE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5BCBD">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11</w:t>
            </w:r>
          </w:p>
        </w:tc>
        <w:tc>
          <w:tcPr>
            <w:tcW w:w="3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CA6E6">
            <w:pPr>
              <w:keepNext w:val="0"/>
              <w:keepLines w:val="0"/>
              <w:widowControl/>
              <w:suppressLineNumbers w:val="0"/>
              <w:snapToGrid w:val="0"/>
              <w:spacing w:line="360" w:lineRule="exact"/>
              <w:jc w:val="center"/>
              <w:textAlignment w:val="center"/>
              <w:rPr>
                <w:rStyle w:val="14"/>
                <w:sz w:val="28"/>
                <w:szCs w:val="28"/>
                <w:lang w:bidi="ar"/>
              </w:rPr>
            </w:pPr>
            <w:r>
              <w:rPr>
                <w:rStyle w:val="14"/>
                <w:rFonts w:hint="default" w:ascii="Times New Roman" w:hAnsi="Times New Roman" w:eastAsia="仿宋_GB2312" w:cs="Times New Roman"/>
                <w:sz w:val="28"/>
                <w:szCs w:val="28"/>
              </w:rPr>
              <w:t>益阳市</w:t>
            </w:r>
          </w:p>
        </w:tc>
        <w:tc>
          <w:tcPr>
            <w:tcW w:w="2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8703C">
            <w:pPr>
              <w:keepNext w:val="0"/>
              <w:keepLines w:val="0"/>
              <w:widowControl/>
              <w:suppressLineNumbers w:val="0"/>
              <w:snapToGrid w:val="0"/>
              <w:spacing w:line="360" w:lineRule="exact"/>
              <w:jc w:val="center"/>
              <w:textAlignment w:val="center"/>
              <w:rPr>
                <w:rStyle w:val="14"/>
                <w:sz w:val="28"/>
                <w:szCs w:val="28"/>
                <w:lang w:bidi="ar"/>
              </w:rPr>
            </w:pPr>
            <w:r>
              <w:rPr>
                <w:rStyle w:val="14"/>
                <w:rFonts w:hint="default" w:ascii="Times New Roman" w:hAnsi="Times New Roman" w:eastAsia="仿宋_GB2312" w:cs="Times New Roman"/>
                <w:sz w:val="28"/>
                <w:szCs w:val="28"/>
              </w:rPr>
              <w:t>99</w:t>
            </w:r>
          </w:p>
        </w:tc>
      </w:tr>
      <w:tr w14:paraId="5EB61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69D70">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12</w:t>
            </w:r>
          </w:p>
        </w:tc>
        <w:tc>
          <w:tcPr>
            <w:tcW w:w="3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A6C54">
            <w:pPr>
              <w:keepNext w:val="0"/>
              <w:keepLines w:val="0"/>
              <w:widowControl/>
              <w:suppressLineNumbers w:val="0"/>
              <w:snapToGrid w:val="0"/>
              <w:spacing w:line="360" w:lineRule="exact"/>
              <w:jc w:val="center"/>
              <w:textAlignment w:val="center"/>
              <w:rPr>
                <w:rStyle w:val="14"/>
                <w:sz w:val="28"/>
                <w:szCs w:val="28"/>
                <w:lang w:bidi="ar"/>
              </w:rPr>
            </w:pPr>
            <w:r>
              <w:rPr>
                <w:rStyle w:val="14"/>
                <w:rFonts w:hint="default" w:ascii="Times New Roman" w:hAnsi="Times New Roman" w:eastAsia="仿宋_GB2312" w:cs="Times New Roman"/>
                <w:sz w:val="28"/>
                <w:szCs w:val="28"/>
              </w:rPr>
              <w:t>永州市</w:t>
            </w:r>
          </w:p>
        </w:tc>
        <w:tc>
          <w:tcPr>
            <w:tcW w:w="2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89EB1">
            <w:pPr>
              <w:keepNext w:val="0"/>
              <w:keepLines w:val="0"/>
              <w:widowControl/>
              <w:suppressLineNumbers w:val="0"/>
              <w:snapToGrid w:val="0"/>
              <w:spacing w:line="360" w:lineRule="exact"/>
              <w:jc w:val="center"/>
              <w:textAlignment w:val="center"/>
              <w:rPr>
                <w:rStyle w:val="14"/>
                <w:sz w:val="28"/>
                <w:szCs w:val="28"/>
                <w:lang w:bidi="ar"/>
              </w:rPr>
            </w:pPr>
            <w:r>
              <w:rPr>
                <w:rStyle w:val="14"/>
                <w:rFonts w:hint="default" w:ascii="Times New Roman" w:hAnsi="Times New Roman" w:eastAsia="仿宋_GB2312" w:cs="Times New Roman"/>
                <w:sz w:val="28"/>
                <w:szCs w:val="28"/>
              </w:rPr>
              <w:t>233</w:t>
            </w:r>
          </w:p>
        </w:tc>
      </w:tr>
      <w:tr w14:paraId="694B8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A7636">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13</w:t>
            </w:r>
          </w:p>
        </w:tc>
        <w:tc>
          <w:tcPr>
            <w:tcW w:w="3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753C8">
            <w:pPr>
              <w:keepNext w:val="0"/>
              <w:keepLines w:val="0"/>
              <w:widowControl/>
              <w:suppressLineNumbers w:val="0"/>
              <w:snapToGrid w:val="0"/>
              <w:spacing w:line="360" w:lineRule="exact"/>
              <w:jc w:val="center"/>
              <w:textAlignment w:val="center"/>
              <w:rPr>
                <w:rStyle w:val="14"/>
                <w:sz w:val="28"/>
                <w:szCs w:val="28"/>
                <w:lang w:bidi="ar"/>
              </w:rPr>
            </w:pPr>
            <w:r>
              <w:rPr>
                <w:rStyle w:val="14"/>
                <w:rFonts w:hint="default" w:ascii="Times New Roman" w:hAnsi="Times New Roman" w:eastAsia="仿宋_GB2312" w:cs="Times New Roman"/>
                <w:sz w:val="28"/>
                <w:szCs w:val="28"/>
              </w:rPr>
              <w:t>怀化市</w:t>
            </w:r>
          </w:p>
        </w:tc>
        <w:tc>
          <w:tcPr>
            <w:tcW w:w="2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9BD77">
            <w:pPr>
              <w:keepNext w:val="0"/>
              <w:keepLines w:val="0"/>
              <w:widowControl/>
              <w:suppressLineNumbers w:val="0"/>
              <w:snapToGrid w:val="0"/>
              <w:spacing w:line="360" w:lineRule="exact"/>
              <w:jc w:val="center"/>
              <w:textAlignment w:val="center"/>
              <w:rPr>
                <w:rStyle w:val="14"/>
                <w:sz w:val="28"/>
                <w:szCs w:val="28"/>
                <w:lang w:bidi="ar"/>
              </w:rPr>
            </w:pPr>
            <w:r>
              <w:rPr>
                <w:rStyle w:val="14"/>
                <w:rFonts w:hint="default" w:ascii="Times New Roman" w:hAnsi="Times New Roman" w:eastAsia="仿宋_GB2312" w:cs="Times New Roman"/>
                <w:sz w:val="28"/>
                <w:szCs w:val="28"/>
              </w:rPr>
              <w:t>962</w:t>
            </w:r>
          </w:p>
        </w:tc>
      </w:tr>
      <w:tr w14:paraId="1A5A0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35526">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14</w:t>
            </w:r>
          </w:p>
        </w:tc>
        <w:tc>
          <w:tcPr>
            <w:tcW w:w="3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435C9">
            <w:pPr>
              <w:keepNext w:val="0"/>
              <w:keepLines w:val="0"/>
              <w:widowControl/>
              <w:suppressLineNumbers w:val="0"/>
              <w:snapToGrid w:val="0"/>
              <w:spacing w:line="360" w:lineRule="exact"/>
              <w:jc w:val="center"/>
              <w:textAlignment w:val="center"/>
              <w:rPr>
                <w:rStyle w:val="14"/>
                <w:sz w:val="28"/>
                <w:szCs w:val="28"/>
                <w:lang w:bidi="ar"/>
              </w:rPr>
            </w:pPr>
            <w:r>
              <w:rPr>
                <w:rStyle w:val="14"/>
                <w:rFonts w:hint="default" w:ascii="Times New Roman" w:hAnsi="Times New Roman" w:eastAsia="仿宋_GB2312" w:cs="Times New Roman"/>
                <w:sz w:val="28"/>
                <w:szCs w:val="28"/>
              </w:rPr>
              <w:t>张家界市</w:t>
            </w:r>
          </w:p>
        </w:tc>
        <w:tc>
          <w:tcPr>
            <w:tcW w:w="2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1D5A2">
            <w:pPr>
              <w:keepNext w:val="0"/>
              <w:keepLines w:val="0"/>
              <w:widowControl/>
              <w:suppressLineNumbers w:val="0"/>
              <w:snapToGrid w:val="0"/>
              <w:spacing w:line="360" w:lineRule="exact"/>
              <w:jc w:val="center"/>
              <w:textAlignment w:val="center"/>
              <w:rPr>
                <w:rStyle w:val="14"/>
                <w:sz w:val="28"/>
                <w:szCs w:val="28"/>
                <w:lang w:bidi="ar"/>
              </w:rPr>
            </w:pPr>
            <w:r>
              <w:rPr>
                <w:rStyle w:val="14"/>
                <w:rFonts w:hint="default" w:ascii="Times New Roman" w:hAnsi="Times New Roman" w:eastAsia="仿宋_GB2312" w:cs="Times New Roman"/>
                <w:sz w:val="28"/>
                <w:szCs w:val="28"/>
              </w:rPr>
              <w:t>347</w:t>
            </w:r>
          </w:p>
        </w:tc>
      </w:tr>
      <w:tr w14:paraId="7F5FD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C2E77">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15</w:t>
            </w:r>
          </w:p>
        </w:tc>
        <w:tc>
          <w:tcPr>
            <w:tcW w:w="3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A5BF3">
            <w:pPr>
              <w:keepNext w:val="0"/>
              <w:keepLines w:val="0"/>
              <w:widowControl/>
              <w:suppressLineNumbers w:val="0"/>
              <w:snapToGrid w:val="0"/>
              <w:spacing w:line="360" w:lineRule="exact"/>
              <w:jc w:val="center"/>
              <w:textAlignment w:val="center"/>
              <w:rPr>
                <w:rStyle w:val="14"/>
                <w:sz w:val="28"/>
                <w:szCs w:val="28"/>
                <w:lang w:bidi="ar"/>
              </w:rPr>
            </w:pPr>
            <w:r>
              <w:rPr>
                <w:rStyle w:val="14"/>
                <w:rFonts w:hint="default" w:ascii="Times New Roman" w:hAnsi="Times New Roman" w:eastAsia="仿宋_GB2312" w:cs="Times New Roman"/>
                <w:sz w:val="28"/>
                <w:szCs w:val="28"/>
              </w:rPr>
              <w:t>湘西土家族苗族自治州</w:t>
            </w:r>
          </w:p>
        </w:tc>
        <w:tc>
          <w:tcPr>
            <w:tcW w:w="2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FD427">
            <w:pPr>
              <w:keepNext w:val="0"/>
              <w:keepLines w:val="0"/>
              <w:widowControl/>
              <w:suppressLineNumbers w:val="0"/>
              <w:snapToGrid w:val="0"/>
              <w:spacing w:line="360" w:lineRule="exact"/>
              <w:jc w:val="center"/>
              <w:textAlignment w:val="center"/>
              <w:rPr>
                <w:rStyle w:val="14"/>
                <w:sz w:val="28"/>
                <w:szCs w:val="28"/>
                <w:lang w:bidi="ar"/>
              </w:rPr>
            </w:pPr>
            <w:r>
              <w:rPr>
                <w:rStyle w:val="14"/>
                <w:rFonts w:hint="default" w:ascii="Times New Roman" w:hAnsi="Times New Roman" w:eastAsia="仿宋_GB2312" w:cs="Times New Roman"/>
                <w:sz w:val="28"/>
                <w:szCs w:val="28"/>
              </w:rPr>
              <w:t>617</w:t>
            </w:r>
          </w:p>
        </w:tc>
      </w:tr>
      <w:tr w14:paraId="3E9FB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571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415DD">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Style w:val="14"/>
                <w:sz w:val="28"/>
                <w:szCs w:val="28"/>
                <w:lang w:bidi="ar"/>
              </w:rPr>
            </w:pPr>
            <w:r>
              <w:rPr>
                <w:rStyle w:val="14"/>
                <w:rFonts w:hint="default" w:ascii="Times New Roman" w:hAnsi="Times New Roman" w:eastAsia="仿宋_GB2312" w:cs="Times New Roman"/>
                <w:sz w:val="28"/>
                <w:szCs w:val="28"/>
                <w:lang w:val="en-US" w:eastAsia="zh-CN" w:bidi="ar"/>
              </w:rPr>
              <w:t>总计</w:t>
            </w:r>
          </w:p>
        </w:tc>
        <w:tc>
          <w:tcPr>
            <w:tcW w:w="2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EA85B">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Style w:val="14"/>
                <w:sz w:val="28"/>
                <w:szCs w:val="28"/>
                <w:lang w:bidi="ar"/>
              </w:rPr>
            </w:pPr>
            <w:r>
              <w:rPr>
                <w:rStyle w:val="14"/>
                <w:rFonts w:hint="eastAsia" w:ascii="Times New Roman" w:hAnsi="Times New Roman"/>
                <w:sz w:val="28"/>
                <w:szCs w:val="28"/>
                <w:lang w:val="en-US" w:eastAsia="zh-CN" w:bidi="ar"/>
              </w:rPr>
              <w:t>8736</w:t>
            </w:r>
          </w:p>
        </w:tc>
      </w:tr>
    </w:tbl>
    <w:p w14:paraId="27143990">
      <w:pPr>
        <w:keepNext w:val="0"/>
        <w:keepLines w:val="0"/>
        <w:pageBreakBefore w:val="0"/>
        <w:widowControl w:val="0"/>
        <w:numPr>
          <w:ilvl w:val="0"/>
          <w:numId w:val="1"/>
        </w:numPr>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leftChars="0" w:right="0" w:firstLine="643" w:firstLineChars="200"/>
        <w:jc w:val="both"/>
        <w:textAlignment w:val="auto"/>
        <w:rPr>
          <w:rFonts w:hint="default" w:eastAsia="仿宋_GB2312" w:cs="仿宋_GB2312"/>
          <w:b/>
          <w:bCs/>
          <w:kern w:val="2"/>
          <w:sz w:val="32"/>
          <w:szCs w:val="32"/>
          <w:lang w:val="en-US" w:eastAsia="zh-CN" w:bidi="ar"/>
        </w:rPr>
      </w:pPr>
      <w:r>
        <w:rPr>
          <w:rFonts w:hint="eastAsia" w:eastAsia="仿宋_GB2312" w:cs="仿宋_GB2312"/>
          <w:b/>
          <w:bCs/>
          <w:kern w:val="2"/>
          <w:sz w:val="32"/>
          <w:szCs w:val="32"/>
          <w:lang w:val="en-US" w:eastAsia="zh-CN" w:bidi="ar"/>
        </w:rPr>
        <w:t>绩效目标分解下达情况</w:t>
      </w:r>
    </w:p>
    <w:p w14:paraId="158321A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eastAsia"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kern w:val="2"/>
          <w:sz w:val="32"/>
          <w:szCs w:val="32"/>
          <w:lang w:val="en-US" w:eastAsia="zh-CN" w:bidi="ar"/>
        </w:rPr>
        <w:t>省文化和旅游厅会同省财政厅，将中央补助资金按项目类别、服务规模、保障标准、区域均衡原则，全部分解下达至全省各级</w:t>
      </w:r>
      <w:r>
        <w:rPr>
          <w:rFonts w:hint="eastAsia" w:ascii="Times New Roman" w:hAnsi="Times New Roman" w:eastAsia="仿宋_GB2312" w:cs="仿宋_GB2312"/>
          <w:spacing w:val="-6"/>
          <w:kern w:val="2"/>
          <w:sz w:val="32"/>
          <w:szCs w:val="32"/>
          <w:lang w:val="en-US" w:eastAsia="zh-CN" w:bidi="ar"/>
        </w:rPr>
        <w:t>文博场馆、公共文化机构及项目实施单位，同步分解下达绩效目标：</w:t>
      </w:r>
    </w:p>
    <w:p w14:paraId="178969C0">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leftChars="0" w:right="0" w:firstLine="640" w:firstLineChars="200"/>
        <w:jc w:val="both"/>
        <w:textAlignment w:val="auto"/>
        <w:rPr>
          <w:rFonts w:hint="eastAsia" w:ascii="Times New Roman" w:hAnsi="Times New Roman" w:eastAsia="仿宋_GB2312" w:cs="仿宋_GB2312"/>
          <w:kern w:val="2"/>
          <w:sz w:val="32"/>
          <w:szCs w:val="32"/>
          <w:lang w:val="en-US" w:eastAsia="zh-CN" w:bidi="ar"/>
        </w:rPr>
      </w:pPr>
      <w:r>
        <w:rPr>
          <w:rFonts w:hint="eastAsia" w:eastAsia="仿宋_GB2312" w:cs="仿宋_GB2312"/>
          <w:kern w:val="2"/>
          <w:sz w:val="32"/>
          <w:szCs w:val="32"/>
          <w:lang w:val="en-US" w:eastAsia="zh-CN" w:bidi="ar"/>
        </w:rPr>
        <w:t>（1）一般项目、绩效奖励</w:t>
      </w:r>
      <w:r>
        <w:rPr>
          <w:rFonts w:hint="eastAsia" w:ascii="Times New Roman" w:hAnsi="Times New Roman" w:eastAsia="仿宋_GB2312" w:cs="仿宋_GB2312"/>
          <w:kern w:val="2"/>
          <w:sz w:val="32"/>
          <w:szCs w:val="32"/>
          <w:lang w:val="en-US" w:eastAsia="zh-CN" w:bidi="ar"/>
        </w:rPr>
        <w:t>：</w:t>
      </w:r>
      <w:r>
        <w:rPr>
          <w:rFonts w:hint="eastAsia" w:eastAsia="仿宋_GB2312" w:cs="仿宋_GB2312"/>
          <w:sz w:val="32"/>
          <w:szCs w:val="32"/>
          <w:lang w:bidi="ar"/>
        </w:rPr>
        <w:t>进一步发挥公共文化服务集群效应推动公共文化服务高质量发展，根据2024年度公共文化服务建设相关工作评定，对公共文化服务体系建设绩效先进单位予以奖励，其中省直单位10家，4个市州文旅广体局，8个市州文化市场综合行政执法支队</w:t>
      </w:r>
      <w:r>
        <w:rPr>
          <w:rFonts w:hint="eastAsia" w:eastAsia="仿宋_GB2312" w:cs="仿宋_GB2312"/>
          <w:sz w:val="32"/>
          <w:szCs w:val="32"/>
          <w:lang w:eastAsia="zh-CN" w:bidi="ar"/>
        </w:rPr>
        <w:t>；</w:t>
      </w:r>
      <w:r>
        <w:rPr>
          <w:rFonts w:hint="eastAsia" w:eastAsia="仿宋_GB2312" w:cs="仿宋_GB2312"/>
          <w:sz w:val="32"/>
          <w:szCs w:val="32"/>
          <w:lang w:bidi="ar"/>
        </w:rPr>
        <w:t>2025年，湖南省依托中央补助资金，实施8项省级公共文化一般项目，重点完成文化场馆升级改造、图书馆配电增容、馆藏珍品数字化及青少年阅读推广，强化花鼓戏、湘剧、京剧等非遗传承与体验服务。</w:t>
      </w:r>
    </w:p>
    <w:p w14:paraId="293A2AD0">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leftChars="0" w:right="0" w:firstLine="640" w:firstLineChars="200"/>
        <w:jc w:val="both"/>
        <w:textAlignment w:val="auto"/>
        <w:rPr>
          <w:rFonts w:hint="eastAsia" w:ascii="Times New Roman" w:hAnsi="Times New Roman" w:eastAsia="仿宋_GB2312" w:cs="仿宋_GB2312"/>
          <w:kern w:val="2"/>
          <w:sz w:val="32"/>
          <w:szCs w:val="32"/>
          <w:lang w:val="en-US" w:eastAsia="zh-CN" w:bidi="ar"/>
        </w:rPr>
      </w:pPr>
      <w:r>
        <w:rPr>
          <w:rFonts w:hint="eastAsia" w:eastAsia="仿宋_GB2312" w:cs="仿宋_GB2312"/>
          <w:sz w:val="32"/>
          <w:szCs w:val="32"/>
          <w:lang w:eastAsia="zh-CN" w:bidi="ar"/>
        </w:rPr>
        <w:t>（</w:t>
      </w:r>
      <w:r>
        <w:rPr>
          <w:rFonts w:hint="eastAsia" w:eastAsia="仿宋_GB2312" w:cs="仿宋_GB2312"/>
          <w:sz w:val="32"/>
          <w:szCs w:val="32"/>
          <w:lang w:val="en-US" w:eastAsia="zh-CN" w:bidi="ar"/>
        </w:rPr>
        <w:t>2</w:t>
      </w:r>
      <w:r>
        <w:rPr>
          <w:rFonts w:hint="eastAsia" w:eastAsia="仿宋_GB2312" w:cs="仿宋_GB2312"/>
          <w:sz w:val="32"/>
          <w:szCs w:val="32"/>
          <w:lang w:eastAsia="zh-CN" w:bidi="ar"/>
        </w:rPr>
        <w:t>）</w:t>
      </w:r>
      <w:r>
        <w:rPr>
          <w:rFonts w:hint="eastAsia" w:eastAsia="仿宋_GB2312" w:cs="仿宋_GB2312"/>
          <w:sz w:val="32"/>
          <w:szCs w:val="32"/>
          <w:lang w:bidi="ar"/>
        </w:rPr>
        <w:t>智慧图书馆体系项目、公共文化云项目建设</w:t>
      </w:r>
      <w:r>
        <w:rPr>
          <w:rFonts w:hint="eastAsia" w:ascii="Times New Roman" w:hAnsi="Times New Roman" w:eastAsia="仿宋_GB2312" w:cs="仿宋_GB2312"/>
          <w:kern w:val="2"/>
          <w:sz w:val="32"/>
          <w:szCs w:val="32"/>
          <w:lang w:val="en-US" w:eastAsia="zh-CN" w:bidi="ar"/>
        </w:rPr>
        <w:t>：</w:t>
      </w:r>
      <w:r>
        <w:rPr>
          <w:rFonts w:hint="eastAsia" w:eastAsia="仿宋_GB2312" w:cs="仿宋_GB2312"/>
          <w:sz w:val="32"/>
          <w:szCs w:val="32"/>
          <w:lang w:bidi="ar"/>
        </w:rPr>
        <w:t>在智慧图书馆领域，重点完成湖南图书馆10万筒子叶国家珍贵古籍及衡阳、湘潭市图书馆珍贵善本的数字化采集，同步建成省级智慧图书馆全网知识内容集成仓储系统，夯实古籍数字资源保护与全省知识资源集成共享的技术底座；在公共文化云领域，以完善“看直播、享活动、学才艺、订场馆、赶大集”五大核心功能为抓手，通过统筹省市县三级文化馆资源，开展直播体系搭建、特色文化活动策划与艺术普及课程开发，进一步扩容优质公共文化内容供给，强化上下联动的数字服务网络。</w:t>
      </w:r>
      <w:r>
        <w:rPr>
          <w:rFonts w:hint="eastAsia" w:ascii="Times New Roman" w:hAnsi="Times New Roman" w:eastAsia="仿宋_GB2312" w:cs="仿宋_GB2312"/>
          <w:kern w:val="2"/>
          <w:sz w:val="32"/>
          <w:szCs w:val="32"/>
          <w:lang w:val="en-US" w:eastAsia="zh-CN" w:bidi="ar"/>
        </w:rPr>
        <w:t>。</w:t>
      </w:r>
    </w:p>
    <w:p w14:paraId="64BCAEEF">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leftChars="0" w:right="0" w:firstLine="640" w:firstLineChars="200"/>
        <w:jc w:val="both"/>
        <w:textAlignment w:val="auto"/>
        <w:rPr>
          <w:rFonts w:hint="eastAsia" w:ascii="Times New Roman" w:hAnsi="Times New Roman" w:eastAsia="仿宋_GB2312" w:cs="仿宋_GB2312"/>
          <w:kern w:val="2"/>
          <w:sz w:val="32"/>
          <w:szCs w:val="32"/>
          <w:lang w:val="en-US" w:eastAsia="zh-CN" w:bidi="ar"/>
        </w:rPr>
      </w:pPr>
      <w:r>
        <w:rPr>
          <w:rFonts w:hint="eastAsia" w:eastAsia="仿宋_GB2312" w:cs="仿宋_GB2312"/>
          <w:kern w:val="2"/>
          <w:sz w:val="32"/>
          <w:szCs w:val="32"/>
          <w:lang w:val="en-US" w:eastAsia="zh-CN" w:bidi="ar"/>
        </w:rPr>
        <w:t>（3）</w:t>
      </w:r>
      <w:r>
        <w:rPr>
          <w:rFonts w:hint="eastAsia" w:ascii="Times New Roman" w:hAnsi="Times New Roman" w:eastAsia="仿宋_GB2312" w:cs="仿宋_GB2312"/>
          <w:kern w:val="2"/>
          <w:sz w:val="32"/>
          <w:szCs w:val="32"/>
          <w:lang w:val="en-US" w:eastAsia="zh-CN" w:bidi="ar"/>
        </w:rPr>
        <w:t>戏曲公益性演出（濒危剧种免费/低票价演出、戏曲进乡村）：</w:t>
      </w:r>
      <w:r>
        <w:rPr>
          <w:rFonts w:hint="eastAsia" w:eastAsia="仿宋_GB2312" w:cs="仿宋_GB2312"/>
          <w:kern w:val="2"/>
          <w:sz w:val="32"/>
          <w:szCs w:val="32"/>
          <w:lang w:val="en-US" w:eastAsia="zh-CN" w:bidi="ar"/>
        </w:rPr>
        <w:t>一是</w:t>
      </w:r>
      <w:r>
        <w:rPr>
          <w:rFonts w:hint="eastAsia" w:eastAsia="仿宋_GB2312" w:cs="仿宋_GB2312"/>
          <w:sz w:val="32"/>
          <w:szCs w:val="32"/>
          <w:lang w:bidi="ar"/>
        </w:rPr>
        <w:t>中央补助演出项目对2013年被民政部列为国家扶贫开发工作40个重点县的888个乡镇，按6场/年、乡镇，全年需完成“送戏下乡”惠民演出任务5320场次以上</w:t>
      </w:r>
      <w:r>
        <w:rPr>
          <w:rFonts w:hint="eastAsia" w:eastAsia="仿宋_GB2312" w:cs="仿宋_GB2312"/>
          <w:sz w:val="32"/>
          <w:szCs w:val="32"/>
          <w:lang w:eastAsia="zh-CN" w:bidi="ar"/>
        </w:rPr>
        <w:t>；</w:t>
      </w:r>
      <w:r>
        <w:rPr>
          <w:rFonts w:hint="eastAsia" w:eastAsia="仿宋_GB2312" w:cs="仿宋_GB2312"/>
          <w:sz w:val="32"/>
          <w:szCs w:val="32"/>
          <w:lang w:val="en-US" w:eastAsia="zh-CN" w:bidi="ar"/>
        </w:rPr>
        <w:t>二是</w:t>
      </w:r>
      <w:r>
        <w:rPr>
          <w:rFonts w:hint="eastAsia" w:eastAsia="仿宋_GB2312" w:cs="仿宋_GB2312"/>
          <w:sz w:val="32"/>
          <w:szCs w:val="32"/>
          <w:lang w:eastAsia="zh-CN" w:bidi="ar"/>
        </w:rPr>
        <w:t>湖南省有3个剧种被列入保护扶持濒危剧种名录,中央财政资金一次性下达演出补助150万元，共购买演出(人才培养）等300场。</w:t>
      </w:r>
    </w:p>
    <w:p w14:paraId="7814F39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0" w:beforeLines="0" w:beforeAutospacing="0" w:after="0" w:afterLines="0" w:afterAutospacing="0" w:line="560" w:lineRule="exact"/>
        <w:ind w:left="0" w:right="0" w:firstLine="640" w:firstLineChars="200"/>
        <w:textAlignment w:val="auto"/>
        <w:rPr>
          <w:rFonts w:hint="default" w:ascii="Times New Roman" w:hAnsi="Times New Roman" w:eastAsia="黑体" w:cs="Times New Roman"/>
          <w:b w:val="0"/>
          <w:bCs/>
          <w:kern w:val="44"/>
          <w:sz w:val="32"/>
          <w:szCs w:val="32"/>
          <w:lang w:val="en-US" w:eastAsia="zh-CN"/>
        </w:rPr>
      </w:pPr>
      <w:r>
        <w:rPr>
          <w:rFonts w:hint="eastAsia" w:ascii="Times New Roman" w:hAnsi="Times New Roman" w:eastAsia="黑体" w:cs="黑体"/>
          <w:b w:val="0"/>
          <w:bCs/>
          <w:kern w:val="44"/>
          <w:sz w:val="32"/>
          <w:szCs w:val="32"/>
        </w:rPr>
        <w:t>二、绩效目标</w:t>
      </w:r>
      <w:r>
        <w:rPr>
          <w:rFonts w:hint="eastAsia" w:cs="黑体"/>
          <w:b w:val="0"/>
          <w:bCs/>
          <w:kern w:val="44"/>
          <w:sz w:val="32"/>
          <w:szCs w:val="32"/>
          <w:lang w:val="en-US" w:eastAsia="zh-CN"/>
        </w:rPr>
        <w:t>完成情况</w:t>
      </w:r>
    </w:p>
    <w:p w14:paraId="34B9E567">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0" w:beforeAutospacing="0" w:after="0" w:afterAutospacing="0" w:line="560" w:lineRule="exact"/>
        <w:ind w:left="0" w:right="0" w:firstLine="643" w:firstLineChars="200"/>
        <w:textAlignment w:val="auto"/>
        <w:rPr>
          <w:rFonts w:hint="eastAsia" w:ascii="Times New Roman" w:hAnsi="Times New Roman" w:eastAsia="楷体_GB2312" w:cs="楷体_GB2312"/>
          <w:b/>
          <w:bCs w:val="0"/>
          <w:kern w:val="2"/>
          <w:sz w:val="32"/>
          <w:szCs w:val="32"/>
          <w:lang w:val="en-US" w:eastAsia="zh-CN"/>
        </w:rPr>
      </w:pPr>
      <w:r>
        <w:rPr>
          <w:rFonts w:hint="eastAsia" w:ascii="Times New Roman" w:hAnsi="Times New Roman" w:eastAsia="楷体_GB2312" w:cs="楷体_GB2312"/>
          <w:b/>
          <w:bCs w:val="0"/>
          <w:kern w:val="2"/>
          <w:sz w:val="32"/>
          <w:szCs w:val="32"/>
          <w:lang w:val="en-US" w:eastAsia="zh-CN"/>
        </w:rPr>
        <w:t>（一）资金投入情况分析</w:t>
      </w:r>
    </w:p>
    <w:p w14:paraId="44A4976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eastAsia" w:ascii="Times New Roman" w:hAnsi="Times New Roman" w:eastAsia="仿宋_GB2312" w:cs="仿宋_GB2312"/>
          <w:kern w:val="2"/>
          <w:sz w:val="32"/>
          <w:szCs w:val="32"/>
          <w:highlight w:val="none"/>
          <w:lang w:val="en-US" w:eastAsia="zh-CN" w:bidi="ar"/>
        </w:rPr>
      </w:pPr>
      <w:r>
        <w:rPr>
          <w:rFonts w:hint="eastAsia" w:ascii="Times New Roman" w:hAnsi="Times New Roman" w:eastAsia="仿宋_GB2312" w:cs="仿宋_GB2312"/>
          <w:kern w:val="2"/>
          <w:sz w:val="32"/>
          <w:szCs w:val="32"/>
          <w:highlight w:val="none"/>
          <w:lang w:val="en-US" w:eastAsia="zh-CN" w:bidi="ar"/>
        </w:rPr>
        <w:t>2025年度我厅负责项目全年预算总额</w:t>
      </w:r>
      <w:r>
        <w:rPr>
          <w:rFonts w:hint="eastAsia" w:eastAsia="仿宋_GB2312" w:cs="Times New Roman"/>
          <w:kern w:val="2"/>
          <w:sz w:val="32"/>
          <w:szCs w:val="32"/>
          <w:lang w:val="en-US" w:eastAsia="zh-CN" w:bidi="ar"/>
        </w:rPr>
        <w:t>8736</w:t>
      </w:r>
      <w:r>
        <w:rPr>
          <w:rFonts w:hint="eastAsia" w:ascii="Times New Roman" w:hAnsi="Times New Roman" w:eastAsia="仿宋_GB2312" w:cs="仿宋_GB2312"/>
          <w:kern w:val="2"/>
          <w:sz w:val="32"/>
          <w:szCs w:val="32"/>
          <w:highlight w:val="none"/>
          <w:lang w:val="en-US" w:eastAsia="zh-CN" w:bidi="ar"/>
        </w:rPr>
        <w:t>万元，</w:t>
      </w:r>
      <w:r>
        <w:rPr>
          <w:rFonts w:hint="eastAsia" w:eastAsia="仿宋_GB2312" w:cs="仿宋_GB2312"/>
          <w:kern w:val="2"/>
          <w:sz w:val="32"/>
          <w:szCs w:val="32"/>
          <w:highlight w:val="none"/>
          <w:lang w:val="en-US" w:eastAsia="zh-CN" w:bidi="ar"/>
        </w:rPr>
        <w:t>截至自评基准日，已支出</w:t>
      </w:r>
      <w:r>
        <w:rPr>
          <w:rFonts w:hint="eastAsia" w:eastAsia="仿宋_GB2312" w:cs="仿宋_GB2312"/>
          <w:i w:val="0"/>
          <w:iCs w:val="0"/>
          <w:color w:val="auto"/>
          <w:sz w:val="32"/>
          <w:szCs w:val="32"/>
          <w:highlight w:val="none"/>
          <w:u w:val="none"/>
          <w:lang w:val="en-US" w:eastAsia="zh-CN" w:bidi="ar"/>
        </w:rPr>
        <w:t>5068.39</w:t>
      </w:r>
      <w:r>
        <w:rPr>
          <w:rFonts w:hint="eastAsia" w:ascii="Times New Roman" w:hAnsi="Times New Roman" w:eastAsia="仿宋_GB2312" w:cs="仿宋_GB2312"/>
          <w:kern w:val="2"/>
          <w:sz w:val="32"/>
          <w:szCs w:val="32"/>
          <w:highlight w:val="none"/>
          <w:lang w:val="en-US" w:eastAsia="zh-CN" w:bidi="ar"/>
        </w:rPr>
        <w:t>万元，预算执行率</w:t>
      </w:r>
      <w:r>
        <w:rPr>
          <w:rFonts w:hint="eastAsia" w:eastAsia="仿宋_GB2312" w:cs="仿宋_GB2312"/>
          <w:kern w:val="2"/>
          <w:sz w:val="32"/>
          <w:szCs w:val="32"/>
          <w:highlight w:val="none"/>
          <w:lang w:val="en-US" w:eastAsia="zh-CN" w:bidi="ar"/>
        </w:rPr>
        <w:t>58.02%</w:t>
      </w:r>
      <w:r>
        <w:rPr>
          <w:rFonts w:hint="eastAsia" w:ascii="Times New Roman" w:hAnsi="Times New Roman" w:eastAsia="仿宋_GB2312" w:cs="仿宋_GB2312"/>
          <w:kern w:val="2"/>
          <w:sz w:val="32"/>
          <w:szCs w:val="32"/>
          <w:highlight w:val="none"/>
          <w:lang w:val="en-US" w:eastAsia="zh-CN" w:bidi="ar"/>
        </w:rPr>
        <w:t>，资金拨付及</w:t>
      </w:r>
      <w:r>
        <w:rPr>
          <w:rFonts w:hint="eastAsia" w:ascii="Times New Roman" w:hAnsi="Times New Roman" w:eastAsia="仿宋_GB2312" w:cs="仿宋_GB2312"/>
          <w:spacing w:val="-6"/>
          <w:kern w:val="2"/>
          <w:sz w:val="32"/>
          <w:szCs w:val="32"/>
          <w:highlight w:val="none"/>
          <w:lang w:val="en-US" w:eastAsia="zh-CN" w:bidi="ar"/>
        </w:rPr>
        <w:t>时、支出合规，执行进度符合年度要求，无滞留、闲置、沉淀情况。</w:t>
      </w:r>
    </w:p>
    <w:p w14:paraId="5531F94D">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0" w:beforeAutospacing="0" w:after="0" w:afterAutospacing="0" w:line="560" w:lineRule="exact"/>
        <w:ind w:left="0" w:right="0" w:firstLine="643" w:firstLineChars="200"/>
        <w:textAlignment w:val="auto"/>
        <w:rPr>
          <w:rFonts w:hint="eastAsia" w:ascii="Times New Roman" w:hAnsi="Times New Roman" w:eastAsia="楷体_GB2312" w:cs="楷体_GB2312"/>
          <w:b/>
          <w:bCs w:val="0"/>
          <w:kern w:val="2"/>
          <w:sz w:val="32"/>
          <w:szCs w:val="32"/>
          <w:highlight w:val="none"/>
          <w:lang w:val="en-US" w:eastAsia="zh-CN"/>
        </w:rPr>
      </w:pPr>
      <w:r>
        <w:rPr>
          <w:rFonts w:hint="eastAsia" w:ascii="Times New Roman" w:hAnsi="Times New Roman" w:eastAsia="楷体_GB2312" w:cs="楷体_GB2312"/>
          <w:b/>
          <w:bCs w:val="0"/>
          <w:kern w:val="2"/>
          <w:sz w:val="32"/>
          <w:szCs w:val="32"/>
          <w:highlight w:val="none"/>
          <w:lang w:val="en-US" w:eastAsia="zh-CN"/>
        </w:rPr>
        <w:t>（二）资金管理情况分析</w:t>
      </w:r>
    </w:p>
    <w:p w14:paraId="085F405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Times New Roman" w:hAnsi="Times New Roman" w:eastAsia="仿宋_GB2312" w:cs="Times New Roman"/>
          <w:kern w:val="2"/>
          <w:sz w:val="32"/>
          <w:szCs w:val="32"/>
        </w:rPr>
      </w:pPr>
      <w:r>
        <w:rPr>
          <w:rFonts w:hint="eastAsia" w:ascii="Times New Roman" w:hAnsi="Times New Roman" w:eastAsia="仿宋_GB2312" w:cs="仿宋_GB2312"/>
          <w:kern w:val="2"/>
          <w:sz w:val="32"/>
          <w:szCs w:val="32"/>
          <w:lang w:val="en-US" w:eastAsia="zh-CN" w:bidi="ar"/>
        </w:rPr>
        <w:t>我省根据《中华人民共和国预算法》《中华人民共和国公共文化服务保障法》等有关法律法规的规定，制定了《湖南省实施〈中华人民共和国公共文化服务保障法〉办法》《湖南省文化旅游发展专项资金管理办法》，规范资金管理。各市州根据相关规定，结合实际情况，制定了相应的专项资金管理制度，从制度层面上对该专项资金的使用和管理作出了规定，为风险控制和资金管理提供了制度保障，有助于规范项目资金使用。从自评及抽查情况来看，各市州基本能够按照专项资金管理要求使用专项资金，未发现挪用、挤占专项资金行为。</w:t>
      </w:r>
    </w:p>
    <w:p w14:paraId="25F440F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80" w:lineRule="exact"/>
        <w:ind w:left="0" w:right="0" w:firstLine="643" w:firstLineChars="200"/>
        <w:jc w:val="both"/>
        <w:textAlignment w:val="auto"/>
        <w:rPr>
          <w:rFonts w:hint="eastAsia" w:ascii="Times New Roman" w:hAnsi="Times New Roman" w:eastAsia="仿宋_GB2312" w:cs="Times New Roman"/>
          <w:kern w:val="2"/>
          <w:sz w:val="32"/>
          <w:szCs w:val="32"/>
        </w:rPr>
      </w:pPr>
      <w:r>
        <w:rPr>
          <w:rFonts w:hint="default" w:ascii="Times New Roman" w:hAnsi="Times New Roman" w:eastAsia="仿宋_GB2312" w:cs="Times New Roman"/>
          <w:b/>
          <w:bCs/>
          <w:kern w:val="2"/>
          <w:sz w:val="32"/>
          <w:szCs w:val="32"/>
          <w:lang w:val="en-US" w:eastAsia="zh-CN" w:bidi="ar"/>
        </w:rPr>
        <w:t>1</w:t>
      </w:r>
      <w:r>
        <w:rPr>
          <w:rFonts w:hint="default" w:ascii="Times New Roman" w:hAnsi="Times New Roman" w:eastAsia="仿宋_GB2312" w:cs="仿宋_GB2312"/>
          <w:b/>
          <w:bCs w:val="0"/>
          <w:kern w:val="2"/>
          <w:sz w:val="32"/>
          <w:szCs w:val="32"/>
          <w:lang w:val="en-US" w:eastAsia="zh-CN" w:bidi="ar"/>
        </w:rPr>
        <w:t>.</w:t>
      </w:r>
      <w:r>
        <w:rPr>
          <w:rFonts w:hint="eastAsia" w:ascii="Times New Roman" w:hAnsi="Times New Roman" w:eastAsia="仿宋_GB2312" w:cs="仿宋_GB2312"/>
          <w:b/>
          <w:bCs/>
          <w:kern w:val="2"/>
          <w:sz w:val="32"/>
          <w:szCs w:val="32"/>
          <w:lang w:val="en-US" w:eastAsia="zh-CN" w:bidi="ar"/>
        </w:rPr>
        <w:t>分配科学性。</w:t>
      </w:r>
      <w:r>
        <w:rPr>
          <w:rFonts w:hint="eastAsia" w:ascii="Times New Roman" w:hAnsi="Times New Roman" w:eastAsia="仿宋_GB2312" w:cs="仿宋_GB2312"/>
          <w:kern w:val="2"/>
          <w:sz w:val="32"/>
          <w:szCs w:val="32"/>
          <w:lang w:val="en-US" w:eastAsia="zh-CN" w:bidi="ar"/>
        </w:rPr>
        <w:t>严格遵循《中央支持地方公共文化服务体系建设补助资金管理办法》</w:t>
      </w:r>
      <w:r>
        <w:rPr>
          <w:rFonts w:hint="eastAsia" w:eastAsia="仿宋_GB2312" w:cs="仿宋_GB2312"/>
          <w:kern w:val="2"/>
          <w:sz w:val="32"/>
          <w:szCs w:val="32"/>
          <w:lang w:val="en-US" w:eastAsia="zh-CN" w:bidi="ar"/>
        </w:rPr>
        <w:t>及湖南省专项资金管理有关</w:t>
      </w:r>
      <w:r>
        <w:rPr>
          <w:rFonts w:hint="eastAsia" w:ascii="Times New Roman" w:hAnsi="Times New Roman" w:eastAsia="仿宋_GB2312" w:cs="仿宋_GB2312"/>
          <w:kern w:val="2"/>
          <w:sz w:val="32"/>
          <w:szCs w:val="32"/>
          <w:lang w:val="en-US" w:eastAsia="zh-CN" w:bidi="ar"/>
        </w:rPr>
        <w:t>规定的资金分配范围与标准，结合湖南省公共文化服务体系建设实际需求，以各地常住人口规模、基层公共文化服务基础条件、项目实施成熟度、绩效评价结果及乡村振兴重点帮扶、革命老区扶持等政策导向为核心依据，拟定省内资金分配方案。分配过程中充分衔接湖南省文化和旅游厅年度工作部署，确保资金投向与全省公共文化服务标准化、均等化建设目标高度契合，分配结果公开透明、依据充分，有效保障资金配置的科学性与合理性。</w:t>
      </w:r>
    </w:p>
    <w:p w14:paraId="72C8AA4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80" w:lineRule="exact"/>
        <w:ind w:left="0" w:right="0" w:firstLine="643" w:firstLineChars="200"/>
        <w:jc w:val="both"/>
        <w:textAlignment w:val="auto"/>
        <w:rPr>
          <w:rFonts w:hint="eastAsia" w:ascii="Times New Roman" w:hAnsi="Times New Roman" w:eastAsia="仿宋_GB2312" w:cs="Times New Roman"/>
          <w:kern w:val="2"/>
          <w:sz w:val="32"/>
          <w:szCs w:val="32"/>
        </w:rPr>
      </w:pPr>
      <w:r>
        <w:rPr>
          <w:rFonts w:hint="default" w:ascii="Times New Roman" w:hAnsi="Times New Roman" w:eastAsia="仿宋_GB2312" w:cs="Times New Roman"/>
          <w:b/>
          <w:bCs/>
          <w:kern w:val="2"/>
          <w:sz w:val="32"/>
          <w:szCs w:val="32"/>
          <w:lang w:val="en-US" w:eastAsia="zh-CN" w:bidi="ar"/>
        </w:rPr>
        <w:t>2</w:t>
      </w:r>
      <w:r>
        <w:rPr>
          <w:rFonts w:hint="default" w:ascii="Times New Roman" w:hAnsi="Times New Roman" w:eastAsia="仿宋_GB2312" w:cs="仿宋_GB2312"/>
          <w:b/>
          <w:bCs w:val="0"/>
          <w:kern w:val="2"/>
          <w:sz w:val="32"/>
          <w:szCs w:val="32"/>
          <w:lang w:val="en-US" w:eastAsia="zh-CN" w:bidi="ar"/>
        </w:rPr>
        <w:t>.</w:t>
      </w:r>
      <w:r>
        <w:rPr>
          <w:rFonts w:hint="eastAsia" w:ascii="Times New Roman" w:hAnsi="Times New Roman" w:eastAsia="仿宋_GB2312" w:cs="Times New Roman"/>
          <w:b/>
          <w:bCs/>
          <w:kern w:val="2"/>
          <w:sz w:val="32"/>
          <w:szCs w:val="32"/>
          <w:lang w:val="en-US" w:eastAsia="zh-CN" w:bidi="ar"/>
        </w:rPr>
        <w:t>下达及时性。</w:t>
      </w:r>
      <w:r>
        <w:rPr>
          <w:rFonts w:hint="eastAsia" w:ascii="Times New Roman" w:hAnsi="Times New Roman" w:eastAsia="仿宋_GB2312" w:cs="仿宋_GB2312"/>
          <w:kern w:val="2"/>
          <w:sz w:val="32"/>
          <w:szCs w:val="32"/>
          <w:lang w:val="en-US" w:eastAsia="zh-CN" w:bidi="ar"/>
        </w:rPr>
        <w:t>严格依照《</w:t>
      </w:r>
      <w:r>
        <w:rPr>
          <w:rFonts w:hint="eastAsia" w:eastAsia="仿宋_GB2312" w:cs="仿宋_GB2312"/>
          <w:kern w:val="2"/>
          <w:sz w:val="32"/>
          <w:szCs w:val="32"/>
          <w:lang w:val="en-US" w:eastAsia="zh-CN" w:bidi="ar"/>
        </w:rPr>
        <w:t>中华人民共和国预算法</w:t>
      </w:r>
      <w:r>
        <w:rPr>
          <w:rFonts w:hint="eastAsia" w:ascii="Times New Roman" w:hAnsi="Times New Roman" w:eastAsia="仿宋_GB2312" w:cs="仿宋_GB2312"/>
          <w:kern w:val="2"/>
          <w:sz w:val="32"/>
          <w:szCs w:val="32"/>
          <w:lang w:val="en-US" w:eastAsia="zh-CN" w:bidi="ar"/>
        </w:rPr>
        <w:t>》及其实施条例、转移支付管理制度和资金管理办法规定的时限要求，开展省内资金分解下达工作。省财政厅会同省文化和旅游厅，在完成资金分配方案审核、报批等程序后，第一时间印发资金分解下达文件，明确资金额度、使用范围、实施要求及完成时限，确保省内资金与中央下达资金同步衔接、及时落地。</w:t>
      </w:r>
    </w:p>
    <w:p w14:paraId="1197BCA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80" w:lineRule="exact"/>
        <w:ind w:left="0" w:right="0" w:firstLine="643" w:firstLineChars="200"/>
        <w:jc w:val="both"/>
        <w:textAlignment w:val="auto"/>
        <w:rPr>
          <w:rFonts w:hint="eastAsia" w:ascii="Times New Roman" w:hAnsi="Times New Roman" w:eastAsia="仿宋_GB2312" w:cs="Times New Roman"/>
          <w:kern w:val="2"/>
          <w:sz w:val="32"/>
          <w:szCs w:val="32"/>
        </w:rPr>
      </w:pPr>
      <w:r>
        <w:rPr>
          <w:rFonts w:hint="default" w:ascii="Times New Roman" w:hAnsi="Times New Roman" w:eastAsia="仿宋_GB2312" w:cs="Times New Roman"/>
          <w:b/>
          <w:bCs/>
          <w:kern w:val="2"/>
          <w:sz w:val="32"/>
          <w:szCs w:val="32"/>
          <w:lang w:val="en-US" w:eastAsia="zh-CN" w:bidi="ar"/>
        </w:rPr>
        <w:t>3</w:t>
      </w:r>
      <w:r>
        <w:rPr>
          <w:rFonts w:hint="default" w:ascii="Times New Roman" w:hAnsi="Times New Roman" w:eastAsia="仿宋_GB2312" w:cs="仿宋_GB2312"/>
          <w:b/>
          <w:bCs w:val="0"/>
          <w:kern w:val="2"/>
          <w:sz w:val="32"/>
          <w:szCs w:val="32"/>
          <w:lang w:val="en-US" w:eastAsia="zh-CN" w:bidi="ar"/>
        </w:rPr>
        <w:t>.</w:t>
      </w:r>
      <w:r>
        <w:rPr>
          <w:rFonts w:hint="eastAsia" w:ascii="Times New Roman" w:hAnsi="Times New Roman" w:eastAsia="仿宋_GB2312" w:cs="Times New Roman"/>
          <w:b/>
          <w:bCs/>
          <w:kern w:val="2"/>
          <w:sz w:val="32"/>
          <w:szCs w:val="32"/>
          <w:lang w:val="en-US" w:eastAsia="zh-CN" w:bidi="ar"/>
        </w:rPr>
        <w:t>拨付合规性。</w:t>
      </w:r>
      <w:r>
        <w:rPr>
          <w:rFonts w:hint="eastAsia" w:ascii="Times New Roman" w:hAnsi="Times New Roman" w:eastAsia="仿宋_GB2312" w:cs="仿宋_GB2312"/>
          <w:kern w:val="2"/>
          <w:sz w:val="32"/>
          <w:szCs w:val="32"/>
          <w:lang w:val="en-US" w:eastAsia="zh-CN" w:bidi="ar"/>
        </w:rPr>
        <w:t>严格依照《</w:t>
      </w:r>
      <w:r>
        <w:rPr>
          <w:rFonts w:hint="eastAsia" w:eastAsia="仿宋_GB2312" w:cs="仿宋_GB2312"/>
          <w:kern w:val="2"/>
          <w:sz w:val="32"/>
          <w:szCs w:val="32"/>
          <w:lang w:val="en-US" w:eastAsia="zh-CN" w:bidi="ar"/>
        </w:rPr>
        <w:t>中华人民共和国预算法</w:t>
      </w:r>
      <w:r>
        <w:rPr>
          <w:rFonts w:hint="eastAsia" w:ascii="Times New Roman" w:hAnsi="Times New Roman" w:eastAsia="仿宋_GB2312" w:cs="仿宋_GB2312"/>
          <w:kern w:val="2"/>
          <w:sz w:val="32"/>
          <w:szCs w:val="32"/>
          <w:lang w:val="en-US" w:eastAsia="zh-CN" w:bidi="ar"/>
        </w:rPr>
        <w:t>》及其实施条例、转移支付管理制度和资金管理办法规定的时限要求，开展省内资金分解下达工作。省财政厅会同省文化和旅游厅，在完成资金分配方案审核、报批等程序后，第一时间印发资金分解下达文件，明确资金额度、使用范围、实施要求及完成时限，确保省内资金与中央下达资金同步衔接、及时落地，未出现超时限下达、延迟拨付等情况。</w:t>
      </w:r>
    </w:p>
    <w:p w14:paraId="042EF06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3" w:firstLineChars="200"/>
        <w:jc w:val="both"/>
        <w:textAlignment w:val="auto"/>
        <w:rPr>
          <w:rFonts w:hint="eastAsia" w:ascii="Times New Roman" w:hAnsi="Times New Roman" w:eastAsia="仿宋_GB2312" w:cs="Times New Roman"/>
          <w:kern w:val="2"/>
          <w:sz w:val="32"/>
          <w:szCs w:val="32"/>
        </w:rPr>
      </w:pPr>
      <w:r>
        <w:rPr>
          <w:rFonts w:hint="default" w:ascii="Times New Roman" w:hAnsi="Times New Roman" w:eastAsia="仿宋_GB2312" w:cs="Times New Roman"/>
          <w:b/>
          <w:bCs/>
          <w:kern w:val="2"/>
          <w:sz w:val="32"/>
          <w:szCs w:val="32"/>
          <w:lang w:val="en-US" w:eastAsia="zh-CN" w:bidi="ar"/>
        </w:rPr>
        <w:t>4</w:t>
      </w:r>
      <w:r>
        <w:rPr>
          <w:rFonts w:hint="default" w:ascii="Times New Roman" w:hAnsi="Times New Roman" w:eastAsia="仿宋_GB2312" w:cs="仿宋_GB2312"/>
          <w:b/>
          <w:bCs w:val="0"/>
          <w:kern w:val="2"/>
          <w:sz w:val="32"/>
          <w:szCs w:val="32"/>
          <w:lang w:val="en-US" w:eastAsia="zh-CN" w:bidi="ar"/>
        </w:rPr>
        <w:t>.</w:t>
      </w:r>
      <w:r>
        <w:rPr>
          <w:rFonts w:hint="eastAsia" w:ascii="Times New Roman" w:hAnsi="Times New Roman" w:eastAsia="仿宋_GB2312" w:cs="Times New Roman"/>
          <w:b/>
          <w:bCs/>
          <w:kern w:val="2"/>
          <w:sz w:val="32"/>
          <w:szCs w:val="32"/>
          <w:lang w:val="en-US" w:eastAsia="zh-CN" w:bidi="ar"/>
        </w:rPr>
        <w:t>使用规范性。</w:t>
      </w:r>
      <w:r>
        <w:rPr>
          <w:rFonts w:hint="eastAsia" w:ascii="Times New Roman" w:hAnsi="Times New Roman" w:eastAsia="仿宋_GB2312" w:cs="仿宋_GB2312"/>
          <w:kern w:val="2"/>
          <w:sz w:val="32"/>
          <w:szCs w:val="32"/>
          <w:lang w:val="en-US" w:eastAsia="zh-CN" w:bidi="ar"/>
        </w:rPr>
        <w:t>明确资金用于基层公共文化体育设施改善、公共文化服务人才队伍建设、基本公共文化服务项目开展等指定领域，未发生截留、挤占、挪用或擅自调整资金用途等违规行为。项目实施单位严格落实专款专用、专账核算要求，建立健全财务管理制度，规范会计核算流程，确保资金使用全程可追溯、合规性可控。</w:t>
      </w:r>
    </w:p>
    <w:p w14:paraId="6024F3C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80" w:lineRule="exact"/>
        <w:ind w:left="0" w:right="0" w:firstLine="643" w:firstLineChars="200"/>
        <w:jc w:val="both"/>
        <w:textAlignment w:val="auto"/>
        <w:rPr>
          <w:rFonts w:hint="eastAsia" w:ascii="Times New Roman" w:hAnsi="Times New Roman" w:eastAsia="仿宋_GB2312" w:cs="Times New Roman"/>
          <w:kern w:val="2"/>
          <w:sz w:val="32"/>
          <w:szCs w:val="32"/>
        </w:rPr>
      </w:pPr>
      <w:r>
        <w:rPr>
          <w:rFonts w:hint="default" w:ascii="Times New Roman" w:hAnsi="Times New Roman" w:eastAsia="仿宋_GB2312" w:cs="Times New Roman"/>
          <w:b/>
          <w:bCs/>
          <w:kern w:val="2"/>
          <w:sz w:val="32"/>
          <w:szCs w:val="32"/>
          <w:lang w:val="en-US" w:eastAsia="zh-CN" w:bidi="ar"/>
        </w:rPr>
        <w:t>5</w:t>
      </w:r>
      <w:r>
        <w:rPr>
          <w:rFonts w:hint="default" w:ascii="Times New Roman" w:hAnsi="Times New Roman" w:eastAsia="仿宋_GB2312" w:cs="仿宋_GB2312"/>
          <w:b/>
          <w:bCs w:val="0"/>
          <w:kern w:val="2"/>
          <w:sz w:val="32"/>
          <w:szCs w:val="32"/>
          <w:lang w:val="en-US" w:eastAsia="zh-CN" w:bidi="ar"/>
        </w:rPr>
        <w:t>.</w:t>
      </w:r>
      <w:r>
        <w:rPr>
          <w:rFonts w:hint="eastAsia" w:ascii="Times New Roman" w:hAnsi="Times New Roman" w:eastAsia="仿宋_GB2312" w:cs="Times New Roman"/>
          <w:b/>
          <w:bCs/>
          <w:kern w:val="2"/>
          <w:sz w:val="32"/>
          <w:szCs w:val="32"/>
          <w:lang w:val="en-US" w:eastAsia="zh-CN" w:bidi="ar"/>
        </w:rPr>
        <w:t>执行准确性。</w:t>
      </w:r>
      <w:r>
        <w:rPr>
          <w:rFonts w:hint="eastAsia" w:ascii="Times New Roman" w:hAnsi="Times New Roman" w:eastAsia="仿宋_GB2312" w:cs="仿宋_GB2312"/>
          <w:kern w:val="2"/>
          <w:sz w:val="32"/>
          <w:szCs w:val="32"/>
          <w:lang w:val="en-US" w:eastAsia="zh-CN" w:bidi="ar"/>
        </w:rPr>
        <w:t>遵循年度预算安排的金额组织资金执行，强化预算执行全过程监控，实时跟踪资金拨付、项目实施进度，确保实际执行数与预算安排数高度匹配，不存在执行数偏离预算数较多、预算执行偏差过大等情况，切实维护预算的严肃性与执行力。</w:t>
      </w:r>
      <w:r>
        <w:rPr>
          <w:rFonts w:hint="eastAsia" w:eastAsia="仿宋_GB2312" w:cs="仿宋_GB2312"/>
          <w:kern w:val="2"/>
          <w:sz w:val="32"/>
          <w:szCs w:val="32"/>
          <w:lang w:val="en-US" w:eastAsia="zh-CN" w:bidi="ar"/>
        </w:rPr>
        <w:t>但存在</w:t>
      </w:r>
      <w:r>
        <w:rPr>
          <w:rFonts w:hint="eastAsia" w:ascii="Times New Roman" w:hAnsi="Times New Roman" w:eastAsia="仿宋_GB2312" w:cs="仿宋_GB2312"/>
          <w:kern w:val="2"/>
          <w:sz w:val="32"/>
          <w:szCs w:val="32"/>
          <w:lang w:val="en-US" w:eastAsia="zh-CN" w:bidi="ar"/>
        </w:rPr>
        <w:t>部分项目资金因项目进展较缓慢，</w:t>
      </w:r>
      <w:r>
        <w:rPr>
          <w:rFonts w:hint="eastAsia" w:eastAsia="仿宋_GB2312" w:cs="仿宋_GB2312"/>
          <w:kern w:val="2"/>
          <w:sz w:val="32"/>
          <w:szCs w:val="32"/>
          <w:lang w:val="en-US" w:eastAsia="zh-CN" w:bidi="ar"/>
        </w:rPr>
        <w:t>资金</w:t>
      </w:r>
      <w:r>
        <w:rPr>
          <w:rFonts w:hint="eastAsia" w:ascii="Times New Roman" w:hAnsi="Times New Roman" w:eastAsia="仿宋_GB2312" w:cs="仿宋_GB2312"/>
          <w:kern w:val="2"/>
          <w:sz w:val="32"/>
          <w:szCs w:val="32"/>
          <w:lang w:val="en-US" w:eastAsia="zh-CN" w:bidi="ar"/>
        </w:rPr>
        <w:t>执行率不高的情况。</w:t>
      </w:r>
    </w:p>
    <w:p w14:paraId="4B4D925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3" w:firstLineChars="200"/>
        <w:jc w:val="both"/>
        <w:textAlignment w:val="auto"/>
        <w:rPr>
          <w:rFonts w:hint="default" w:ascii="Times New Roman" w:hAnsi="Times New Roman" w:eastAsia="仿宋_GB2312" w:cs="Times New Roman"/>
          <w:kern w:val="2"/>
          <w:sz w:val="32"/>
          <w:szCs w:val="32"/>
          <w:lang w:val="en-US"/>
        </w:rPr>
      </w:pPr>
      <w:r>
        <w:rPr>
          <w:rFonts w:hint="default" w:ascii="Times New Roman" w:hAnsi="Times New Roman" w:eastAsia="仿宋_GB2312" w:cs="Times New Roman"/>
          <w:b/>
          <w:bCs/>
          <w:kern w:val="2"/>
          <w:sz w:val="32"/>
          <w:szCs w:val="32"/>
          <w:lang w:val="en-US" w:eastAsia="zh-CN" w:bidi="ar"/>
        </w:rPr>
        <w:t>6</w:t>
      </w:r>
      <w:r>
        <w:rPr>
          <w:rFonts w:hint="default" w:ascii="Times New Roman" w:hAnsi="Times New Roman" w:eastAsia="仿宋_GB2312" w:cs="仿宋_GB2312"/>
          <w:b/>
          <w:bCs w:val="0"/>
          <w:kern w:val="2"/>
          <w:sz w:val="32"/>
          <w:szCs w:val="32"/>
          <w:lang w:val="en-US" w:eastAsia="zh-CN" w:bidi="ar"/>
        </w:rPr>
        <w:t>.</w:t>
      </w:r>
      <w:r>
        <w:rPr>
          <w:rFonts w:hint="eastAsia" w:ascii="Times New Roman" w:hAnsi="Times New Roman" w:eastAsia="仿宋_GB2312" w:cs="Times New Roman"/>
          <w:b/>
          <w:bCs/>
          <w:kern w:val="2"/>
          <w:sz w:val="32"/>
          <w:szCs w:val="32"/>
          <w:lang w:val="en-US" w:eastAsia="zh-CN" w:bidi="ar"/>
        </w:rPr>
        <w:t>预算绩效管理情况。</w:t>
      </w:r>
      <w:r>
        <w:rPr>
          <w:rFonts w:hint="eastAsia" w:ascii="Times New Roman" w:hAnsi="Times New Roman" w:eastAsia="仿宋_GB2312" w:cs="仿宋_GB2312"/>
          <w:kern w:val="2"/>
          <w:sz w:val="32"/>
          <w:szCs w:val="32"/>
          <w:lang w:val="en-US" w:eastAsia="zh-CN" w:bidi="ar"/>
        </w:rPr>
        <w:t>在细化下达省内预算的同时，同步分解下达对应绩效目标，明确各项资金的产出指标、效益指标及服务对象满意度指标。将省内公共文化服务体系建设资金全面纳入本级预算绩效管理及对下转移支付绩效管理体系，构建“预算编制有目标、预算执行有监控、预算完成有评价、评价结果有应用”的全过程绩效管理机制。依托湖南省文化和旅游厅项目管理平台，建立资金跟踪与项目监控机制，推进财政、审计部门联动协作，实现问题共核、结果共享，持续提升资金使用绩效。</w:t>
      </w:r>
      <w:r>
        <w:rPr>
          <w:rFonts w:hint="eastAsia" w:eastAsia="仿宋_GB2312" w:cs="仿宋_GB2312"/>
          <w:kern w:val="2"/>
          <w:sz w:val="32"/>
          <w:szCs w:val="32"/>
          <w:lang w:val="en-US" w:eastAsia="zh-CN" w:bidi="ar"/>
        </w:rPr>
        <w:t>存在部分项目目标不明确，预期目标未按期达成的情况。</w:t>
      </w:r>
    </w:p>
    <w:p w14:paraId="1757D5C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3" w:firstLineChars="200"/>
        <w:jc w:val="both"/>
        <w:textAlignment w:val="auto"/>
        <w:rPr>
          <w:rFonts w:hint="eastAsia" w:ascii="Times New Roman" w:hAnsi="Times New Roman" w:eastAsia="仿宋_GB2312" w:cs="仿宋_GB2312"/>
          <w:kern w:val="2"/>
          <w:sz w:val="32"/>
          <w:szCs w:val="32"/>
          <w:lang w:val="en-US" w:eastAsia="zh-CN" w:bidi="ar"/>
        </w:rPr>
      </w:pPr>
      <w:r>
        <w:rPr>
          <w:rFonts w:hint="default" w:ascii="Times New Roman" w:hAnsi="Times New Roman" w:eastAsia="仿宋_GB2312" w:cs="Times New Roman"/>
          <w:b/>
          <w:bCs/>
          <w:kern w:val="2"/>
          <w:sz w:val="32"/>
          <w:szCs w:val="32"/>
          <w:lang w:val="en-US" w:eastAsia="zh-CN" w:bidi="ar"/>
        </w:rPr>
        <w:t>7</w:t>
      </w:r>
      <w:r>
        <w:rPr>
          <w:rFonts w:hint="default" w:ascii="Times New Roman" w:hAnsi="Times New Roman" w:eastAsia="仿宋_GB2312" w:cs="仿宋_GB2312"/>
          <w:b/>
          <w:bCs w:val="0"/>
          <w:kern w:val="2"/>
          <w:sz w:val="32"/>
          <w:szCs w:val="32"/>
          <w:lang w:val="en-US" w:eastAsia="zh-CN" w:bidi="ar"/>
        </w:rPr>
        <w:t>.</w:t>
      </w:r>
      <w:r>
        <w:rPr>
          <w:rFonts w:hint="eastAsia" w:ascii="Times New Roman" w:hAnsi="Times New Roman" w:eastAsia="仿宋_GB2312" w:cs="仿宋_GB2312"/>
          <w:b/>
          <w:bCs w:val="0"/>
          <w:kern w:val="2"/>
          <w:sz w:val="32"/>
          <w:szCs w:val="32"/>
          <w:lang w:val="en-US" w:eastAsia="zh-CN" w:bidi="ar"/>
        </w:rPr>
        <w:t>支</w:t>
      </w:r>
      <w:r>
        <w:rPr>
          <w:rFonts w:hint="eastAsia" w:ascii="Times New Roman" w:hAnsi="Times New Roman" w:eastAsia="仿宋_GB2312" w:cs="Times New Roman"/>
          <w:b/>
          <w:bCs/>
          <w:kern w:val="2"/>
          <w:sz w:val="32"/>
          <w:szCs w:val="32"/>
          <w:lang w:val="en-US" w:eastAsia="zh-CN" w:bidi="ar"/>
        </w:rPr>
        <w:t>出责任履行情况。</w:t>
      </w:r>
      <w:r>
        <w:rPr>
          <w:rFonts w:hint="eastAsia" w:ascii="Times New Roman" w:hAnsi="Times New Roman" w:eastAsia="仿宋_GB2312" w:cs="仿宋_GB2312"/>
          <w:kern w:val="2"/>
          <w:sz w:val="32"/>
          <w:szCs w:val="32"/>
          <w:lang w:val="en-US" w:eastAsia="zh-CN" w:bidi="ar"/>
        </w:rPr>
        <w:t>按照财政事权和支出责任划分相关规定，足额安排本级财政资金，全面履行省内公共文化服务体系建设资金支出责任。严格执行《中央支持地方公共文化服务体系建设补助资金管理办法》及湖南省文化和旅游厅配套管理</w:t>
      </w:r>
      <w:r>
        <w:rPr>
          <w:rFonts w:hint="eastAsia" w:eastAsia="仿宋_GB2312" w:cs="仿宋_GB2312"/>
          <w:kern w:val="2"/>
          <w:sz w:val="32"/>
          <w:szCs w:val="32"/>
          <w:lang w:val="en-US" w:eastAsia="zh-CN" w:bidi="ar"/>
        </w:rPr>
        <w:t>制度</w:t>
      </w:r>
      <w:r>
        <w:rPr>
          <w:rFonts w:hint="eastAsia" w:ascii="Times New Roman" w:hAnsi="Times New Roman" w:eastAsia="仿宋_GB2312" w:cs="仿宋_GB2312"/>
          <w:kern w:val="2"/>
          <w:sz w:val="32"/>
          <w:szCs w:val="32"/>
          <w:lang w:val="en-US" w:eastAsia="zh-CN" w:bidi="ar"/>
        </w:rPr>
        <w:t>，资金分配流程公开透明，分配依据结合我省基层公共文化服务实际情况科学设定，确保本级支出责任落实到位，为全省公共文化服务体系建设提供坚实的资金保障。</w:t>
      </w:r>
    </w:p>
    <w:p w14:paraId="7EACCAA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3" w:firstLineChars="200"/>
        <w:jc w:val="both"/>
        <w:textAlignment w:val="auto"/>
        <w:rPr>
          <w:rFonts w:hint="default" w:ascii="Times New Roman" w:hAnsi="Times New Roman" w:eastAsia="仿宋_GB2312" w:cs="仿宋_GB2312"/>
          <w:kern w:val="2"/>
          <w:sz w:val="32"/>
          <w:szCs w:val="32"/>
          <w:lang w:val="en-US" w:eastAsia="zh-CN" w:bidi="ar"/>
        </w:rPr>
      </w:pPr>
      <w:r>
        <w:rPr>
          <w:rFonts w:hint="eastAsia" w:ascii="Times New Roman" w:hAnsi="Times New Roman" w:eastAsia="仿宋_GB2312" w:cs="Times New Roman"/>
          <w:b/>
          <w:bCs/>
          <w:kern w:val="2"/>
          <w:sz w:val="32"/>
          <w:szCs w:val="32"/>
          <w:lang w:val="en-US" w:eastAsia="zh-CN" w:bidi="ar"/>
        </w:rPr>
        <w:t>8.政策目标实现情况</w:t>
      </w:r>
      <w:r>
        <w:rPr>
          <w:rFonts w:hint="eastAsia" w:eastAsia="仿宋_GB2312" w:cs="仿宋_GB2312"/>
          <w:kern w:val="2"/>
          <w:sz w:val="32"/>
          <w:szCs w:val="32"/>
          <w:lang w:val="en-US" w:eastAsia="zh-CN" w:bidi="ar"/>
        </w:rPr>
        <w:t>。按照中央支持地方公共文化服务体系建设补助资金相关政策要求，紧扣公共文化服务体系建设规划及湖南省文化强省建设部署，全面落实各项政策目标，成效显著、落地见效。</w:t>
      </w:r>
    </w:p>
    <w:p w14:paraId="4931E551">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0" w:beforeAutospacing="0" w:after="0" w:afterAutospacing="0" w:line="560" w:lineRule="exact"/>
        <w:ind w:left="0" w:right="0" w:firstLine="643" w:firstLineChars="200"/>
        <w:textAlignment w:val="auto"/>
        <w:rPr>
          <w:rFonts w:hint="eastAsia" w:ascii="Times New Roman" w:hAnsi="Times New Roman" w:eastAsia="楷体_GB2312" w:cs="楷体_GB2312"/>
          <w:b/>
          <w:bCs w:val="0"/>
          <w:kern w:val="2"/>
          <w:sz w:val="32"/>
          <w:szCs w:val="32"/>
          <w:lang w:val="en-US" w:eastAsia="zh-CN"/>
        </w:rPr>
      </w:pPr>
      <w:r>
        <w:rPr>
          <w:rFonts w:hint="eastAsia" w:ascii="Times New Roman" w:hAnsi="Times New Roman" w:eastAsia="楷体_GB2312" w:cs="楷体_GB2312"/>
          <w:b/>
          <w:bCs w:val="0"/>
          <w:kern w:val="2"/>
          <w:sz w:val="32"/>
          <w:szCs w:val="32"/>
          <w:lang w:val="en-US" w:eastAsia="zh-CN"/>
        </w:rPr>
        <w:t>（三）总体绩效目标完成情况分析</w:t>
      </w:r>
    </w:p>
    <w:p w14:paraId="5F0DCE3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eastAsia"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kern w:val="2"/>
          <w:sz w:val="32"/>
          <w:szCs w:val="32"/>
          <w:lang w:val="en-US" w:eastAsia="zh-CN" w:bidi="ar"/>
        </w:rPr>
        <w:t>2025年，我省公共文化服务体系建设高质量发展，人民群众精神文化生活更加丰富，公共服务体系不断健全，补短板强弱项取得新成效，有效促进了基本公共文化服务标准化、均等化。其中，在公共数字文化建设方面，通过建设具有湖南特色的公共数字文化资源，重点开展全民艺术普及核心功能服务和全民艺术普及资源库建设，支持脱贫县全民艺术普及服务水平提升。在戏曲公益性演出方面，通过补助全省3个濒危剧种演出、组织戏曲进乡村演出，</w:t>
      </w:r>
      <w:r>
        <w:rPr>
          <w:rFonts w:hint="eastAsia" w:eastAsia="仿宋_GB2312" w:cs="仿宋_GB2312"/>
          <w:kern w:val="2"/>
          <w:sz w:val="32"/>
          <w:szCs w:val="32"/>
          <w:lang w:val="en-US" w:eastAsia="zh-CN" w:bidi="ar"/>
        </w:rPr>
        <w:t>加大</w:t>
      </w:r>
      <w:r>
        <w:rPr>
          <w:rFonts w:hint="eastAsia" w:ascii="Times New Roman" w:hAnsi="Times New Roman" w:eastAsia="仿宋_GB2312" w:cs="仿宋_GB2312"/>
          <w:kern w:val="2"/>
          <w:sz w:val="32"/>
          <w:szCs w:val="32"/>
          <w:lang w:val="en-US" w:eastAsia="zh-CN" w:bidi="ar"/>
        </w:rPr>
        <w:t>了濒危剧种的保护传承力度。在基层公共阅读服务推广方面，支持实施总分馆制的公共图书馆开展总分馆制建设配套设备更新、文献资源采购、图书编目、通借通还、全民阅读活动等，进一步提升了基层阅读服务水平。</w:t>
      </w:r>
    </w:p>
    <w:p w14:paraId="42BB290A">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0" w:beforeAutospacing="0" w:after="0" w:afterAutospacing="0" w:line="560" w:lineRule="exact"/>
        <w:ind w:left="0" w:right="0" w:firstLine="643" w:firstLineChars="200"/>
        <w:textAlignment w:val="auto"/>
        <w:rPr>
          <w:rFonts w:hint="eastAsia" w:ascii="Times New Roman" w:hAnsi="Times New Roman" w:eastAsia="楷体_GB2312" w:cs="楷体_GB2312"/>
          <w:b/>
          <w:bCs w:val="0"/>
          <w:kern w:val="2"/>
          <w:sz w:val="32"/>
          <w:szCs w:val="32"/>
          <w:lang w:val="en-US" w:eastAsia="zh-CN"/>
        </w:rPr>
      </w:pPr>
      <w:r>
        <w:rPr>
          <w:rFonts w:hint="eastAsia" w:ascii="Times New Roman" w:hAnsi="Times New Roman" w:eastAsia="楷体_GB2312" w:cs="楷体_GB2312"/>
          <w:b/>
          <w:bCs w:val="0"/>
          <w:kern w:val="2"/>
          <w:sz w:val="32"/>
          <w:szCs w:val="32"/>
          <w:lang w:val="en-US" w:eastAsia="zh-CN"/>
        </w:rPr>
        <w:t>（四）绩效指标完成情况分析</w:t>
      </w:r>
    </w:p>
    <w:p w14:paraId="4A9916F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3" w:firstLineChars="200"/>
        <w:jc w:val="both"/>
        <w:textAlignment w:val="auto"/>
        <w:rPr>
          <w:rFonts w:hint="eastAsia" w:ascii="Times New Roman" w:hAnsi="Times New Roman" w:eastAsia="仿宋_GB2312" w:cs="仿宋_GB2312"/>
          <w:b/>
          <w:bCs/>
          <w:kern w:val="2"/>
          <w:sz w:val="32"/>
          <w:szCs w:val="32"/>
          <w:lang w:val="en-US" w:eastAsia="zh-CN" w:bidi="ar"/>
        </w:rPr>
      </w:pPr>
      <w:r>
        <w:rPr>
          <w:rFonts w:hint="eastAsia" w:ascii="Times New Roman" w:hAnsi="Times New Roman" w:eastAsia="仿宋_GB2312" w:cs="仿宋_GB2312"/>
          <w:b/>
          <w:bCs/>
          <w:kern w:val="2"/>
          <w:sz w:val="32"/>
          <w:szCs w:val="32"/>
          <w:lang w:val="en-US" w:eastAsia="zh-CN" w:bidi="ar"/>
        </w:rPr>
        <w:t>1.产出指标完成情况分析</w:t>
      </w:r>
    </w:p>
    <w:p w14:paraId="52C8804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eastAsia"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kern w:val="2"/>
          <w:sz w:val="32"/>
          <w:szCs w:val="32"/>
          <w:lang w:val="en-US" w:eastAsia="zh-CN" w:bidi="ar"/>
        </w:rPr>
        <w:t>数量指标：</w:t>
      </w:r>
      <w:r>
        <w:rPr>
          <w:rFonts w:hint="eastAsia" w:eastAsia="仿宋_GB2312" w:cs="仿宋_GB2312"/>
          <w:kern w:val="2"/>
          <w:sz w:val="32"/>
          <w:szCs w:val="32"/>
          <w:lang w:val="en-US" w:eastAsia="zh-CN" w:bidi="ar"/>
        </w:rPr>
        <w:t>均达到年度指标值。包括：</w:t>
      </w:r>
      <w:r>
        <w:rPr>
          <w:rFonts w:hint="eastAsia" w:ascii="Times New Roman" w:hAnsi="Times New Roman" w:eastAsia="仿宋_GB2312" w:cs="仿宋_GB2312"/>
          <w:kern w:val="2"/>
          <w:sz w:val="32"/>
          <w:szCs w:val="32"/>
          <w:lang w:val="en-US" w:eastAsia="zh-CN" w:bidi="ar"/>
        </w:rPr>
        <w:t>智慧图书馆基础数字资源建设数量</w:t>
      </w:r>
      <w:r>
        <w:rPr>
          <w:rFonts w:hint="eastAsia" w:eastAsia="仿宋_GB2312" w:cs="仿宋_GB2312"/>
          <w:kern w:val="2"/>
          <w:sz w:val="32"/>
          <w:szCs w:val="32"/>
          <w:lang w:val="en-US" w:eastAsia="zh-CN" w:bidi="ar"/>
        </w:rPr>
        <w:t>为</w:t>
      </w:r>
      <w:r>
        <w:rPr>
          <w:rFonts w:hint="eastAsia" w:ascii="Times New Roman" w:hAnsi="Times New Roman" w:eastAsia="仿宋_GB2312" w:cs="仿宋_GB2312"/>
          <w:kern w:val="2"/>
          <w:sz w:val="32"/>
          <w:szCs w:val="32"/>
          <w:lang w:val="en-US" w:eastAsia="zh-CN" w:bidi="ar"/>
        </w:rPr>
        <w:t>11.2万筒子叶；支持开展公益性演出的濒临失传剧种数</w:t>
      </w:r>
      <w:r>
        <w:rPr>
          <w:rFonts w:hint="eastAsia" w:eastAsia="仿宋_GB2312" w:cs="仿宋_GB2312"/>
          <w:kern w:val="2"/>
          <w:sz w:val="32"/>
          <w:szCs w:val="32"/>
          <w:lang w:val="en-US" w:eastAsia="zh-CN" w:bidi="ar"/>
        </w:rPr>
        <w:t>量为3个</w:t>
      </w:r>
      <w:r>
        <w:rPr>
          <w:rFonts w:hint="eastAsia" w:ascii="Times New Roman" w:hAnsi="Times New Roman" w:eastAsia="仿宋_GB2312" w:cs="仿宋_GB2312"/>
          <w:kern w:val="2"/>
          <w:sz w:val="32"/>
          <w:szCs w:val="32"/>
          <w:lang w:val="en-US" w:eastAsia="zh-CN" w:bidi="ar"/>
        </w:rPr>
        <w:t>；</w:t>
      </w:r>
      <w:r>
        <w:rPr>
          <w:rFonts w:hint="eastAsia" w:eastAsia="仿宋_GB2312" w:cs="仿宋_GB2312"/>
          <w:kern w:val="2"/>
          <w:sz w:val="32"/>
          <w:szCs w:val="32"/>
          <w:lang w:val="en-US" w:eastAsia="zh-CN" w:bidi="ar"/>
        </w:rPr>
        <w:t>配送戏曲等文艺演出的乡镇（团场）数量为920个；公共文化云全民艺术普及相关直录播28场</w:t>
      </w:r>
      <w:r>
        <w:rPr>
          <w:rFonts w:hint="eastAsia" w:ascii="Times New Roman" w:hAnsi="Times New Roman" w:eastAsia="仿宋_GB2312" w:cs="仿宋_GB2312"/>
          <w:kern w:val="2"/>
          <w:sz w:val="32"/>
          <w:szCs w:val="32"/>
          <w:lang w:val="en-US" w:eastAsia="zh-CN" w:bidi="ar"/>
        </w:rPr>
        <w:t>。</w:t>
      </w:r>
    </w:p>
    <w:p w14:paraId="644CB56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eastAsia"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kern w:val="2"/>
          <w:sz w:val="32"/>
          <w:szCs w:val="32"/>
          <w:lang w:val="en-US" w:eastAsia="zh-CN" w:bidi="ar"/>
        </w:rPr>
        <w:t>质量指标：戏曲进乡村演出节目中地方戏曲曲目占比</w:t>
      </w:r>
      <w:r>
        <w:rPr>
          <w:rFonts w:hint="eastAsia" w:eastAsia="仿宋_GB2312" w:cs="仿宋_GB2312"/>
          <w:kern w:val="2"/>
          <w:sz w:val="32"/>
          <w:szCs w:val="32"/>
          <w:lang w:val="en-US" w:eastAsia="zh-CN" w:bidi="ar"/>
        </w:rPr>
        <w:t>65%；公共数字文化年度任务完成100%；</w:t>
      </w:r>
      <w:r>
        <w:rPr>
          <w:rFonts w:hint="eastAsia" w:ascii="Times New Roman" w:hAnsi="Times New Roman" w:eastAsia="仿宋_GB2312" w:cs="仿宋_GB2312"/>
          <w:kern w:val="2"/>
          <w:sz w:val="32"/>
          <w:szCs w:val="32"/>
          <w:lang w:val="en-US" w:eastAsia="zh-CN" w:bidi="ar"/>
        </w:rPr>
        <w:t>演出质量合格率</w:t>
      </w:r>
      <w:r>
        <w:rPr>
          <w:rFonts w:hint="eastAsia" w:eastAsia="仿宋_GB2312" w:cs="仿宋_GB2312"/>
          <w:kern w:val="2"/>
          <w:sz w:val="32"/>
          <w:szCs w:val="32"/>
          <w:lang w:val="en-US" w:eastAsia="zh-CN" w:bidi="ar"/>
        </w:rPr>
        <w:t>为99%，</w:t>
      </w:r>
      <w:r>
        <w:rPr>
          <w:rFonts w:hint="eastAsia" w:ascii="Times New Roman" w:hAnsi="Times New Roman" w:eastAsia="仿宋_GB2312" w:cs="仿宋_GB2312"/>
          <w:kern w:val="2"/>
          <w:sz w:val="32"/>
          <w:szCs w:val="32"/>
          <w:lang w:val="en-US" w:eastAsia="zh-CN" w:bidi="ar"/>
        </w:rPr>
        <w:t>均达到年度要求，服务标准规范。</w:t>
      </w:r>
    </w:p>
    <w:p w14:paraId="13914EF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eastAsia"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kern w:val="2"/>
          <w:sz w:val="32"/>
          <w:szCs w:val="32"/>
          <w:lang w:val="en-US" w:eastAsia="zh-CN" w:bidi="ar"/>
        </w:rPr>
        <w:t>时效指标：项目按年度计划实施、完工</w:t>
      </w:r>
      <w:r>
        <w:rPr>
          <w:rFonts w:hint="eastAsia" w:eastAsia="仿宋_GB2312" w:cs="仿宋_GB2312"/>
          <w:kern w:val="2"/>
          <w:sz w:val="32"/>
          <w:szCs w:val="32"/>
          <w:lang w:val="en-US" w:eastAsia="zh-CN" w:bidi="ar"/>
        </w:rPr>
        <w:t>率为68%，存在部分项目进度滞后，未达年度预期目标。</w:t>
      </w:r>
    </w:p>
    <w:p w14:paraId="1FE11C3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eastAsia"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kern w:val="2"/>
          <w:sz w:val="32"/>
          <w:szCs w:val="32"/>
          <w:lang w:val="en-US" w:eastAsia="zh-CN" w:bidi="ar"/>
        </w:rPr>
        <w:t>成本指标：严格控制运营与项目成本，单位服务成本、运维成本控制在预算范围内，厉行节约、无超支。</w:t>
      </w:r>
    </w:p>
    <w:p w14:paraId="5E7C91D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eastAsia"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kern w:val="2"/>
          <w:sz w:val="32"/>
          <w:szCs w:val="32"/>
          <w:lang w:val="en-US" w:eastAsia="zh-CN" w:bidi="ar"/>
        </w:rPr>
        <w:t>2.效益指标完成情况分析</w:t>
      </w:r>
    </w:p>
    <w:p w14:paraId="1336E13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eastAsia"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kern w:val="2"/>
          <w:sz w:val="32"/>
          <w:szCs w:val="32"/>
          <w:lang w:val="en-US" w:eastAsia="zh-CN" w:bidi="ar"/>
        </w:rPr>
        <w:t>社会效益：公共文化服务覆盖面持续扩大，基层群众文化需求得到有效满足，城乡公共文化服务均等化水平稳步提升</w:t>
      </w:r>
      <w:r>
        <w:rPr>
          <w:rFonts w:hint="eastAsia" w:eastAsia="仿宋_GB2312" w:cs="仿宋_GB2312"/>
          <w:kern w:val="2"/>
          <w:sz w:val="32"/>
          <w:szCs w:val="32"/>
          <w:lang w:val="en-US" w:eastAsia="zh-CN" w:bidi="ar"/>
        </w:rPr>
        <w:t>，</w:t>
      </w:r>
      <w:r>
        <w:rPr>
          <w:rFonts w:hint="eastAsia" w:ascii="Times New Roman" w:hAnsi="Times New Roman" w:eastAsia="仿宋_GB2312" w:cs="仿宋_GB2312"/>
          <w:kern w:val="2"/>
          <w:sz w:val="32"/>
          <w:szCs w:val="32"/>
          <w:lang w:val="en-US" w:eastAsia="zh-CN" w:bidi="ar"/>
        </w:rPr>
        <w:t>群众文化活动参加人次增长率</w:t>
      </w:r>
      <w:r>
        <w:rPr>
          <w:rFonts w:hint="eastAsia" w:eastAsia="仿宋_GB2312" w:cs="仿宋_GB2312"/>
          <w:kern w:val="2"/>
          <w:sz w:val="32"/>
          <w:szCs w:val="32"/>
          <w:lang w:val="en-US" w:eastAsia="zh-CN" w:bidi="ar"/>
        </w:rPr>
        <w:t>≥10%；湖湘非遗剧种传承保护覆盖率78%</w:t>
      </w:r>
      <w:r>
        <w:rPr>
          <w:rFonts w:hint="eastAsia" w:ascii="Times New Roman" w:hAnsi="Times New Roman" w:eastAsia="仿宋_GB2312" w:cs="仿宋_GB2312"/>
          <w:kern w:val="2"/>
          <w:sz w:val="32"/>
          <w:szCs w:val="32"/>
          <w:lang w:val="en-US" w:eastAsia="zh-CN" w:bidi="ar"/>
        </w:rPr>
        <w:t>。</w:t>
      </w:r>
    </w:p>
    <w:p w14:paraId="3D915F5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eastAsia"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kern w:val="2"/>
          <w:sz w:val="32"/>
          <w:szCs w:val="32"/>
          <w:lang w:val="en-US" w:eastAsia="zh-CN" w:bidi="ar"/>
        </w:rPr>
        <w:t>可持续影响：公共文化设施长效运维机制不断完善，基层文化人才队伍稳定率</w:t>
      </w:r>
      <w:r>
        <w:rPr>
          <w:rFonts w:hint="eastAsia" w:eastAsia="仿宋_GB2312" w:cs="仿宋_GB2312"/>
          <w:kern w:val="2"/>
          <w:sz w:val="32"/>
          <w:szCs w:val="32"/>
          <w:lang w:val="en-US" w:eastAsia="zh-CN" w:bidi="ar"/>
        </w:rPr>
        <w:t>达98%以上</w:t>
      </w:r>
      <w:r>
        <w:rPr>
          <w:rFonts w:hint="eastAsia" w:ascii="Times New Roman" w:hAnsi="Times New Roman" w:eastAsia="仿宋_GB2312" w:cs="仿宋_GB2312"/>
          <w:kern w:val="2"/>
          <w:sz w:val="32"/>
          <w:szCs w:val="32"/>
          <w:lang w:val="en-US" w:eastAsia="zh-CN" w:bidi="ar"/>
        </w:rPr>
        <w:t>，数字文化服务能力持续增强，为长期高质量服务奠定基础。</w:t>
      </w:r>
    </w:p>
    <w:p w14:paraId="09AE69D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eastAsia"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kern w:val="2"/>
          <w:sz w:val="32"/>
          <w:szCs w:val="32"/>
          <w:lang w:val="en-US" w:eastAsia="zh-CN" w:bidi="ar"/>
        </w:rPr>
        <w:t>3.满意度指标完成情况分析</w:t>
      </w:r>
    </w:p>
    <w:p w14:paraId="51E58B0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eastAsia"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kern w:val="2"/>
          <w:sz w:val="32"/>
          <w:szCs w:val="32"/>
          <w:lang w:val="en-US" w:eastAsia="zh-CN" w:bidi="ar"/>
        </w:rPr>
        <w:t>通过</w:t>
      </w:r>
      <w:r>
        <w:rPr>
          <w:rFonts w:hint="eastAsia" w:eastAsia="仿宋_GB2312" w:cs="仿宋_GB2312"/>
          <w:kern w:val="2"/>
          <w:sz w:val="32"/>
          <w:szCs w:val="32"/>
          <w:lang w:val="en-US" w:eastAsia="zh-CN" w:bidi="ar"/>
        </w:rPr>
        <w:t>综合各市州及项目单位满意度指标达成情况，</w:t>
      </w:r>
      <w:r>
        <w:rPr>
          <w:rFonts w:hint="eastAsia" w:ascii="Times New Roman" w:hAnsi="Times New Roman" w:eastAsia="仿宋_GB2312" w:cs="仿宋_GB2312"/>
          <w:kern w:val="2"/>
          <w:sz w:val="32"/>
          <w:szCs w:val="32"/>
          <w:lang w:val="en-US" w:eastAsia="zh-CN" w:bidi="ar"/>
        </w:rPr>
        <w:t>群众对国家基本公共文化服务</w:t>
      </w:r>
      <w:r>
        <w:rPr>
          <w:rFonts w:hint="eastAsia" w:eastAsia="仿宋_GB2312" w:cs="仿宋_GB2312"/>
          <w:kern w:val="2"/>
          <w:sz w:val="32"/>
          <w:szCs w:val="32"/>
          <w:lang w:val="en-US" w:eastAsia="zh-CN" w:bidi="ar"/>
        </w:rPr>
        <w:t>、促进文化消费活动的</w:t>
      </w:r>
      <w:r>
        <w:rPr>
          <w:rFonts w:hint="eastAsia" w:ascii="Times New Roman" w:hAnsi="Times New Roman" w:eastAsia="仿宋_GB2312" w:cs="仿宋_GB2312"/>
          <w:kern w:val="2"/>
          <w:sz w:val="32"/>
          <w:szCs w:val="32"/>
          <w:lang w:val="en-US" w:eastAsia="zh-CN" w:bidi="ar"/>
        </w:rPr>
        <w:t>综合满意度</w:t>
      </w:r>
      <w:r>
        <w:rPr>
          <w:rFonts w:hint="eastAsia" w:eastAsia="仿宋_GB2312" w:cs="仿宋_GB2312"/>
          <w:kern w:val="2"/>
          <w:sz w:val="32"/>
          <w:szCs w:val="32"/>
          <w:lang w:val="en-US" w:eastAsia="zh-CN" w:bidi="ar"/>
        </w:rPr>
        <w:t>分别为92.3</w:t>
      </w:r>
      <w:r>
        <w:rPr>
          <w:rFonts w:hint="eastAsia" w:ascii="Times New Roman" w:hAnsi="Times New Roman" w:eastAsia="仿宋_GB2312" w:cs="仿宋_GB2312"/>
          <w:kern w:val="2"/>
          <w:sz w:val="32"/>
          <w:szCs w:val="32"/>
          <w:lang w:val="en-US" w:eastAsia="zh-CN" w:bidi="ar"/>
        </w:rPr>
        <w:t>%</w:t>
      </w:r>
      <w:r>
        <w:rPr>
          <w:rFonts w:hint="eastAsia" w:eastAsia="仿宋_GB2312" w:cs="仿宋_GB2312"/>
          <w:kern w:val="2"/>
          <w:sz w:val="32"/>
          <w:szCs w:val="32"/>
          <w:lang w:val="en-US" w:eastAsia="zh-CN" w:bidi="ar"/>
        </w:rPr>
        <w:t>、93.1%</w:t>
      </w:r>
      <w:r>
        <w:rPr>
          <w:rFonts w:hint="eastAsia" w:ascii="Times New Roman" w:hAnsi="Times New Roman" w:eastAsia="仿宋_GB2312" w:cs="仿宋_GB2312"/>
          <w:kern w:val="2"/>
          <w:sz w:val="32"/>
          <w:szCs w:val="32"/>
          <w:lang w:val="en-US" w:eastAsia="zh-CN" w:bidi="ar"/>
        </w:rPr>
        <w:t>，达到年度绩效指标要求。</w:t>
      </w:r>
    </w:p>
    <w:p w14:paraId="52DA520B">
      <w:pPr>
        <w:pStyle w:val="3"/>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0" w:beforeLines="0" w:beforeAutospacing="0" w:after="0" w:afterLines="0" w:afterAutospacing="0" w:line="560" w:lineRule="exact"/>
        <w:ind w:firstLine="640" w:firstLineChars="200"/>
        <w:jc w:val="both"/>
        <w:textAlignment w:val="auto"/>
        <w:rPr>
          <w:rFonts w:hint="eastAsia" w:cs="黑体"/>
          <w:b w:val="0"/>
          <w:bCs/>
          <w:kern w:val="44"/>
          <w:sz w:val="32"/>
          <w:szCs w:val="32"/>
          <w:lang w:val="en-US" w:eastAsia="zh-CN"/>
        </w:rPr>
      </w:pPr>
      <w:r>
        <w:rPr>
          <w:rFonts w:hint="eastAsia" w:cs="黑体"/>
          <w:b w:val="0"/>
          <w:bCs/>
          <w:kern w:val="44"/>
          <w:sz w:val="32"/>
          <w:szCs w:val="32"/>
          <w:lang w:val="en-US" w:eastAsia="zh-CN"/>
        </w:rPr>
        <w:t>三、偏离绩效目标的原因和下一步改进措施</w:t>
      </w:r>
    </w:p>
    <w:p w14:paraId="1ABA64A0">
      <w:pPr>
        <w:pStyle w:val="4"/>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0" w:beforeAutospacing="0" w:after="0" w:afterAutospacing="0" w:line="560" w:lineRule="exact"/>
        <w:ind w:firstLine="643" w:firstLineChars="200"/>
        <w:textAlignment w:val="auto"/>
        <w:rPr>
          <w:rFonts w:hint="eastAsia" w:ascii="Times New Roman" w:hAnsi="Times New Roman" w:eastAsia="楷体_GB2312" w:cs="Times New Roman"/>
          <w:b/>
          <w:bCs w:val="0"/>
          <w:kern w:val="2"/>
          <w:sz w:val="32"/>
          <w:szCs w:val="32"/>
        </w:rPr>
      </w:pPr>
      <w:r>
        <w:rPr>
          <w:rFonts w:hint="eastAsia" w:ascii="Times New Roman" w:hAnsi="Times New Roman" w:eastAsia="楷体_GB2312" w:cs="楷体_GB2312"/>
          <w:b/>
          <w:bCs w:val="0"/>
          <w:kern w:val="2"/>
          <w:sz w:val="32"/>
          <w:szCs w:val="32"/>
        </w:rPr>
        <w:t>（一）偏离绩效目标的原因</w:t>
      </w:r>
    </w:p>
    <w:p w14:paraId="0E66501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
        </w:rPr>
      </w:pPr>
      <w:r>
        <w:rPr>
          <w:rFonts w:hint="default" w:ascii="Times New Roman" w:hAnsi="Times New Roman" w:eastAsia="仿宋_GB2312" w:cs="Times New Roman"/>
          <w:kern w:val="2"/>
          <w:sz w:val="32"/>
          <w:szCs w:val="32"/>
          <w:lang w:val="en-US" w:eastAsia="zh-CN" w:bidi="ar"/>
        </w:rPr>
        <w:t>本年度中央支持地方公共文化服务体系建设补助资金整体推进良好，多数绩效指标圆满完成，但部分项目单位存在项目执行进度缓慢、资金执行率低、绩效目标设置不合理不精准、预期效益未达成等问题，导致个别环节偏离绩效目标，具体原因分析如下：</w:t>
      </w:r>
    </w:p>
    <w:p w14:paraId="518443A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before="0" w:beforeAutospacing="0" w:after="0" w:afterAutospacing="0" w:line="560" w:lineRule="exact"/>
        <w:ind w:left="0" w:right="0" w:firstLine="643" w:firstLineChars="200"/>
        <w:jc w:val="both"/>
        <w:textAlignment w:val="auto"/>
        <w:rPr>
          <w:rFonts w:hint="default" w:ascii="Times New Roman" w:hAnsi="Times New Roman" w:eastAsia="仿宋_GB2312" w:cs="Times New Roman"/>
          <w:kern w:val="2"/>
          <w:sz w:val="32"/>
          <w:szCs w:val="32"/>
          <w:lang w:val="en-US" w:eastAsia="zh-CN" w:bidi="ar"/>
        </w:rPr>
      </w:pPr>
      <w:r>
        <w:rPr>
          <w:rFonts w:hint="default" w:ascii="Times New Roman" w:hAnsi="Times New Roman" w:eastAsia="仿宋_GB2312" w:cs="Times New Roman"/>
          <w:b/>
          <w:bCs/>
          <w:kern w:val="2"/>
          <w:sz w:val="32"/>
          <w:szCs w:val="32"/>
          <w:lang w:val="en-US" w:eastAsia="zh-CN" w:bidi="ar"/>
        </w:rPr>
        <w:t>1.项目执行与资金管理管控不到位</w:t>
      </w:r>
      <w:r>
        <w:rPr>
          <w:rFonts w:hint="eastAsia" w:eastAsia="仿宋_GB2312" w:cs="Times New Roman"/>
          <w:b/>
          <w:bCs/>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部分项目单位对项目推进缺乏系统性规划，前期调研论证不充分，项目实施方案不完善，导致项目启动滞后、推进节奏不均衡，出现执行进度缓慢的问题；同时，部分单位资金使用计划不科学，资金拨付与项目执行进度脱节，审批效率不高，造成资金执行率偏低，未能及时将资金转化为实际服务成效。</w:t>
      </w:r>
    </w:p>
    <w:p w14:paraId="6F4D29B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before="0" w:beforeAutospacing="0" w:after="0" w:afterAutospacing="0" w:line="560" w:lineRule="exact"/>
        <w:ind w:left="0" w:right="0" w:firstLine="643" w:firstLineChars="200"/>
        <w:jc w:val="both"/>
        <w:textAlignment w:val="auto"/>
        <w:rPr>
          <w:rFonts w:hint="default" w:ascii="Times New Roman" w:hAnsi="Times New Roman" w:eastAsia="仿宋_GB2312" w:cs="Times New Roman"/>
          <w:kern w:val="2"/>
          <w:sz w:val="32"/>
          <w:szCs w:val="32"/>
          <w:lang w:val="en-US" w:eastAsia="zh-CN" w:bidi="ar"/>
        </w:rPr>
      </w:pPr>
      <w:r>
        <w:rPr>
          <w:rFonts w:hint="default" w:ascii="Times New Roman" w:hAnsi="Times New Roman" w:eastAsia="仿宋_GB2312" w:cs="Times New Roman"/>
          <w:b/>
          <w:bCs/>
          <w:kern w:val="2"/>
          <w:sz w:val="32"/>
          <w:szCs w:val="32"/>
          <w:lang w:val="en-US" w:eastAsia="zh-CN" w:bidi="ar"/>
        </w:rPr>
        <w:t>2.绩效目标设置缺乏科学性与精准性</w:t>
      </w:r>
      <w:r>
        <w:rPr>
          <w:rFonts w:hint="eastAsia" w:eastAsia="仿宋_GB2312" w:cs="Times New Roman"/>
          <w:b/>
          <w:bCs/>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部分项目单位在设置绩效目标时，未结合本地区公共文化服务实际需求、自身执行能力及项目特点，存在目标设置过高、过低或过于笼统的问题，指标细化程度不足，缺乏可衡量、可落地的具体标准，导致绩效目标与实际工作脱节，难以有效指导项目推进，部分预期效益无法如期达成。</w:t>
      </w:r>
    </w:p>
    <w:p w14:paraId="529EB47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before="0" w:beforeAutospacing="0" w:after="0" w:afterAutospacing="0" w:line="560" w:lineRule="exact"/>
        <w:ind w:left="0" w:right="0" w:firstLine="643" w:firstLineChars="200"/>
        <w:jc w:val="both"/>
        <w:textAlignment w:val="auto"/>
        <w:rPr>
          <w:rFonts w:hint="default" w:ascii="Times New Roman" w:hAnsi="Times New Roman" w:eastAsia="仿宋_GB2312" w:cs="Times New Roman"/>
          <w:kern w:val="2"/>
          <w:sz w:val="32"/>
          <w:szCs w:val="32"/>
          <w:lang w:val="en-US" w:eastAsia="zh-CN" w:bidi="ar"/>
        </w:rPr>
      </w:pPr>
      <w:r>
        <w:rPr>
          <w:rFonts w:hint="default" w:ascii="Times New Roman" w:hAnsi="Times New Roman" w:eastAsia="仿宋_GB2312" w:cs="Times New Roman"/>
          <w:b/>
          <w:bCs/>
          <w:kern w:val="2"/>
          <w:sz w:val="32"/>
          <w:szCs w:val="32"/>
          <w:lang w:val="en-US" w:eastAsia="zh-CN" w:bidi="ar"/>
        </w:rPr>
        <w:t>3.基层执行能力与保障力度不足</w:t>
      </w:r>
      <w:r>
        <w:rPr>
          <w:rFonts w:hint="eastAsia" w:eastAsia="仿宋_GB2312" w:cs="Times New Roman"/>
          <w:b/>
          <w:bCs/>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部分基层项目单位公共文化专业人才短缺，缺乏项目管理、资金使用、绩效管控等方面的专业能力，导致项目推进不规范、进度滞后；同时，部分基层单位运维资金、技术支撑保障不足，尤其是偏远地区，受人员、技术、资源等限制，项目实施质量不高，难以实现预期的社会效益、经济效益和可持续影响，导致预期效益未达成。</w:t>
      </w:r>
    </w:p>
    <w:p w14:paraId="29E3084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before="0" w:beforeAutospacing="0" w:after="0" w:afterAutospacing="0" w:line="560" w:lineRule="exact"/>
        <w:ind w:left="0" w:right="0" w:firstLine="643" w:firstLineChars="200"/>
        <w:jc w:val="both"/>
        <w:textAlignment w:val="auto"/>
        <w:rPr>
          <w:rFonts w:hint="eastAsia" w:ascii="Times New Roman" w:hAnsi="Times New Roman" w:eastAsia="仿宋_GB2312" w:cs="Times New Roman"/>
          <w:kern w:val="2"/>
          <w:sz w:val="32"/>
          <w:szCs w:val="32"/>
        </w:rPr>
      </w:pPr>
      <w:r>
        <w:rPr>
          <w:rFonts w:hint="default" w:ascii="Times New Roman" w:hAnsi="Times New Roman" w:eastAsia="仿宋_GB2312" w:cs="Times New Roman"/>
          <w:b/>
          <w:bCs/>
          <w:kern w:val="2"/>
          <w:sz w:val="32"/>
          <w:szCs w:val="32"/>
          <w:lang w:val="en-US" w:eastAsia="zh-CN" w:bidi="ar"/>
        </w:rPr>
        <w:t>4.绩效管控与跟踪督导机制不完善</w:t>
      </w:r>
      <w:r>
        <w:rPr>
          <w:rFonts w:hint="eastAsia" w:eastAsia="仿宋_GB2312" w:cs="Times New Roman"/>
          <w:b/>
          <w:bCs/>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部分项目单位未建立健全全过程绩效管控机制，对项目执行、资金使用、绩效目标完成情况的跟踪督导不及时、不全面，未能及时发现项目推进中的问题并督促整改；同时，绩效评价结果应用不到位，未将评价结果与项目后续安排、资金分配挂钩，难以形成有效约束，导致部分问题反复出现，影响绩效目标整体达成。</w:t>
      </w:r>
    </w:p>
    <w:p w14:paraId="5B10B101">
      <w:pPr>
        <w:pStyle w:val="4"/>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0" w:beforeAutospacing="0" w:after="0" w:afterAutospacing="0" w:line="560" w:lineRule="exact"/>
        <w:ind w:firstLine="643" w:firstLineChars="200"/>
        <w:textAlignment w:val="auto"/>
        <w:rPr>
          <w:rFonts w:hint="eastAsia" w:ascii="Times New Roman" w:hAnsi="Times New Roman" w:eastAsia="楷体_GB2312" w:cs="Times New Roman"/>
          <w:b/>
          <w:bCs w:val="0"/>
          <w:kern w:val="2"/>
          <w:sz w:val="32"/>
          <w:szCs w:val="32"/>
        </w:rPr>
      </w:pPr>
      <w:r>
        <w:rPr>
          <w:rFonts w:hint="eastAsia" w:ascii="Times New Roman" w:hAnsi="Times New Roman" w:eastAsia="楷体_GB2312" w:cs="楷体_GB2312"/>
          <w:b/>
          <w:bCs w:val="0"/>
          <w:kern w:val="2"/>
          <w:sz w:val="32"/>
          <w:szCs w:val="32"/>
        </w:rPr>
        <w:t>（二）下一步改进措施</w:t>
      </w:r>
    </w:p>
    <w:p w14:paraId="22799A4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
        </w:rPr>
      </w:pPr>
      <w:r>
        <w:rPr>
          <w:rFonts w:hint="default" w:ascii="Times New Roman" w:hAnsi="Times New Roman" w:eastAsia="仿宋_GB2312" w:cs="Times New Roman"/>
          <w:kern w:val="2"/>
          <w:sz w:val="32"/>
          <w:szCs w:val="32"/>
          <w:lang w:val="en-US" w:eastAsia="zh-CN" w:bidi="ar"/>
        </w:rPr>
        <w:t>针对上述偏离绩效目标的问题及根源，结合湖南省公共文化服务体系建设实际，立足中央补助资金使用效益提升，聚焦问题整改、能力提升、机制完善，提出以下改进建议，确保后续绩效目标高质量达成，推动公共文化服务提质增效：</w:t>
      </w:r>
    </w:p>
    <w:p w14:paraId="46EE1EE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
        </w:rPr>
      </w:pPr>
      <w:r>
        <w:rPr>
          <w:rFonts w:hint="default" w:ascii="Times New Roman" w:hAnsi="Times New Roman" w:eastAsia="仿宋_GB2312" w:cs="Times New Roman"/>
          <w:kern w:val="2"/>
          <w:sz w:val="32"/>
          <w:szCs w:val="32"/>
          <w:lang w:val="en-US" w:eastAsia="zh-CN" w:bidi="ar"/>
        </w:rPr>
        <w:t>1.强化项目与资金管控。一是要求各项目单位完善项目实施方案，细化项目推进时间表、路线图，明确责任分工，加强前期调研论证，避免项目盲目启动；对进度缓慢的项目进行约谈督办，倒逼项目加快推进。二是优化资金使用管理，建立资金执行与项目进度联动机制，简化资金拨付审批流程，提高资金拨付效率；加强资金使用动态监控，杜绝资金闲置、挪用等问题，确保资金及时足额投入项目实施，提升资金执行率。</w:t>
      </w:r>
    </w:p>
    <w:p w14:paraId="1D57449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
        </w:rPr>
      </w:pPr>
      <w:r>
        <w:rPr>
          <w:rFonts w:hint="default" w:ascii="Times New Roman" w:hAnsi="Times New Roman" w:eastAsia="仿宋_GB2312" w:cs="Times New Roman"/>
          <w:kern w:val="2"/>
          <w:sz w:val="32"/>
          <w:szCs w:val="32"/>
          <w:lang w:val="en-US" w:eastAsia="zh-CN" w:bidi="ar"/>
        </w:rPr>
        <w:t>2.规范绩效目标设置。一是指导各项目单位结合本地区实际、项目需求及执行能力，科学合理设置绩效目标，细化量化三级指标，明确指标值、完成时限和衡量标准，确保绩效目标可衡量、可落地、可追溯。二是建立绩效目标审核机制，由主管部门对各项目单位上报的绩效目标进行严格审核，对设置不合理、不精准的目标一律退回修改，从源头保障绩效目标的科学性和针对性。</w:t>
      </w:r>
    </w:p>
    <w:p w14:paraId="49ED4A9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kern w:val="2"/>
          <w:sz w:val="32"/>
          <w:szCs w:val="32"/>
        </w:rPr>
      </w:pPr>
      <w:r>
        <w:rPr>
          <w:rFonts w:hint="eastAsia" w:eastAsia="仿宋_GB2312" w:cs="Times New Roman"/>
          <w:kern w:val="2"/>
          <w:sz w:val="32"/>
          <w:szCs w:val="32"/>
          <w:lang w:val="en-US" w:eastAsia="zh-CN" w:bidi="ar"/>
        </w:rPr>
        <w:t>3</w:t>
      </w:r>
      <w:r>
        <w:rPr>
          <w:rFonts w:hint="default" w:ascii="Times New Roman" w:hAnsi="Times New Roman" w:eastAsia="仿宋_GB2312" w:cs="Times New Roman"/>
          <w:kern w:val="2"/>
          <w:sz w:val="32"/>
          <w:szCs w:val="32"/>
          <w:lang w:val="en-US" w:eastAsia="zh-CN" w:bidi="ar"/>
        </w:rPr>
        <w:t>.强化跟踪督导与结果应用。一是建立健全全过程绩效管控机制，主管部门定期对项目执行、资金使用、绩效目标完成情况进行跟踪督导，开展绩效运行监控分析，及时发现问题、督促整改，确保项目按计划推进、绩效目标如期达成。二是完善绩效评价结果应用机制，将绩效评价结果与资金分配、项目安排、评优评先挂钩，对绩效评价优秀的单位予以倾斜，对绩效不佳、问题较多的单位进行约谈、通报，提升各项目单位工作质量，防范绩效目标偏离风险，充分发挥中央补助资金的引导和支撑作用</w:t>
      </w:r>
      <w:r>
        <w:rPr>
          <w:rFonts w:hint="eastAsia" w:ascii="Times New Roman" w:hAnsi="Times New Roman" w:eastAsia="仿宋_GB2312" w:cs="仿宋_GB2312"/>
          <w:kern w:val="2"/>
          <w:sz w:val="32"/>
          <w:szCs w:val="32"/>
          <w:lang w:val="en-US" w:eastAsia="zh-CN" w:bidi="ar"/>
        </w:rPr>
        <w:t>。</w:t>
      </w:r>
    </w:p>
    <w:p w14:paraId="7EDBB9EF">
      <w:pPr>
        <w:pStyle w:val="3"/>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0" w:beforeLines="0" w:beforeAutospacing="0" w:after="0" w:afterLines="0" w:afterAutospacing="0" w:line="560" w:lineRule="exact"/>
        <w:ind w:firstLine="640" w:firstLineChars="200"/>
        <w:jc w:val="both"/>
        <w:textAlignment w:val="auto"/>
        <w:rPr>
          <w:rFonts w:hint="eastAsia" w:cs="黑体"/>
          <w:b w:val="0"/>
          <w:bCs/>
          <w:kern w:val="44"/>
          <w:sz w:val="32"/>
          <w:szCs w:val="32"/>
          <w:lang w:val="en-US" w:eastAsia="zh-CN"/>
        </w:rPr>
      </w:pPr>
      <w:r>
        <w:rPr>
          <w:rFonts w:hint="eastAsia" w:cs="黑体"/>
          <w:b w:val="0"/>
          <w:bCs/>
          <w:kern w:val="44"/>
          <w:sz w:val="32"/>
          <w:szCs w:val="32"/>
          <w:lang w:val="en-US" w:eastAsia="zh-CN"/>
        </w:rPr>
        <w:t>四、绩效自评结果拟应用和公开情况</w:t>
      </w:r>
    </w:p>
    <w:p w14:paraId="033050A1">
      <w:pPr>
        <w:pStyle w:val="4"/>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0" w:beforeAutospacing="0" w:after="0" w:afterAutospacing="0" w:line="560" w:lineRule="exact"/>
        <w:ind w:firstLine="643" w:firstLineChars="200"/>
        <w:jc w:val="both"/>
        <w:textAlignment w:val="auto"/>
        <w:rPr>
          <w:rFonts w:hint="eastAsia" w:ascii="Times New Roman" w:hAnsi="Times New Roman" w:eastAsia="楷体_GB2312" w:cs="Times New Roman"/>
          <w:b/>
          <w:bCs w:val="0"/>
          <w:kern w:val="2"/>
          <w:sz w:val="32"/>
          <w:szCs w:val="32"/>
        </w:rPr>
      </w:pPr>
      <w:r>
        <w:rPr>
          <w:rFonts w:hint="eastAsia" w:ascii="Times New Roman" w:hAnsi="Times New Roman" w:eastAsia="楷体_GB2312" w:cs="楷体_GB2312"/>
          <w:b/>
          <w:bCs w:val="0"/>
          <w:kern w:val="2"/>
          <w:sz w:val="32"/>
          <w:szCs w:val="32"/>
        </w:rPr>
        <w:t>（一）绩效自评结果的应用</w:t>
      </w:r>
    </w:p>
    <w:p w14:paraId="74B0253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spacing w:val="-6"/>
          <w:kern w:val="2"/>
          <w:sz w:val="32"/>
          <w:szCs w:val="32"/>
        </w:rPr>
      </w:pPr>
      <w:r>
        <w:rPr>
          <w:rFonts w:hint="eastAsia" w:ascii="Times New Roman" w:hAnsi="Times New Roman" w:eastAsia="仿宋_GB2312" w:cs="仿宋_GB2312"/>
          <w:kern w:val="2"/>
          <w:sz w:val="32"/>
          <w:szCs w:val="32"/>
          <w:lang w:val="en-US" w:eastAsia="zh-CN" w:bidi="ar"/>
        </w:rPr>
        <w:t>绩效评价结果应用，既是开展绩效评价工作的基本前提，又是增强资金绩效理念、合理配置公共资源、优化财政支出结构、提高资金使用效益的重要手段。我厅将围绕《国家基本公共服务标准（</w:t>
      </w:r>
      <w:r>
        <w:rPr>
          <w:rFonts w:hint="default" w:ascii="Times New Roman" w:hAnsi="Times New Roman" w:eastAsia="仿宋_GB2312" w:cs="Times New Roman"/>
          <w:kern w:val="2"/>
          <w:sz w:val="32"/>
          <w:szCs w:val="32"/>
          <w:lang w:val="en-US" w:eastAsia="zh-CN" w:bidi="ar"/>
        </w:rPr>
        <w:t>2023</w:t>
      </w:r>
      <w:r>
        <w:rPr>
          <w:rFonts w:hint="eastAsia" w:ascii="Times New Roman" w:hAnsi="Times New Roman" w:eastAsia="仿宋_GB2312" w:cs="仿宋_GB2312"/>
          <w:kern w:val="2"/>
          <w:sz w:val="32"/>
          <w:szCs w:val="32"/>
          <w:lang w:val="en-US" w:eastAsia="zh-CN" w:bidi="ar"/>
        </w:rPr>
        <w:t>年版）》《湖南省基本公共服务标准（</w:t>
      </w:r>
      <w:r>
        <w:rPr>
          <w:rFonts w:hint="default" w:ascii="Times New Roman" w:hAnsi="Times New Roman" w:eastAsia="仿宋_GB2312" w:cs="Times New Roman"/>
          <w:kern w:val="2"/>
          <w:sz w:val="32"/>
          <w:szCs w:val="32"/>
          <w:lang w:val="en-US" w:eastAsia="zh-CN" w:bidi="ar"/>
        </w:rPr>
        <w:t>2023</w:t>
      </w:r>
      <w:r>
        <w:rPr>
          <w:rFonts w:hint="eastAsia" w:ascii="Times New Roman" w:hAnsi="Times New Roman" w:eastAsia="仿宋_GB2312" w:cs="仿宋_GB2312"/>
          <w:kern w:val="2"/>
          <w:sz w:val="32"/>
          <w:szCs w:val="32"/>
          <w:lang w:val="en-US" w:eastAsia="zh-CN" w:bidi="ar"/>
        </w:rPr>
        <w:t>年版）》所确定的基本公共文化服务</w:t>
      </w:r>
      <w:r>
        <w:rPr>
          <w:rFonts w:hint="eastAsia" w:ascii="Times New Roman" w:hAnsi="Times New Roman" w:eastAsia="仿宋_GB2312" w:cs="仿宋_GB2312"/>
          <w:spacing w:val="-6"/>
          <w:kern w:val="2"/>
          <w:sz w:val="32"/>
          <w:szCs w:val="32"/>
          <w:lang w:val="en-US" w:eastAsia="zh-CN" w:bidi="ar"/>
        </w:rPr>
        <w:t>内容，充分应用绩效自评结果。自评结果主要应用于以下几个方面：</w:t>
      </w:r>
    </w:p>
    <w:p w14:paraId="6C51F5D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1.</w:t>
      </w:r>
      <w:r>
        <w:rPr>
          <w:rFonts w:hint="eastAsia" w:ascii="Times New Roman" w:hAnsi="Times New Roman" w:eastAsia="仿宋_GB2312" w:cs="仿宋_GB2312"/>
          <w:kern w:val="2"/>
          <w:sz w:val="32"/>
          <w:szCs w:val="32"/>
          <w:lang w:val="en-US" w:eastAsia="zh-CN" w:bidi="ar"/>
        </w:rPr>
        <w:t>以自评促管理。我厅将及时反馈自评中发现的问题给资金使用单位及其主管部门，压实主体责任，限期整改，并将整改结果上报，以此促进其相关部门和单位提高专项资金管理水平。</w:t>
      </w:r>
    </w:p>
    <w:p w14:paraId="2037D34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spacing w:val="-6"/>
          <w:kern w:val="2"/>
          <w:sz w:val="32"/>
          <w:szCs w:val="32"/>
          <w:lang w:val="en-US" w:eastAsia="zh-CN" w:bidi="ar"/>
        </w:rPr>
      </w:pPr>
      <w:r>
        <w:rPr>
          <w:rFonts w:hint="default" w:ascii="Times New Roman" w:hAnsi="Times New Roman" w:eastAsia="仿宋_GB2312" w:cs="Times New Roman"/>
          <w:kern w:val="2"/>
          <w:sz w:val="32"/>
          <w:szCs w:val="32"/>
          <w:lang w:val="en-US" w:eastAsia="zh-CN" w:bidi="ar"/>
        </w:rPr>
        <w:t>2.</w:t>
      </w:r>
      <w:r>
        <w:rPr>
          <w:rFonts w:hint="eastAsia" w:ascii="Times New Roman" w:hAnsi="Times New Roman" w:eastAsia="仿宋_GB2312" w:cs="仿宋_GB2312"/>
          <w:kern w:val="2"/>
          <w:sz w:val="32"/>
          <w:szCs w:val="32"/>
          <w:lang w:val="en-US" w:eastAsia="zh-CN" w:bidi="ar"/>
        </w:rPr>
        <w:t>以自评促效益。充分利用自评结果，切实增强市州文旅部</w:t>
      </w:r>
      <w:r>
        <w:rPr>
          <w:rFonts w:hint="eastAsia" w:ascii="Times New Roman" w:hAnsi="Times New Roman" w:eastAsia="仿宋_GB2312" w:cs="仿宋_GB2312"/>
          <w:spacing w:val="-6"/>
          <w:kern w:val="2"/>
          <w:sz w:val="32"/>
          <w:szCs w:val="32"/>
          <w:lang w:val="en-US" w:eastAsia="zh-CN" w:bidi="ar"/>
        </w:rPr>
        <w:t>门和资金使用单位的支出责任和效率意识，提高专项资金使用效果。</w:t>
      </w:r>
    </w:p>
    <w:p w14:paraId="4C0A139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0" w:beforeAutospacing="0" w:after="0" w:afterAutospacing="0" w:line="580" w:lineRule="exact"/>
        <w:ind w:left="0" w:right="0" w:firstLine="640" w:firstLineChars="200"/>
        <w:jc w:val="both"/>
        <w:textAlignment w:val="auto"/>
        <w:rPr>
          <w:rFonts w:hint="eastAsia"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3.</w:t>
      </w:r>
      <w:r>
        <w:rPr>
          <w:rFonts w:hint="eastAsia" w:ascii="Times New Roman" w:hAnsi="Times New Roman" w:eastAsia="仿宋_GB2312" w:cs="仿宋_GB2312"/>
          <w:kern w:val="2"/>
          <w:sz w:val="32"/>
          <w:szCs w:val="32"/>
          <w:lang w:val="en-US" w:eastAsia="zh-CN" w:bidi="ar"/>
        </w:rPr>
        <w:t>以自评促改进。对市州文旅部门和资金使用单位在绩效自评过</w:t>
      </w:r>
      <w:r>
        <w:rPr>
          <w:rFonts w:hint="eastAsia" w:eastAsia="仿宋_GB2312" w:cs="仿宋_GB2312"/>
          <w:kern w:val="2"/>
          <w:sz w:val="32"/>
          <w:szCs w:val="32"/>
          <w:lang w:val="en-US" w:eastAsia="zh-CN" w:bidi="ar"/>
        </w:rPr>
        <w:t>程中</w:t>
      </w:r>
      <w:r>
        <w:rPr>
          <w:rFonts w:hint="eastAsia" w:ascii="Times New Roman" w:hAnsi="Times New Roman" w:eastAsia="仿宋_GB2312" w:cs="仿宋_GB2312"/>
          <w:kern w:val="2"/>
          <w:sz w:val="32"/>
          <w:szCs w:val="32"/>
          <w:lang w:val="en-US" w:eastAsia="zh-CN" w:bidi="ar"/>
        </w:rPr>
        <w:t>发现绩效评价中存在的问题，通过完善绩效评价流程，我厅将强化绩效评价过程管理，进一步增强绩效管理意识，不断提高专项资金绩效评价工作质量。</w:t>
      </w:r>
    </w:p>
    <w:p w14:paraId="223AF940">
      <w:pPr>
        <w:pStyle w:val="4"/>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0" w:beforeAutospacing="0" w:after="0" w:afterAutospacing="0" w:line="560" w:lineRule="exact"/>
        <w:ind w:firstLine="643" w:firstLineChars="200"/>
        <w:textAlignment w:val="auto"/>
        <w:rPr>
          <w:rFonts w:hint="eastAsia" w:ascii="Times New Roman" w:hAnsi="Times New Roman" w:eastAsia="楷体_GB2312" w:cs="Times New Roman"/>
          <w:b/>
          <w:bCs w:val="0"/>
          <w:kern w:val="2"/>
          <w:sz w:val="32"/>
          <w:szCs w:val="32"/>
        </w:rPr>
      </w:pPr>
      <w:r>
        <w:rPr>
          <w:rFonts w:hint="eastAsia" w:ascii="Times New Roman" w:hAnsi="Times New Roman" w:eastAsia="楷体_GB2312" w:cs="楷体_GB2312"/>
          <w:b/>
          <w:bCs w:val="0"/>
          <w:kern w:val="2"/>
          <w:sz w:val="32"/>
          <w:szCs w:val="32"/>
        </w:rPr>
        <w:t>（二）绩效自评结果公开情况</w:t>
      </w:r>
    </w:p>
    <w:p w14:paraId="4B3792D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kern w:val="2"/>
          <w:sz w:val="32"/>
          <w:szCs w:val="32"/>
          <w:lang w:val="en-US" w:eastAsia="zh-CN" w:bidi="ar"/>
        </w:rPr>
        <w:t>我厅拟将本次自评结果在我厅官网上进行公示，接受社会公众监督。</w:t>
      </w:r>
    </w:p>
    <w:p w14:paraId="50D3AE8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kern w:val="2"/>
          <w:sz w:val="32"/>
          <w:szCs w:val="32"/>
          <w:lang w:val="en-US" w:eastAsia="zh-CN" w:bidi="ar"/>
        </w:rPr>
      </w:pPr>
    </w:p>
    <w:p w14:paraId="39886AA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before="0" w:beforeAutospacing="0" w:after="0" w:afterAutospacing="0" w:line="560" w:lineRule="exact"/>
        <w:ind w:left="1598" w:leftChars="304" w:right="0" w:hanging="960" w:hangingChars="300"/>
        <w:jc w:val="both"/>
        <w:textAlignment w:val="auto"/>
        <w:rPr>
          <w:rFonts w:hint="eastAsia" w:ascii="Times New Roman" w:hAnsi="Times New Roman" w:eastAsia="仿宋_GB2312" w:cs="Times New Roman"/>
          <w:kern w:val="2"/>
          <w:sz w:val="32"/>
          <w:szCs w:val="32"/>
        </w:rPr>
      </w:pPr>
      <w:r>
        <w:rPr>
          <w:rFonts w:hint="eastAsia" w:ascii="Times New Roman" w:hAnsi="Times New Roman" w:eastAsia="仿宋_GB2312" w:cs="仿宋_GB2312"/>
          <w:kern w:val="2"/>
          <w:sz w:val="32"/>
          <w:szCs w:val="32"/>
          <w:lang w:val="en-US" w:eastAsia="zh-CN" w:bidi="ar"/>
        </w:rPr>
        <w:t>附件：</w:t>
      </w:r>
      <w:r>
        <w:rPr>
          <w:rFonts w:hint="default" w:ascii="Times New Roman" w:hAnsi="Times New Roman" w:eastAsia="仿宋_GB2312" w:cs="Times New Roman"/>
          <w:kern w:val="2"/>
          <w:sz w:val="32"/>
          <w:szCs w:val="32"/>
          <w:lang w:val="en-US" w:eastAsia="zh-CN" w:bidi="ar"/>
        </w:rPr>
        <w:t>202</w:t>
      </w:r>
      <w:r>
        <w:rPr>
          <w:rFonts w:hint="eastAsia" w:eastAsia="仿宋_GB2312" w:cs="Times New Roman"/>
          <w:kern w:val="2"/>
          <w:sz w:val="32"/>
          <w:szCs w:val="32"/>
          <w:lang w:val="en-US" w:eastAsia="zh-CN" w:bidi="ar"/>
        </w:rPr>
        <w:t>5</w:t>
      </w:r>
      <w:r>
        <w:rPr>
          <w:rFonts w:hint="eastAsia" w:ascii="Times New Roman" w:hAnsi="Times New Roman" w:eastAsia="仿宋_GB2312" w:cs="仿宋_GB2312"/>
          <w:kern w:val="2"/>
          <w:sz w:val="32"/>
          <w:szCs w:val="32"/>
          <w:lang w:val="en-US" w:eastAsia="zh-CN" w:bidi="ar"/>
        </w:rPr>
        <w:t>年度中央支持地方公共文化服务体系建设补助资金</w:t>
      </w:r>
      <w:r>
        <w:rPr>
          <w:rFonts w:hint="eastAsia" w:eastAsia="仿宋_GB2312" w:cs="仿宋_GB2312"/>
          <w:kern w:val="2"/>
          <w:sz w:val="32"/>
          <w:szCs w:val="32"/>
          <w:lang w:val="en-US" w:eastAsia="zh-CN" w:bidi="ar"/>
        </w:rPr>
        <w:t>区域</w:t>
      </w:r>
      <w:r>
        <w:rPr>
          <w:rFonts w:hint="eastAsia" w:ascii="Times New Roman" w:hAnsi="Times New Roman" w:eastAsia="仿宋_GB2312" w:cs="仿宋_GB2312"/>
          <w:kern w:val="2"/>
          <w:sz w:val="32"/>
          <w:szCs w:val="32"/>
          <w:lang w:val="en-US" w:eastAsia="zh-CN" w:bidi="ar"/>
        </w:rPr>
        <w:t>绩效自评表</w:t>
      </w:r>
    </w:p>
    <w:p w14:paraId="11577BB2">
      <w:pPr>
        <w:keepNext w:val="0"/>
        <w:keepLines w:val="0"/>
        <w:widowControl w:val="0"/>
        <w:suppressLineNumbers w:val="0"/>
        <w:autoSpaceDE w:val="0"/>
        <w:autoSpaceDN/>
        <w:spacing w:before="0" w:beforeAutospacing="0" w:after="0" w:afterAutospacing="0" w:line="560" w:lineRule="exact"/>
        <w:ind w:left="0" w:right="0" w:firstLine="640" w:firstLineChars="200"/>
        <w:jc w:val="both"/>
        <w:rPr>
          <w:rFonts w:hint="eastAsia" w:ascii="Times New Roman" w:hAnsi="Times New Roman" w:eastAsia="仿宋_GB2312" w:cs="Times New Roman"/>
          <w:kern w:val="2"/>
          <w:sz w:val="32"/>
          <w:szCs w:val="32"/>
        </w:rPr>
      </w:pPr>
    </w:p>
    <w:p w14:paraId="3568E0ED">
      <w:pPr>
        <w:keepNext w:val="0"/>
        <w:keepLines w:val="0"/>
        <w:widowControl w:val="0"/>
        <w:suppressLineNumbers w:val="0"/>
        <w:autoSpaceDE w:val="0"/>
        <w:autoSpaceDN/>
        <w:spacing w:before="0" w:beforeAutospacing="0" w:after="0" w:afterAutospacing="0" w:line="560" w:lineRule="exact"/>
        <w:ind w:left="0" w:right="0" w:firstLine="640" w:firstLineChars="200"/>
        <w:jc w:val="both"/>
        <w:rPr>
          <w:rFonts w:hint="eastAsia" w:ascii="Times New Roman" w:hAnsi="Times New Roman" w:eastAsia="仿宋_GB2312" w:cs="Times New Roman"/>
          <w:kern w:val="2"/>
          <w:sz w:val="32"/>
          <w:szCs w:val="32"/>
        </w:rPr>
      </w:pPr>
    </w:p>
    <w:p w14:paraId="26046A7D">
      <w:pPr>
        <w:keepNext w:val="0"/>
        <w:keepLines w:val="0"/>
        <w:widowControl w:val="0"/>
        <w:suppressLineNumbers w:val="0"/>
        <w:autoSpaceDE w:val="0"/>
        <w:autoSpaceDN/>
        <w:spacing w:before="0" w:beforeAutospacing="0" w:after="0" w:afterAutospacing="0" w:line="560" w:lineRule="exact"/>
        <w:ind w:right="0"/>
        <w:jc w:val="center"/>
        <w:rPr>
          <w:rFonts w:hint="default" w:ascii="Times New Roman" w:hAnsi="Times New Roman" w:eastAsia="仿宋_GB2312" w:cs="Times New Roman"/>
          <w:kern w:val="2"/>
          <w:sz w:val="32"/>
          <w:szCs w:val="32"/>
          <w:lang w:val="en-US"/>
        </w:rPr>
      </w:pPr>
      <w:r>
        <w:rPr>
          <w:rFonts w:hint="eastAsia" w:eastAsia="仿宋_GB2312" w:cs="仿宋_GB2312"/>
          <w:kern w:val="2"/>
          <w:sz w:val="32"/>
          <w:szCs w:val="32"/>
          <w:lang w:val="en-US" w:eastAsia="zh-CN" w:bidi="ar"/>
        </w:rPr>
        <w:t xml:space="preserve">                           </w:t>
      </w:r>
      <w:r>
        <w:rPr>
          <w:rFonts w:hint="eastAsia" w:ascii="Times New Roman" w:hAnsi="Times New Roman" w:eastAsia="仿宋_GB2312" w:cs="仿宋_GB2312"/>
          <w:kern w:val="2"/>
          <w:sz w:val="32"/>
          <w:szCs w:val="32"/>
          <w:lang w:val="en-US" w:eastAsia="zh-CN" w:bidi="ar"/>
        </w:rPr>
        <w:t>湖南省文化和旅游厅</w:t>
      </w:r>
    </w:p>
    <w:p w14:paraId="4EC3EFDE">
      <w:pPr>
        <w:ind w:left="5040" w:leftChars="0" w:firstLine="320" w:firstLineChars="0"/>
        <w:rPr>
          <w:rFonts w:hint="eastAsia" w:ascii="Times New Roman" w:hAnsi="Times New Roman" w:eastAsia="仿宋_GB2312" w:cs="仿宋_GB2312"/>
          <w:kern w:val="2"/>
          <w:sz w:val="32"/>
          <w:szCs w:val="32"/>
          <w:lang w:val="en-US" w:eastAsia="zh-CN" w:bidi="ar"/>
        </w:rPr>
      </w:pPr>
      <w:r>
        <w:rPr>
          <w:rFonts w:hint="default" w:ascii="Times New Roman" w:hAnsi="Times New Roman" w:eastAsia="仿宋_GB2312" w:cs="Times New Roman"/>
          <w:kern w:val="2"/>
          <w:sz w:val="32"/>
          <w:szCs w:val="32"/>
          <w:lang w:val="en-US" w:eastAsia="zh-CN" w:bidi="ar"/>
        </w:rPr>
        <w:t>202</w:t>
      </w:r>
      <w:r>
        <w:rPr>
          <w:rFonts w:hint="eastAsia" w:eastAsia="仿宋_GB2312" w:cs="Times New Roman"/>
          <w:kern w:val="2"/>
          <w:sz w:val="32"/>
          <w:szCs w:val="32"/>
          <w:lang w:val="en-US" w:eastAsia="zh-CN" w:bidi="ar"/>
        </w:rPr>
        <w:t>6</w:t>
      </w:r>
      <w:r>
        <w:rPr>
          <w:rFonts w:hint="eastAsia" w:ascii="Times New Roman" w:hAnsi="Times New Roman" w:eastAsia="仿宋_GB2312" w:cs="仿宋_GB2312"/>
          <w:kern w:val="2"/>
          <w:sz w:val="32"/>
          <w:szCs w:val="32"/>
          <w:lang w:val="en-US" w:eastAsia="zh-CN" w:bidi="ar"/>
        </w:rPr>
        <w:t>年</w:t>
      </w:r>
      <w:r>
        <w:rPr>
          <w:rFonts w:hint="default" w:ascii="Times New Roman" w:hAnsi="Times New Roman" w:eastAsia="仿宋_GB2312" w:cs="Times New Roman"/>
          <w:kern w:val="2"/>
          <w:sz w:val="32"/>
          <w:szCs w:val="32"/>
          <w:lang w:val="en-US" w:eastAsia="zh-CN" w:bidi="ar"/>
        </w:rPr>
        <w:t>3</w:t>
      </w:r>
      <w:r>
        <w:rPr>
          <w:rFonts w:hint="eastAsia" w:ascii="Times New Roman" w:hAnsi="Times New Roman" w:eastAsia="仿宋_GB2312" w:cs="仿宋_GB2312"/>
          <w:kern w:val="2"/>
          <w:sz w:val="32"/>
          <w:szCs w:val="32"/>
          <w:lang w:val="en-US" w:eastAsia="zh-CN" w:bidi="ar"/>
        </w:rPr>
        <w:t>月</w:t>
      </w:r>
      <w:r>
        <w:rPr>
          <w:rFonts w:hint="eastAsia" w:eastAsia="仿宋_GB2312" w:cs="Times New Roman"/>
          <w:kern w:val="2"/>
          <w:sz w:val="32"/>
          <w:szCs w:val="32"/>
          <w:lang w:val="en-US" w:eastAsia="zh-CN" w:bidi="ar"/>
        </w:rPr>
        <w:t>30</w:t>
      </w:r>
      <w:r>
        <w:rPr>
          <w:rFonts w:hint="eastAsia" w:ascii="Times New Roman" w:hAnsi="Times New Roman" w:eastAsia="仿宋_GB2312" w:cs="仿宋_GB2312"/>
          <w:kern w:val="2"/>
          <w:sz w:val="32"/>
          <w:szCs w:val="32"/>
          <w:lang w:val="en-US" w:eastAsia="zh-CN" w:bidi="ar"/>
        </w:rPr>
        <w:t>日</w:t>
      </w:r>
    </w:p>
    <w:p w14:paraId="5E55EEB0">
      <w:pPr>
        <w:rPr>
          <w:rFonts w:hint="eastAsia" w:ascii="Times New Roman" w:hAnsi="Times New Roman" w:eastAsia="仿宋_GB2312" w:cs="仿宋_GB2312"/>
          <w:kern w:val="2"/>
          <w:sz w:val="32"/>
          <w:szCs w:val="32"/>
          <w:lang w:val="en-US" w:eastAsia="zh-CN" w:bidi="ar"/>
        </w:rPr>
      </w:pPr>
    </w:p>
    <w:p w14:paraId="5ECBDEE3">
      <w:pPr>
        <w:rPr>
          <w:rFonts w:hint="default" w:eastAsia="仿宋_GB2312"/>
          <w:color w:val="000000"/>
          <w:sz w:val="32"/>
          <w:szCs w:val="32"/>
          <w:lang w:val="en-US" w:eastAsia="zh-CN"/>
        </w:rPr>
      </w:pPr>
      <w:r>
        <w:rPr>
          <w:rFonts w:hint="default" w:eastAsia="仿宋_GB2312"/>
          <w:color w:val="000000"/>
          <w:sz w:val="32"/>
          <w:szCs w:val="32"/>
          <w:lang w:val="en-US" w:eastAsia="zh-CN"/>
        </w:rPr>
        <w:br w:type="page"/>
      </w:r>
    </w:p>
    <w:p w14:paraId="11F729AB">
      <w:pPr>
        <w:widowControl/>
        <w:jc w:val="left"/>
        <w:rPr>
          <w:rFonts w:hint="eastAsia" w:ascii="黑体" w:hAnsi="黑体" w:eastAsia="黑体" w:cs="黑体"/>
          <w:bCs/>
          <w:color w:val="000000"/>
          <w:kern w:val="0"/>
          <w:sz w:val="32"/>
          <w:szCs w:val="32"/>
          <w:lang w:val="en-US" w:eastAsia="zh-CN"/>
        </w:rPr>
      </w:pPr>
      <w:r>
        <w:rPr>
          <w:rFonts w:hint="eastAsia" w:ascii="黑体" w:hAnsi="黑体" w:eastAsia="黑体" w:cs="黑体"/>
          <w:bCs/>
          <w:color w:val="000000"/>
          <w:kern w:val="0"/>
          <w:sz w:val="32"/>
          <w:szCs w:val="32"/>
          <w:lang w:val="en-US" w:eastAsia="zh-CN"/>
        </w:rPr>
        <w:t>附件</w:t>
      </w:r>
    </w:p>
    <w:p w14:paraId="65431DD5">
      <w:pPr>
        <w:widowControl/>
        <w:snapToGrid w:val="0"/>
        <w:jc w:val="center"/>
        <w:rPr>
          <w:rFonts w:hint="eastAsia" w:ascii="方正小标宋简体" w:hAnsi="方正小标宋简体" w:eastAsia="方正小标宋简体" w:cs="方正小标宋简体"/>
          <w:bCs/>
          <w:color w:val="000000"/>
          <w:kern w:val="0"/>
          <w:sz w:val="44"/>
          <w:szCs w:val="44"/>
        </w:rPr>
      </w:pPr>
      <w:r>
        <w:rPr>
          <w:rFonts w:hint="eastAsia" w:eastAsia="方正小标宋简体" w:cs="方正小标宋简体"/>
          <w:bCs/>
          <w:color w:val="000000"/>
          <w:kern w:val="0"/>
          <w:sz w:val="44"/>
          <w:szCs w:val="44"/>
        </w:rPr>
        <w:t>202</w:t>
      </w:r>
      <w:r>
        <w:rPr>
          <w:rFonts w:hint="eastAsia" w:eastAsia="方正小标宋简体" w:cs="方正小标宋简体"/>
          <w:bCs/>
          <w:color w:val="000000"/>
          <w:kern w:val="0"/>
          <w:sz w:val="44"/>
          <w:szCs w:val="44"/>
          <w:lang w:val="en-US" w:eastAsia="zh-CN"/>
        </w:rPr>
        <w:t>5</w:t>
      </w:r>
      <w:r>
        <w:rPr>
          <w:rFonts w:hint="eastAsia" w:ascii="方正小标宋简体" w:hAnsi="方正小标宋简体" w:eastAsia="方正小标宋简体" w:cs="方正小标宋简体"/>
          <w:bCs/>
          <w:color w:val="000000"/>
          <w:kern w:val="0"/>
          <w:sz w:val="44"/>
          <w:szCs w:val="44"/>
        </w:rPr>
        <w:t>年度中央支持地方公共文化服务体系</w:t>
      </w:r>
    </w:p>
    <w:p w14:paraId="30D18AEE">
      <w:pPr>
        <w:widowControl/>
        <w:snapToGrid w:val="0"/>
        <w:jc w:val="center"/>
        <w:rPr>
          <w:rFonts w:hint="eastAsia" w:ascii="方正小标宋简体" w:hAnsi="方正小标宋简体" w:eastAsia="方正小标宋简体" w:cs="方正小标宋简体"/>
          <w:bCs/>
          <w:color w:val="000000"/>
          <w:kern w:val="0"/>
          <w:sz w:val="44"/>
          <w:szCs w:val="44"/>
        </w:rPr>
      </w:pPr>
      <w:r>
        <w:rPr>
          <w:rFonts w:hint="eastAsia" w:ascii="方正小标宋简体" w:hAnsi="方正小标宋简体" w:eastAsia="方正小标宋简体" w:cs="方正小标宋简体"/>
          <w:bCs/>
          <w:color w:val="000000"/>
          <w:kern w:val="0"/>
          <w:sz w:val="44"/>
          <w:szCs w:val="44"/>
        </w:rPr>
        <w:t>建设补助资金区域绩效自评表</w:t>
      </w:r>
    </w:p>
    <w:tbl>
      <w:tblPr>
        <w:tblStyle w:val="10"/>
        <w:tblW w:w="556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2"/>
        <w:gridCol w:w="367"/>
        <w:gridCol w:w="320"/>
        <w:gridCol w:w="878"/>
        <w:gridCol w:w="422"/>
        <w:gridCol w:w="1358"/>
        <w:gridCol w:w="349"/>
        <w:gridCol w:w="506"/>
        <w:gridCol w:w="284"/>
        <w:gridCol w:w="885"/>
        <w:gridCol w:w="719"/>
        <w:gridCol w:w="702"/>
        <w:gridCol w:w="1178"/>
        <w:gridCol w:w="1397"/>
      </w:tblGrid>
      <w:tr w14:paraId="65269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539" w:type="pct"/>
            <w:gridSpan w:val="2"/>
            <w:tcBorders>
              <w:top w:val="single" w:color="000000" w:sz="4" w:space="0"/>
              <w:left w:val="single" w:color="000000" w:sz="4" w:space="0"/>
              <w:bottom w:val="single" w:color="000000" w:sz="4" w:space="0"/>
              <w:right w:val="nil"/>
            </w:tcBorders>
            <w:shd w:val="clear" w:color="auto" w:fill="auto"/>
            <w:noWrap/>
            <w:vAlign w:val="center"/>
          </w:tcPr>
          <w:p w14:paraId="288D17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转移支付名称</w:t>
            </w:r>
          </w:p>
        </w:tc>
        <w:tc>
          <w:tcPr>
            <w:tcW w:w="4460" w:type="pct"/>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98F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中央支持地方公共文化服务体系建设补助资金</w:t>
            </w:r>
          </w:p>
        </w:tc>
      </w:tr>
      <w:tr w14:paraId="3A64F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539" w:type="pct"/>
            <w:gridSpan w:val="2"/>
            <w:tcBorders>
              <w:top w:val="single" w:color="000000" w:sz="4" w:space="0"/>
              <w:left w:val="single" w:color="000000" w:sz="4" w:space="0"/>
              <w:bottom w:val="single" w:color="000000" w:sz="4" w:space="0"/>
              <w:right w:val="nil"/>
            </w:tcBorders>
            <w:shd w:val="clear" w:color="auto" w:fill="auto"/>
            <w:noWrap/>
            <w:vAlign w:val="center"/>
          </w:tcPr>
          <w:p w14:paraId="4D5164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中央主管部门</w:t>
            </w:r>
          </w:p>
        </w:tc>
        <w:tc>
          <w:tcPr>
            <w:tcW w:w="4460" w:type="pct"/>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AE8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文化和旅游部</w:t>
            </w:r>
          </w:p>
        </w:tc>
      </w:tr>
      <w:tr w14:paraId="7DB17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jc w:val="center"/>
        </w:trPr>
        <w:tc>
          <w:tcPr>
            <w:tcW w:w="5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1392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省级财政部门</w:t>
            </w:r>
          </w:p>
        </w:tc>
        <w:tc>
          <w:tcPr>
            <w:tcW w:w="19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76EC4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湖南省财政厅</w:t>
            </w:r>
          </w:p>
        </w:tc>
        <w:tc>
          <w:tcPr>
            <w:tcW w:w="5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5FBB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省级主管部门</w:t>
            </w:r>
          </w:p>
        </w:tc>
        <w:tc>
          <w:tcPr>
            <w:tcW w:w="198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DD63C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湖南省文化和旅游厅</w:t>
            </w:r>
          </w:p>
        </w:tc>
      </w:tr>
      <w:tr w14:paraId="717DC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jc w:val="center"/>
        </w:trPr>
        <w:tc>
          <w:tcPr>
            <w:tcW w:w="53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FE7A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资金投入情况</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（万元）</w:t>
            </w:r>
          </w:p>
        </w:tc>
        <w:tc>
          <w:tcPr>
            <w:tcW w:w="802" w:type="pct"/>
            <w:gridSpan w:val="3"/>
            <w:tcBorders>
              <w:top w:val="nil"/>
              <w:left w:val="single" w:color="000000" w:sz="4" w:space="0"/>
              <w:bottom w:val="single" w:color="000000" w:sz="4" w:space="0"/>
              <w:right w:val="single" w:color="000000" w:sz="4" w:space="0"/>
            </w:tcBorders>
            <w:shd w:val="clear" w:color="auto" w:fill="auto"/>
            <w:noWrap/>
            <w:vAlign w:val="center"/>
          </w:tcPr>
          <w:p w14:paraId="6FD191ED">
            <w:pPr>
              <w:keepNext w:val="0"/>
              <w:keepLines w:val="0"/>
              <w:pageBreakBefore w:val="0"/>
              <w:widowControl/>
              <w:kinsoku/>
              <w:wordWrap/>
              <w:overflowPunct/>
              <w:topLinePunct w:val="0"/>
              <w:autoSpaceDE/>
              <w:autoSpaceDN/>
              <w:bidi w:val="0"/>
              <w:adjustRightInd/>
              <w:snapToGrid/>
              <w:spacing w:line="240" w:lineRule="exact"/>
              <w:rPr>
                <w:rFonts w:hint="default" w:ascii="Times New Roman" w:hAnsi="Times New Roman" w:eastAsia="仿宋_GB2312" w:cs="Times New Roman"/>
                <w:i w:val="0"/>
                <w:iCs w:val="0"/>
                <w:color w:val="000000"/>
                <w:sz w:val="21"/>
                <w:szCs w:val="21"/>
                <w:u w:val="none"/>
              </w:rPr>
            </w:pPr>
          </w:p>
        </w:tc>
        <w:tc>
          <w:tcPr>
            <w:tcW w:w="672" w:type="pct"/>
            <w:tcBorders>
              <w:top w:val="nil"/>
              <w:left w:val="single" w:color="000000" w:sz="4" w:space="0"/>
              <w:bottom w:val="single" w:color="000000" w:sz="4" w:space="0"/>
              <w:right w:val="single" w:color="000000" w:sz="4" w:space="0"/>
            </w:tcBorders>
            <w:shd w:val="clear" w:color="auto" w:fill="auto"/>
            <w:vAlign w:val="center"/>
          </w:tcPr>
          <w:p w14:paraId="0E9B9A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年初预算数</w:t>
            </w:r>
          </w:p>
        </w:tc>
        <w:tc>
          <w:tcPr>
            <w:tcW w:w="424" w:type="pct"/>
            <w:gridSpan w:val="2"/>
            <w:tcBorders>
              <w:top w:val="nil"/>
              <w:left w:val="single" w:color="000000" w:sz="4" w:space="0"/>
              <w:bottom w:val="single" w:color="000000" w:sz="4" w:space="0"/>
              <w:right w:val="single" w:color="000000" w:sz="4" w:space="0"/>
            </w:tcBorders>
            <w:shd w:val="clear" w:color="auto" w:fill="auto"/>
            <w:vAlign w:val="center"/>
          </w:tcPr>
          <w:p w14:paraId="1A88A2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全年预算数</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（A）</w:t>
            </w:r>
          </w:p>
        </w:tc>
        <w:tc>
          <w:tcPr>
            <w:tcW w:w="579" w:type="pct"/>
            <w:gridSpan w:val="2"/>
            <w:tcBorders>
              <w:top w:val="nil"/>
              <w:left w:val="single" w:color="000000" w:sz="4" w:space="0"/>
              <w:bottom w:val="single" w:color="000000" w:sz="4" w:space="0"/>
              <w:right w:val="single" w:color="000000" w:sz="4" w:space="0"/>
            </w:tcBorders>
            <w:shd w:val="clear" w:color="auto" w:fill="auto"/>
            <w:vAlign w:val="center"/>
          </w:tcPr>
          <w:p w14:paraId="0AC45A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全年执行数</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（B）</w:t>
            </w:r>
          </w:p>
        </w:tc>
        <w:tc>
          <w:tcPr>
            <w:tcW w:w="356" w:type="pct"/>
            <w:tcBorders>
              <w:top w:val="nil"/>
              <w:left w:val="single" w:color="000000" w:sz="4" w:space="0"/>
              <w:bottom w:val="single" w:color="000000" w:sz="4" w:space="0"/>
              <w:right w:val="single" w:color="000000" w:sz="4" w:space="0"/>
            </w:tcBorders>
            <w:shd w:val="clear" w:color="auto" w:fill="auto"/>
            <w:vAlign w:val="center"/>
          </w:tcPr>
          <w:p w14:paraId="28714B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分值</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（10分）</w:t>
            </w:r>
          </w:p>
        </w:tc>
        <w:tc>
          <w:tcPr>
            <w:tcW w:w="931" w:type="pct"/>
            <w:gridSpan w:val="2"/>
            <w:tcBorders>
              <w:top w:val="nil"/>
              <w:left w:val="single" w:color="000000" w:sz="4" w:space="0"/>
              <w:bottom w:val="single" w:color="000000" w:sz="4" w:space="0"/>
              <w:right w:val="single" w:color="000000" w:sz="4" w:space="0"/>
            </w:tcBorders>
            <w:shd w:val="clear" w:color="auto" w:fill="auto"/>
            <w:vAlign w:val="center"/>
          </w:tcPr>
          <w:p w14:paraId="69C3F2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执行率</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（B/A× 100%）</w:t>
            </w:r>
          </w:p>
        </w:tc>
        <w:tc>
          <w:tcPr>
            <w:tcW w:w="692" w:type="pct"/>
            <w:tcBorders>
              <w:top w:val="nil"/>
              <w:left w:val="single" w:color="000000" w:sz="4" w:space="0"/>
              <w:bottom w:val="single" w:color="000000" w:sz="4" w:space="0"/>
              <w:right w:val="single" w:color="000000" w:sz="4" w:space="0"/>
            </w:tcBorders>
            <w:shd w:val="clear" w:color="auto" w:fill="auto"/>
            <w:noWrap/>
            <w:vAlign w:val="center"/>
          </w:tcPr>
          <w:p w14:paraId="43FA23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得分</w:t>
            </w:r>
          </w:p>
        </w:tc>
      </w:tr>
      <w:tr w14:paraId="1A512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53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2347C7">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80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1926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年度资金总额：</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D40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lang w:val="en-US" w:eastAsia="zh-CN"/>
              </w:rPr>
            </w:pPr>
            <w:r>
              <w:rPr>
                <w:rFonts w:hint="eastAsia" w:eastAsia="仿宋_GB2312" w:cs="Times New Roman"/>
                <w:i w:val="0"/>
                <w:iCs w:val="0"/>
                <w:color w:val="000000"/>
                <w:sz w:val="21"/>
                <w:szCs w:val="21"/>
                <w:u w:val="none"/>
                <w:lang w:val="en-US" w:eastAsia="zh-CN"/>
              </w:rPr>
              <w:t>8736</w:t>
            </w:r>
          </w:p>
        </w:tc>
        <w:tc>
          <w:tcPr>
            <w:tcW w:w="42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5B7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eastAsia" w:eastAsia="仿宋_GB2312" w:cs="Times New Roman"/>
                <w:i w:val="0"/>
                <w:iCs w:val="0"/>
                <w:color w:val="000000"/>
                <w:sz w:val="21"/>
                <w:szCs w:val="21"/>
                <w:u w:val="none"/>
                <w:lang w:val="en-US" w:eastAsia="zh-CN"/>
              </w:rPr>
              <w:t>8736</w:t>
            </w:r>
          </w:p>
        </w:tc>
        <w:tc>
          <w:tcPr>
            <w:tcW w:w="57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98E2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lang w:val="en-US" w:eastAsia="zh-CN"/>
              </w:rPr>
            </w:pPr>
            <w:r>
              <w:rPr>
                <w:rFonts w:hint="eastAsia" w:eastAsia="仿宋_GB2312" w:cs="Times New Roman"/>
                <w:i w:val="0"/>
                <w:iCs w:val="0"/>
                <w:color w:val="000000"/>
                <w:sz w:val="21"/>
                <w:szCs w:val="21"/>
                <w:u w:val="none"/>
                <w:lang w:val="en-US" w:eastAsia="zh-CN"/>
              </w:rPr>
              <w:t>5068.39</w:t>
            </w:r>
          </w:p>
        </w:tc>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136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10</w:t>
            </w:r>
          </w:p>
        </w:tc>
        <w:tc>
          <w:tcPr>
            <w:tcW w:w="93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E84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lang w:val="en-US"/>
              </w:rPr>
            </w:pPr>
            <w:r>
              <w:rPr>
                <w:rFonts w:hint="eastAsia" w:eastAsia="仿宋_GB2312" w:cs="Times New Roman"/>
                <w:i w:val="0"/>
                <w:iCs w:val="0"/>
                <w:color w:val="000000"/>
                <w:kern w:val="0"/>
                <w:sz w:val="21"/>
                <w:szCs w:val="21"/>
                <w:u w:val="none"/>
                <w:lang w:val="en-US" w:eastAsia="zh-CN" w:bidi="ar"/>
              </w:rPr>
              <w:t>58.01%</w:t>
            </w:r>
          </w:p>
        </w:tc>
        <w:tc>
          <w:tcPr>
            <w:tcW w:w="6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D0E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lang w:val="en-US" w:eastAsia="zh-CN"/>
              </w:rPr>
            </w:pPr>
            <w:r>
              <w:rPr>
                <w:rFonts w:hint="eastAsia" w:eastAsia="仿宋_GB2312" w:cs="Times New Roman"/>
                <w:i w:val="0"/>
                <w:iCs w:val="0"/>
                <w:color w:val="000000"/>
                <w:sz w:val="21"/>
                <w:szCs w:val="21"/>
                <w:u w:val="none"/>
                <w:lang w:val="en-US" w:eastAsia="zh-CN"/>
              </w:rPr>
              <w:t>5.8</w:t>
            </w:r>
          </w:p>
        </w:tc>
      </w:tr>
      <w:tr w14:paraId="4AA1A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53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20E5F">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80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B282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其中：中央财政资金</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773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lang w:val="en-US" w:eastAsia="zh-CN"/>
              </w:rPr>
            </w:pPr>
            <w:r>
              <w:rPr>
                <w:rFonts w:hint="eastAsia" w:eastAsia="仿宋_GB2312" w:cs="Times New Roman"/>
                <w:i w:val="0"/>
                <w:iCs w:val="0"/>
                <w:color w:val="000000"/>
                <w:sz w:val="21"/>
                <w:szCs w:val="21"/>
                <w:u w:val="none"/>
                <w:lang w:val="en-US" w:eastAsia="zh-CN"/>
              </w:rPr>
              <w:t>8736</w:t>
            </w:r>
          </w:p>
        </w:tc>
        <w:tc>
          <w:tcPr>
            <w:tcW w:w="42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9DF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eastAsia" w:eastAsia="仿宋_GB2312" w:cs="Times New Roman"/>
                <w:i w:val="0"/>
                <w:iCs w:val="0"/>
                <w:color w:val="000000"/>
                <w:sz w:val="21"/>
                <w:szCs w:val="21"/>
                <w:u w:val="none"/>
                <w:lang w:val="en-US" w:eastAsia="zh-CN"/>
              </w:rPr>
              <w:t>8736</w:t>
            </w:r>
          </w:p>
        </w:tc>
        <w:tc>
          <w:tcPr>
            <w:tcW w:w="57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BD94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kern w:val="2"/>
                <w:sz w:val="21"/>
                <w:szCs w:val="21"/>
                <w:u w:val="none"/>
                <w:lang w:val="en-US" w:eastAsia="zh-CN" w:bidi="ar-SA"/>
              </w:rPr>
            </w:pPr>
            <w:r>
              <w:rPr>
                <w:rFonts w:hint="eastAsia" w:eastAsia="仿宋_GB2312" w:cs="Times New Roman"/>
                <w:i w:val="0"/>
                <w:iCs w:val="0"/>
                <w:color w:val="000000"/>
                <w:sz w:val="21"/>
                <w:szCs w:val="21"/>
                <w:u w:val="none"/>
                <w:lang w:val="en-US" w:eastAsia="zh-CN"/>
              </w:rPr>
              <w:t>5068.39</w:t>
            </w:r>
          </w:p>
        </w:tc>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1B0FD">
            <w:pPr>
              <w:keepNext w:val="0"/>
              <w:keepLines w:val="0"/>
              <w:pageBreakBefore w:val="0"/>
              <w:widowControl/>
              <w:kinsoku/>
              <w:wordWrap/>
              <w:overflowPunct/>
              <w:topLinePunct w:val="0"/>
              <w:autoSpaceDE/>
              <w:autoSpaceDN/>
              <w:bidi w:val="0"/>
              <w:adjustRightInd/>
              <w:snapToGrid/>
              <w:spacing w:line="240" w:lineRule="exact"/>
              <w:rPr>
                <w:rFonts w:hint="default" w:ascii="Times New Roman" w:hAnsi="Times New Roman" w:eastAsia="仿宋_GB2312" w:cs="Times New Roman"/>
                <w:i w:val="0"/>
                <w:iCs w:val="0"/>
                <w:color w:val="000000"/>
                <w:sz w:val="21"/>
                <w:szCs w:val="21"/>
                <w:u w:val="none"/>
              </w:rPr>
            </w:pPr>
          </w:p>
        </w:tc>
        <w:tc>
          <w:tcPr>
            <w:tcW w:w="93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F283C">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6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7B17D">
            <w:pPr>
              <w:keepNext w:val="0"/>
              <w:keepLines w:val="0"/>
              <w:pageBreakBefore w:val="0"/>
              <w:widowControl/>
              <w:kinsoku/>
              <w:wordWrap/>
              <w:overflowPunct/>
              <w:topLinePunct w:val="0"/>
              <w:autoSpaceDE/>
              <w:autoSpaceDN/>
              <w:bidi w:val="0"/>
              <w:adjustRightInd/>
              <w:snapToGrid/>
              <w:spacing w:line="240" w:lineRule="exact"/>
              <w:rPr>
                <w:rFonts w:hint="default" w:ascii="Times New Roman" w:hAnsi="Times New Roman" w:eastAsia="仿宋_GB2312" w:cs="Times New Roman"/>
                <w:i w:val="0"/>
                <w:iCs w:val="0"/>
                <w:color w:val="000000"/>
                <w:sz w:val="21"/>
                <w:szCs w:val="21"/>
                <w:u w:val="none"/>
              </w:rPr>
            </w:pPr>
          </w:p>
        </w:tc>
      </w:tr>
      <w:tr w14:paraId="76890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53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7A5F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80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6F23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 xml:space="preserve">     地方财政资金</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98BFA">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42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725BF">
            <w:pPr>
              <w:keepNext w:val="0"/>
              <w:keepLines w:val="0"/>
              <w:pageBreakBefore w:val="0"/>
              <w:widowControl/>
              <w:kinsoku/>
              <w:wordWrap/>
              <w:overflowPunct/>
              <w:topLinePunct w:val="0"/>
              <w:autoSpaceDE/>
              <w:autoSpaceDN/>
              <w:bidi w:val="0"/>
              <w:adjustRightInd/>
              <w:snapToGrid/>
              <w:spacing w:line="240" w:lineRule="exact"/>
              <w:rPr>
                <w:rFonts w:hint="default" w:ascii="Times New Roman" w:hAnsi="Times New Roman" w:eastAsia="仿宋_GB2312" w:cs="Times New Roman"/>
                <w:i w:val="0"/>
                <w:iCs w:val="0"/>
                <w:color w:val="000000"/>
                <w:sz w:val="21"/>
                <w:szCs w:val="21"/>
                <w:u w:val="none"/>
              </w:rPr>
            </w:pPr>
          </w:p>
        </w:tc>
        <w:tc>
          <w:tcPr>
            <w:tcW w:w="57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6B2E4">
            <w:pPr>
              <w:keepNext w:val="0"/>
              <w:keepLines w:val="0"/>
              <w:pageBreakBefore w:val="0"/>
              <w:widowControl/>
              <w:kinsoku/>
              <w:wordWrap/>
              <w:overflowPunct/>
              <w:topLinePunct w:val="0"/>
              <w:autoSpaceDE/>
              <w:autoSpaceDN/>
              <w:bidi w:val="0"/>
              <w:adjustRightInd/>
              <w:snapToGrid/>
              <w:spacing w:line="240" w:lineRule="exact"/>
              <w:rPr>
                <w:rFonts w:hint="default" w:ascii="Times New Roman" w:hAnsi="Times New Roman" w:eastAsia="仿宋_GB2312" w:cs="Times New Roman"/>
                <w:i w:val="0"/>
                <w:iCs w:val="0"/>
                <w:color w:val="000000"/>
                <w:sz w:val="21"/>
                <w:szCs w:val="21"/>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6EECE">
            <w:pPr>
              <w:keepNext w:val="0"/>
              <w:keepLines w:val="0"/>
              <w:pageBreakBefore w:val="0"/>
              <w:widowControl/>
              <w:kinsoku/>
              <w:wordWrap/>
              <w:overflowPunct/>
              <w:topLinePunct w:val="0"/>
              <w:autoSpaceDE/>
              <w:autoSpaceDN/>
              <w:bidi w:val="0"/>
              <w:adjustRightInd/>
              <w:snapToGrid/>
              <w:spacing w:line="240" w:lineRule="exact"/>
              <w:rPr>
                <w:rFonts w:hint="default" w:ascii="Times New Roman" w:hAnsi="Times New Roman" w:eastAsia="仿宋_GB2312" w:cs="Times New Roman"/>
                <w:i w:val="0"/>
                <w:iCs w:val="0"/>
                <w:color w:val="000000"/>
                <w:sz w:val="21"/>
                <w:szCs w:val="21"/>
                <w:u w:val="none"/>
              </w:rPr>
            </w:pPr>
          </w:p>
        </w:tc>
        <w:tc>
          <w:tcPr>
            <w:tcW w:w="93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67EC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6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7FDE0">
            <w:pPr>
              <w:keepNext w:val="0"/>
              <w:keepLines w:val="0"/>
              <w:pageBreakBefore w:val="0"/>
              <w:widowControl/>
              <w:kinsoku/>
              <w:wordWrap/>
              <w:overflowPunct/>
              <w:topLinePunct w:val="0"/>
              <w:autoSpaceDE/>
              <w:autoSpaceDN/>
              <w:bidi w:val="0"/>
              <w:adjustRightInd/>
              <w:snapToGrid/>
              <w:spacing w:line="240" w:lineRule="exact"/>
              <w:rPr>
                <w:rFonts w:hint="default" w:ascii="Times New Roman" w:hAnsi="Times New Roman" w:eastAsia="仿宋_GB2312" w:cs="Times New Roman"/>
                <w:i w:val="0"/>
                <w:iCs w:val="0"/>
                <w:color w:val="000000"/>
                <w:sz w:val="21"/>
                <w:szCs w:val="21"/>
                <w:u w:val="none"/>
              </w:rPr>
            </w:pPr>
          </w:p>
        </w:tc>
      </w:tr>
      <w:tr w14:paraId="3A6FC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53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F66C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80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40F7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 xml:space="preserve">     其他资金</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338E1">
            <w:pPr>
              <w:keepNext w:val="0"/>
              <w:keepLines w:val="0"/>
              <w:pageBreakBefore w:val="0"/>
              <w:widowControl/>
              <w:kinsoku/>
              <w:wordWrap/>
              <w:overflowPunct/>
              <w:topLinePunct w:val="0"/>
              <w:autoSpaceDE/>
              <w:autoSpaceDN/>
              <w:bidi w:val="0"/>
              <w:adjustRightInd/>
              <w:snapToGrid/>
              <w:spacing w:line="240" w:lineRule="exact"/>
              <w:rPr>
                <w:rFonts w:hint="default" w:ascii="Times New Roman" w:hAnsi="Times New Roman" w:eastAsia="仿宋_GB2312" w:cs="Times New Roman"/>
                <w:i w:val="0"/>
                <w:iCs w:val="0"/>
                <w:color w:val="000000"/>
                <w:sz w:val="21"/>
                <w:szCs w:val="21"/>
                <w:u w:val="none"/>
              </w:rPr>
            </w:pPr>
          </w:p>
        </w:tc>
        <w:tc>
          <w:tcPr>
            <w:tcW w:w="42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F864C">
            <w:pPr>
              <w:keepNext w:val="0"/>
              <w:keepLines w:val="0"/>
              <w:pageBreakBefore w:val="0"/>
              <w:widowControl/>
              <w:kinsoku/>
              <w:wordWrap/>
              <w:overflowPunct/>
              <w:topLinePunct w:val="0"/>
              <w:autoSpaceDE/>
              <w:autoSpaceDN/>
              <w:bidi w:val="0"/>
              <w:adjustRightInd/>
              <w:snapToGrid/>
              <w:spacing w:line="240" w:lineRule="exact"/>
              <w:rPr>
                <w:rFonts w:hint="default" w:ascii="Times New Roman" w:hAnsi="Times New Roman" w:eastAsia="仿宋_GB2312" w:cs="Times New Roman"/>
                <w:i w:val="0"/>
                <w:iCs w:val="0"/>
                <w:color w:val="000000"/>
                <w:sz w:val="21"/>
                <w:szCs w:val="21"/>
                <w:u w:val="none"/>
              </w:rPr>
            </w:pPr>
          </w:p>
        </w:tc>
        <w:tc>
          <w:tcPr>
            <w:tcW w:w="57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8E78F">
            <w:pPr>
              <w:keepNext w:val="0"/>
              <w:keepLines w:val="0"/>
              <w:pageBreakBefore w:val="0"/>
              <w:widowControl/>
              <w:kinsoku/>
              <w:wordWrap/>
              <w:overflowPunct/>
              <w:topLinePunct w:val="0"/>
              <w:autoSpaceDE/>
              <w:autoSpaceDN/>
              <w:bidi w:val="0"/>
              <w:adjustRightInd/>
              <w:snapToGrid/>
              <w:spacing w:line="240" w:lineRule="exact"/>
              <w:rPr>
                <w:rFonts w:hint="default" w:ascii="Times New Roman" w:hAnsi="Times New Roman" w:eastAsia="仿宋_GB2312" w:cs="Times New Roman"/>
                <w:i w:val="0"/>
                <w:iCs w:val="0"/>
                <w:color w:val="000000"/>
                <w:sz w:val="21"/>
                <w:szCs w:val="21"/>
                <w:u w:val="none"/>
              </w:rPr>
            </w:pPr>
          </w:p>
        </w:tc>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FAE0E">
            <w:pPr>
              <w:keepNext w:val="0"/>
              <w:keepLines w:val="0"/>
              <w:pageBreakBefore w:val="0"/>
              <w:widowControl/>
              <w:kinsoku/>
              <w:wordWrap/>
              <w:overflowPunct/>
              <w:topLinePunct w:val="0"/>
              <w:autoSpaceDE/>
              <w:autoSpaceDN/>
              <w:bidi w:val="0"/>
              <w:adjustRightInd/>
              <w:snapToGrid/>
              <w:spacing w:line="240" w:lineRule="exact"/>
              <w:rPr>
                <w:rFonts w:hint="default" w:ascii="Times New Roman" w:hAnsi="Times New Roman" w:eastAsia="仿宋_GB2312" w:cs="Times New Roman"/>
                <w:i w:val="0"/>
                <w:iCs w:val="0"/>
                <w:color w:val="000000"/>
                <w:sz w:val="21"/>
                <w:szCs w:val="21"/>
                <w:u w:val="none"/>
              </w:rPr>
            </w:pPr>
          </w:p>
        </w:tc>
        <w:tc>
          <w:tcPr>
            <w:tcW w:w="93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E597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6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DB7BD">
            <w:pPr>
              <w:keepNext w:val="0"/>
              <w:keepLines w:val="0"/>
              <w:pageBreakBefore w:val="0"/>
              <w:widowControl/>
              <w:kinsoku/>
              <w:wordWrap/>
              <w:overflowPunct/>
              <w:topLinePunct w:val="0"/>
              <w:autoSpaceDE/>
              <w:autoSpaceDN/>
              <w:bidi w:val="0"/>
              <w:adjustRightInd/>
              <w:snapToGrid/>
              <w:spacing w:line="240" w:lineRule="exact"/>
              <w:rPr>
                <w:rFonts w:hint="default" w:ascii="Times New Roman" w:hAnsi="Times New Roman" w:eastAsia="仿宋_GB2312" w:cs="Times New Roman"/>
                <w:i w:val="0"/>
                <w:iCs w:val="0"/>
                <w:color w:val="000000"/>
                <w:sz w:val="21"/>
                <w:szCs w:val="21"/>
                <w:u w:val="none"/>
              </w:rPr>
            </w:pPr>
          </w:p>
        </w:tc>
      </w:tr>
      <w:tr w14:paraId="028AA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jc w:val="center"/>
        </w:trPr>
        <w:tc>
          <w:tcPr>
            <w:tcW w:w="53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18CB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资金管理情况</w:t>
            </w:r>
          </w:p>
        </w:tc>
        <w:tc>
          <w:tcPr>
            <w:tcW w:w="80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5E081">
            <w:pPr>
              <w:keepNext w:val="0"/>
              <w:keepLines w:val="0"/>
              <w:pageBreakBefore w:val="0"/>
              <w:widowControl/>
              <w:kinsoku/>
              <w:wordWrap/>
              <w:overflowPunct/>
              <w:topLinePunct w:val="0"/>
              <w:autoSpaceDE/>
              <w:autoSpaceDN/>
              <w:bidi w:val="0"/>
              <w:adjustRightInd/>
              <w:snapToGrid/>
              <w:spacing w:line="240" w:lineRule="exact"/>
              <w:rPr>
                <w:rFonts w:hint="default" w:ascii="Times New Roman" w:hAnsi="Times New Roman" w:eastAsia="仿宋_GB2312" w:cs="Times New Roman"/>
                <w:i w:val="0"/>
                <w:iCs w:val="0"/>
                <w:color w:val="000000"/>
                <w:sz w:val="21"/>
                <w:szCs w:val="21"/>
                <w:u w:val="none"/>
              </w:rPr>
            </w:pPr>
          </w:p>
        </w:tc>
        <w:tc>
          <w:tcPr>
            <w:tcW w:w="1676"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04B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情况说明</w:t>
            </w: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60A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分值</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（40）</w:t>
            </w:r>
          </w:p>
        </w:tc>
        <w:tc>
          <w:tcPr>
            <w:tcW w:w="3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8DA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得分</w:t>
            </w:r>
          </w:p>
        </w:tc>
        <w:tc>
          <w:tcPr>
            <w:tcW w:w="127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685D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存在问题和改进措施</w:t>
            </w:r>
          </w:p>
        </w:tc>
      </w:tr>
      <w:tr w14:paraId="462FA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53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2512C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80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FFD9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分配科学性</w:t>
            </w:r>
          </w:p>
        </w:tc>
        <w:tc>
          <w:tcPr>
            <w:tcW w:w="167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0C8B4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严格按照《中央支持地方公共文化服务体系建设补助资金管理办法》（财教〔2022〕270号）及湖南省相关管理规定，依据常住人口、设施底数、服务绩效、基层短板、政策倾斜等因素科学分配，范围合规、标准统一、依据充分。</w:t>
            </w:r>
          </w:p>
        </w:tc>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718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3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B9D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127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6171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r>
      <w:tr w14:paraId="39507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53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2E9B3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80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BAE0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下达及时性</w:t>
            </w:r>
          </w:p>
        </w:tc>
        <w:tc>
          <w:tcPr>
            <w:tcW w:w="167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21925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按照预算法及转移支付管理规定时限，分批次及时分解下达至市县与省直单位，确保资金及时到位、项目按期启动。</w:t>
            </w:r>
          </w:p>
        </w:tc>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949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3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49B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127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2D8B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r>
      <w:tr w14:paraId="37EA2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53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46BDE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80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CFE8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拨付合规性</w:t>
            </w:r>
          </w:p>
        </w:tc>
        <w:tc>
          <w:tcPr>
            <w:tcW w:w="167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2B2C3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执行国库集中支付制度，资金直达市县财政及项目单位，未违规转入财政专户、实有资金账户，拨付全程合规。</w:t>
            </w:r>
          </w:p>
        </w:tc>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441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3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C4A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127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11AC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r>
      <w:tr w14:paraId="688EE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53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C9481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80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6CE3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使用规范性</w:t>
            </w:r>
          </w:p>
        </w:tc>
        <w:tc>
          <w:tcPr>
            <w:tcW w:w="167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3AAA94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按预算科目、项目执行，实行专款专用、专账核算，财务制度健全、会计核算规范，无截留、挤占、挪用、擅自调整。</w:t>
            </w:r>
          </w:p>
        </w:tc>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933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3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094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127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E8C7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r>
      <w:tr w14:paraId="5EF98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53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22D0FA">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80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1F50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执行准确性</w:t>
            </w:r>
          </w:p>
        </w:tc>
        <w:tc>
          <w:tcPr>
            <w:tcW w:w="167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CD9D7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按预算金额执行，执行数与预算数一致，无大幅偏离，预算执行严肃规范。</w:t>
            </w:r>
          </w:p>
        </w:tc>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D52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3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366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4</w:t>
            </w:r>
          </w:p>
        </w:tc>
        <w:tc>
          <w:tcPr>
            <w:tcW w:w="127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1BF58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存在问题：部分项目资金因项目进展较缓慢，存在执行率不高的情况。</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改进措施：文旅部门应会同相关部门对项目进行监督检查，督促项目进</w:t>
            </w:r>
          </w:p>
        </w:tc>
      </w:tr>
      <w:tr w14:paraId="4562B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53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7DEF37">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80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A069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预算绩效管理情况</w:t>
            </w:r>
          </w:p>
        </w:tc>
        <w:tc>
          <w:tcPr>
            <w:tcW w:w="167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974FE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下达预算同步下达绩效目标，纳入全过程预算绩效管理，建立项目跟踪与资金监控机制，财审联动、问题共核、结果共享。</w:t>
            </w:r>
          </w:p>
        </w:tc>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F13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3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430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4</w:t>
            </w:r>
          </w:p>
        </w:tc>
        <w:tc>
          <w:tcPr>
            <w:tcW w:w="127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49711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存在问题：部分项目绩效目标不明确；预期目标未按期达成</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改进措施：强化绩效管理，强化监管，提高资金使用效率</w:t>
            </w:r>
          </w:p>
        </w:tc>
      </w:tr>
      <w:tr w14:paraId="762C2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jc w:val="center"/>
        </w:trPr>
        <w:tc>
          <w:tcPr>
            <w:tcW w:w="53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4BC81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80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3C32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支出责任履行情况</w:t>
            </w:r>
          </w:p>
        </w:tc>
        <w:tc>
          <w:tcPr>
            <w:tcW w:w="167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81535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严格按财政事权与支出责任划分履行职责，执行中央资金管理办法，分配公开透明、程序规范。</w:t>
            </w:r>
          </w:p>
        </w:tc>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413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3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87F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127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EBACF">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r>
      <w:tr w14:paraId="597DE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61" w:hRule="atLeast"/>
          <w:jc w:val="center"/>
        </w:trPr>
        <w:tc>
          <w:tcPr>
            <w:tcW w:w="53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CDA0B7">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80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6A50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政策目标实现情况</w:t>
            </w:r>
          </w:p>
        </w:tc>
        <w:tc>
          <w:tcPr>
            <w:tcW w:w="167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016DB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按照中央支持地方公共文化服务体系建设补助资金相关政策要求，紧扣公共文化服务体系建设规划及湖南省文化强省建设部署，全面落实各项政策目标，成效显著、落地见效。</w:t>
            </w:r>
          </w:p>
        </w:tc>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134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3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93A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127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1C7167">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仿宋_GB2312" w:cs="Times New Roman"/>
                <w:i w:val="0"/>
                <w:iCs w:val="0"/>
                <w:color w:val="000000"/>
                <w:sz w:val="21"/>
                <w:szCs w:val="21"/>
                <w:u w:val="none"/>
              </w:rPr>
            </w:pPr>
          </w:p>
        </w:tc>
      </w:tr>
      <w:tr w14:paraId="62C3B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3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C13A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总体目标完成情况</w:t>
            </w:r>
          </w:p>
        </w:tc>
        <w:tc>
          <w:tcPr>
            <w:tcW w:w="2081"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4EA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总体目标</w:t>
            </w:r>
          </w:p>
        </w:tc>
        <w:tc>
          <w:tcPr>
            <w:tcW w:w="2560"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F7F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全年实际完成情况</w:t>
            </w:r>
          </w:p>
        </w:tc>
      </w:tr>
      <w:tr w14:paraId="62A84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4" w:hRule="atLeast"/>
          <w:jc w:val="center"/>
        </w:trPr>
        <w:tc>
          <w:tcPr>
            <w:tcW w:w="3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0B64B0">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2081"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1DD2E3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引导和支持地方提供基本公共文化服务项目，改善基层公共文化体育设施条件，加强基层公共文化服务人才队伍建设等，支持加快构建现代公共文化服务体系，促进基本公共文化服务标准化、均等化，保障广大群众读书看报、观看电视、欣赏电影、进行文化鉴赏、开展文化体育活动等基本文化权益。</w:t>
            </w:r>
          </w:p>
        </w:tc>
        <w:tc>
          <w:tcPr>
            <w:tcW w:w="256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D6907A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2025年，我省公共文化服务体系建设高质量发展，人民群众精神文化生活更加丰富，公共服务体系不断健全，补短板强弱项取得新成效，有效促进了基本公共文化服务标准化、均等化。其中，在公共数字文化建设方面，通过建设具有湖南特色的公共数字文化资源，重点开展全民艺术普及核心功能服务和全民艺术普及资源库建设，支持脱贫县全民艺术普及服务水平提升。在戏曲公益性演出方面，通过补助全省3个濒危剧种演出、组织戏曲进乡村演出，</w:t>
            </w:r>
            <w:r>
              <w:rPr>
                <w:rFonts w:hint="eastAsia" w:eastAsia="仿宋_GB2312" w:cs="Times New Roman"/>
                <w:i w:val="0"/>
                <w:iCs w:val="0"/>
                <w:color w:val="000000"/>
                <w:kern w:val="0"/>
                <w:sz w:val="21"/>
                <w:szCs w:val="21"/>
                <w:u w:val="none"/>
                <w:lang w:val="en-US" w:eastAsia="zh-CN" w:bidi="ar"/>
              </w:rPr>
              <w:t>加大</w:t>
            </w:r>
            <w:r>
              <w:rPr>
                <w:rFonts w:hint="default" w:ascii="Times New Roman" w:hAnsi="Times New Roman" w:eastAsia="仿宋_GB2312" w:cs="Times New Roman"/>
                <w:i w:val="0"/>
                <w:iCs w:val="0"/>
                <w:color w:val="000000"/>
                <w:kern w:val="0"/>
                <w:sz w:val="21"/>
                <w:szCs w:val="21"/>
                <w:u w:val="none"/>
                <w:lang w:val="en-US" w:eastAsia="zh-CN" w:bidi="ar"/>
              </w:rPr>
              <w:t>了濒危剧种的保护传承力度。在基层公共阅读服务推广方面，支持实施总分馆制的公共图书馆开展总分馆制建设配套设备更新、文献资源采购、图书编目、通借通还、全民阅读活动等，进一步提升了基层阅读服务水平。</w:t>
            </w:r>
          </w:p>
        </w:tc>
      </w:tr>
      <w:tr w14:paraId="31724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jc w:val="center"/>
        </w:trPr>
        <w:tc>
          <w:tcPr>
            <w:tcW w:w="357" w:type="pct"/>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3DDAE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绩效指标</w:t>
            </w:r>
          </w:p>
        </w:tc>
        <w:tc>
          <w:tcPr>
            <w:tcW w:w="3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1674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一级</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指标</w:t>
            </w: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7D8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二级指标</w:t>
            </w:r>
          </w:p>
        </w:tc>
        <w:tc>
          <w:tcPr>
            <w:tcW w:w="10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8BBE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三级指标</w:t>
            </w:r>
          </w:p>
        </w:tc>
        <w:tc>
          <w:tcPr>
            <w:tcW w:w="3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C01B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指标值</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8DD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全年实际完成值</w:t>
            </w: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33F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分值</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（50分）</w:t>
            </w: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D8E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得分</w:t>
            </w:r>
          </w:p>
        </w:tc>
        <w:tc>
          <w:tcPr>
            <w:tcW w:w="127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05F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未完成原因和改进措施</w:t>
            </w:r>
          </w:p>
        </w:tc>
      </w:tr>
      <w:tr w14:paraId="24818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jc w:val="center"/>
        </w:trPr>
        <w:tc>
          <w:tcPr>
            <w:tcW w:w="357"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C8AAEF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340" w:type="pct"/>
            <w:gridSpan w:val="2"/>
            <w:vMerge w:val="restart"/>
            <w:tcBorders>
              <w:top w:val="single" w:color="000000" w:sz="4" w:space="0"/>
              <w:left w:val="single" w:color="000000" w:sz="4" w:space="0"/>
              <w:right w:val="single" w:color="000000" w:sz="4" w:space="0"/>
            </w:tcBorders>
            <w:shd w:val="clear" w:color="auto" w:fill="auto"/>
            <w:vAlign w:val="center"/>
          </w:tcPr>
          <w:p w14:paraId="20899A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产出指标</w:t>
            </w:r>
          </w:p>
        </w:tc>
        <w:tc>
          <w:tcPr>
            <w:tcW w:w="4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939D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数量指标</w:t>
            </w:r>
          </w:p>
        </w:tc>
        <w:tc>
          <w:tcPr>
            <w:tcW w:w="10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8F87E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智慧图书馆基础数字资源建设数量</w:t>
            </w:r>
          </w:p>
        </w:tc>
        <w:tc>
          <w:tcPr>
            <w:tcW w:w="3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1FF1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≥10.52万筒子叶</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3B4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11.2万筒子叶</w:t>
            </w:r>
          </w:p>
        </w:tc>
        <w:tc>
          <w:tcPr>
            <w:tcW w:w="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A6240">
            <w:pPr>
              <w:keepNext w:val="0"/>
              <w:keepLines w:val="0"/>
              <w:widowControl/>
              <w:suppressLineNumbers w:val="0"/>
              <w:jc w:val="center"/>
              <w:textAlignment w:val="center"/>
              <w:rPr>
                <w:rFonts w:hint="eastAsia" w:eastAsia="仿宋_GB2312" w:cs="Times New Roman"/>
                <w:i w:val="0"/>
                <w:iCs w:val="0"/>
                <w:color w:val="000000"/>
                <w:sz w:val="21"/>
                <w:szCs w:val="21"/>
                <w:u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91485">
            <w:pPr>
              <w:keepNext w:val="0"/>
              <w:keepLines w:val="0"/>
              <w:widowControl/>
              <w:suppressLineNumbers w:val="0"/>
              <w:jc w:val="center"/>
              <w:textAlignment w:val="center"/>
              <w:rPr>
                <w:rFonts w:hint="eastAsia" w:ascii="Times New Roman" w:hAnsi="Times New Roman" w:eastAsia="仿宋_GB2312" w:cs="Times New Roman"/>
                <w:i w:val="0"/>
                <w:iCs w:val="0"/>
                <w:color w:val="000000"/>
                <w:sz w:val="21"/>
                <w:szCs w:val="21"/>
                <w:u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27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423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无</w:t>
            </w:r>
          </w:p>
        </w:tc>
      </w:tr>
      <w:tr w14:paraId="6E00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357"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44B396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340" w:type="pct"/>
            <w:gridSpan w:val="2"/>
            <w:vMerge w:val="continue"/>
            <w:tcBorders>
              <w:left w:val="single" w:color="000000" w:sz="4" w:space="0"/>
              <w:right w:val="single" w:color="000000" w:sz="4" w:space="0"/>
            </w:tcBorders>
            <w:shd w:val="clear" w:color="auto" w:fill="auto"/>
            <w:vAlign w:val="center"/>
          </w:tcPr>
          <w:p w14:paraId="79A20D4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A3EA6">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10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20D4F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支持开展公益性演出的濒临失传剧种数量</w:t>
            </w:r>
          </w:p>
        </w:tc>
        <w:tc>
          <w:tcPr>
            <w:tcW w:w="3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52A0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3个</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FBC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3个</w:t>
            </w:r>
          </w:p>
        </w:tc>
        <w:tc>
          <w:tcPr>
            <w:tcW w:w="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6FE6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1"/>
                <w:szCs w:val="21"/>
                <w:u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CA36D">
            <w:pPr>
              <w:keepNext w:val="0"/>
              <w:keepLines w:val="0"/>
              <w:widowControl/>
              <w:suppressLineNumbers w:val="0"/>
              <w:jc w:val="center"/>
              <w:textAlignment w:val="center"/>
              <w:rPr>
                <w:rFonts w:hint="eastAsia" w:ascii="Times New Roman" w:hAnsi="Times New Roman" w:eastAsia="仿宋_GB2312" w:cs="Times New Roman"/>
                <w:i w:val="0"/>
                <w:iCs w:val="0"/>
                <w:color w:val="000000"/>
                <w:sz w:val="21"/>
                <w:szCs w:val="21"/>
                <w:u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27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C8B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无</w:t>
            </w:r>
          </w:p>
        </w:tc>
      </w:tr>
      <w:tr w14:paraId="54340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357"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92FA6AC">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340" w:type="pct"/>
            <w:gridSpan w:val="2"/>
            <w:vMerge w:val="continue"/>
            <w:tcBorders>
              <w:left w:val="single" w:color="000000" w:sz="4" w:space="0"/>
              <w:right w:val="single" w:color="000000" w:sz="4" w:space="0"/>
            </w:tcBorders>
            <w:shd w:val="clear" w:color="auto" w:fill="auto"/>
            <w:vAlign w:val="center"/>
          </w:tcPr>
          <w:p w14:paraId="7DF9DE2C">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C2045A">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10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DDA4F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配送戏曲等文艺演出的乡镇（团场）数量</w:t>
            </w:r>
          </w:p>
        </w:tc>
        <w:tc>
          <w:tcPr>
            <w:tcW w:w="3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93DF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≥888个</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0E7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920个</w:t>
            </w:r>
          </w:p>
        </w:tc>
        <w:tc>
          <w:tcPr>
            <w:tcW w:w="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B500D">
            <w:pPr>
              <w:keepNext w:val="0"/>
              <w:keepLines w:val="0"/>
              <w:widowControl/>
              <w:suppressLineNumbers w:val="0"/>
              <w:jc w:val="center"/>
              <w:textAlignment w:val="center"/>
              <w:rPr>
                <w:rFonts w:hint="eastAsia" w:ascii="Times New Roman" w:hAnsi="Times New Roman" w:eastAsia="仿宋_GB2312" w:cs="Times New Roman"/>
                <w:i w:val="0"/>
                <w:iCs w:val="0"/>
                <w:color w:val="000000"/>
                <w:sz w:val="21"/>
                <w:szCs w:val="21"/>
                <w:u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3070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1"/>
                <w:szCs w:val="21"/>
                <w:u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27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029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无</w:t>
            </w:r>
          </w:p>
        </w:tc>
      </w:tr>
      <w:tr w14:paraId="18EC8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357"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2F11294">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340" w:type="pct"/>
            <w:gridSpan w:val="2"/>
            <w:vMerge w:val="continue"/>
            <w:tcBorders>
              <w:left w:val="single" w:color="000000" w:sz="4" w:space="0"/>
              <w:right w:val="single" w:color="000000" w:sz="4" w:space="0"/>
            </w:tcBorders>
            <w:shd w:val="clear" w:color="auto" w:fill="auto"/>
            <w:vAlign w:val="center"/>
          </w:tcPr>
          <w:p w14:paraId="73B658F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9F020">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10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8E830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公共文化云全民艺术普及相关直录播场次</w:t>
            </w:r>
          </w:p>
        </w:tc>
        <w:tc>
          <w:tcPr>
            <w:tcW w:w="3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C7CF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≥20场</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60C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28场</w:t>
            </w:r>
          </w:p>
        </w:tc>
        <w:tc>
          <w:tcPr>
            <w:tcW w:w="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44081">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F2C78">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27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187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无</w:t>
            </w:r>
          </w:p>
        </w:tc>
      </w:tr>
      <w:tr w14:paraId="034A4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357"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0E42FA7">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340" w:type="pct"/>
            <w:gridSpan w:val="2"/>
            <w:vMerge w:val="continue"/>
            <w:tcBorders>
              <w:left w:val="single" w:color="000000" w:sz="4" w:space="0"/>
              <w:right w:val="single" w:color="000000" w:sz="4" w:space="0"/>
            </w:tcBorders>
            <w:shd w:val="clear" w:color="auto" w:fill="auto"/>
            <w:vAlign w:val="center"/>
          </w:tcPr>
          <w:p w14:paraId="1FB69C1C">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4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D1CC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质量指标</w:t>
            </w:r>
          </w:p>
        </w:tc>
        <w:tc>
          <w:tcPr>
            <w:tcW w:w="10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A3397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戏曲进乡村演出节目中地方戏曲曲目占比</w:t>
            </w:r>
          </w:p>
        </w:tc>
        <w:tc>
          <w:tcPr>
            <w:tcW w:w="3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7763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≥50%</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BF9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65%</w:t>
            </w:r>
          </w:p>
        </w:tc>
        <w:tc>
          <w:tcPr>
            <w:tcW w:w="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212A8">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A6D1E">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3</w:t>
            </w:r>
          </w:p>
        </w:tc>
        <w:tc>
          <w:tcPr>
            <w:tcW w:w="127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B2E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无</w:t>
            </w:r>
          </w:p>
        </w:tc>
      </w:tr>
      <w:tr w14:paraId="6612A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357"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827A54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340" w:type="pct"/>
            <w:gridSpan w:val="2"/>
            <w:vMerge w:val="continue"/>
            <w:tcBorders>
              <w:left w:val="single" w:color="000000" w:sz="4" w:space="0"/>
              <w:right w:val="single" w:color="000000" w:sz="4" w:space="0"/>
            </w:tcBorders>
            <w:shd w:val="clear" w:color="auto" w:fill="auto"/>
            <w:vAlign w:val="center"/>
          </w:tcPr>
          <w:p w14:paraId="2A6641AA">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F3DB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10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61689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演出质量合格率</w:t>
            </w:r>
          </w:p>
        </w:tc>
        <w:tc>
          <w:tcPr>
            <w:tcW w:w="3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CBFF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≥98%</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898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99%</w:t>
            </w:r>
          </w:p>
        </w:tc>
        <w:tc>
          <w:tcPr>
            <w:tcW w:w="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86617">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15D6D">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27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C07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无</w:t>
            </w:r>
          </w:p>
        </w:tc>
      </w:tr>
      <w:tr w14:paraId="1C538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357"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EB1016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340" w:type="pct"/>
            <w:gridSpan w:val="2"/>
            <w:vMerge w:val="continue"/>
            <w:tcBorders>
              <w:left w:val="single" w:color="000000" w:sz="4" w:space="0"/>
              <w:right w:val="single" w:color="000000" w:sz="4" w:space="0"/>
            </w:tcBorders>
            <w:shd w:val="clear" w:color="auto" w:fill="auto"/>
            <w:vAlign w:val="center"/>
          </w:tcPr>
          <w:p w14:paraId="3A98289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F626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10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A62B3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公共数字文化年度任务完成率</w:t>
            </w:r>
          </w:p>
        </w:tc>
        <w:tc>
          <w:tcPr>
            <w:tcW w:w="3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6152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≥90%</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ABA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100%</w:t>
            </w:r>
          </w:p>
        </w:tc>
        <w:tc>
          <w:tcPr>
            <w:tcW w:w="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F1A7B">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5B756">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27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236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无</w:t>
            </w:r>
          </w:p>
        </w:tc>
      </w:tr>
      <w:tr w14:paraId="50BAA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357"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3CD237F">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340" w:type="pct"/>
            <w:gridSpan w:val="2"/>
            <w:vMerge w:val="continue"/>
            <w:tcBorders>
              <w:left w:val="single" w:color="000000" w:sz="4" w:space="0"/>
              <w:right w:val="single" w:color="000000" w:sz="4" w:space="0"/>
            </w:tcBorders>
            <w:shd w:val="clear" w:color="auto" w:fill="auto"/>
            <w:vAlign w:val="center"/>
          </w:tcPr>
          <w:p w14:paraId="20C57286">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712C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时效指标</w:t>
            </w:r>
          </w:p>
        </w:tc>
        <w:tc>
          <w:tcPr>
            <w:tcW w:w="10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D21BD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按计划实施、完工率</w:t>
            </w:r>
          </w:p>
        </w:tc>
        <w:tc>
          <w:tcPr>
            <w:tcW w:w="3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4BF2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≥80%</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7FB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68.00%</w:t>
            </w:r>
          </w:p>
        </w:tc>
        <w:tc>
          <w:tcPr>
            <w:tcW w:w="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698DC">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8E684">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2</w:t>
            </w:r>
          </w:p>
        </w:tc>
        <w:tc>
          <w:tcPr>
            <w:tcW w:w="127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EE7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部分项目单位存在项目执行进度缓慢</w:t>
            </w:r>
          </w:p>
        </w:tc>
      </w:tr>
      <w:tr w14:paraId="555D1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357"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E5697B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340" w:type="pct"/>
            <w:gridSpan w:val="2"/>
            <w:vMerge w:val="continue"/>
            <w:tcBorders>
              <w:left w:val="single" w:color="000000" w:sz="4" w:space="0"/>
              <w:bottom w:val="single" w:color="000000" w:sz="4" w:space="0"/>
              <w:right w:val="single" w:color="000000" w:sz="4" w:space="0"/>
            </w:tcBorders>
            <w:shd w:val="clear" w:color="auto" w:fill="auto"/>
            <w:vAlign w:val="center"/>
          </w:tcPr>
          <w:p w14:paraId="3E7A274F">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9C1E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成本指标</w:t>
            </w:r>
          </w:p>
        </w:tc>
        <w:tc>
          <w:tcPr>
            <w:tcW w:w="10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8E892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成本控制率</w:t>
            </w:r>
          </w:p>
        </w:tc>
        <w:tc>
          <w:tcPr>
            <w:tcW w:w="3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EAD2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≤100%</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D40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eastAsia" w:eastAsia="仿宋_GB2312" w:cs="Times New Roman"/>
                <w:i w:val="0"/>
                <w:iCs w:val="0"/>
                <w:color w:val="000000"/>
                <w:kern w:val="0"/>
                <w:sz w:val="21"/>
                <w:szCs w:val="21"/>
                <w:u w:val="none"/>
                <w:lang w:val="en-US" w:eastAsia="zh-CN" w:bidi="ar"/>
              </w:rPr>
              <w:t>7</w:t>
            </w:r>
            <w:r>
              <w:rPr>
                <w:rFonts w:hint="eastAsia" w:ascii="Times New Roman" w:hAnsi="Times New Roman" w:eastAsia="仿宋_GB2312" w:cs="Times New Roman"/>
                <w:i w:val="0"/>
                <w:iCs w:val="0"/>
                <w:color w:val="000000"/>
                <w:kern w:val="0"/>
                <w:sz w:val="21"/>
                <w:szCs w:val="21"/>
                <w:u w:val="none"/>
                <w:lang w:val="en-US" w:eastAsia="zh-CN" w:bidi="ar"/>
              </w:rPr>
              <w:t>8.00%</w:t>
            </w:r>
          </w:p>
        </w:tc>
        <w:tc>
          <w:tcPr>
            <w:tcW w:w="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3CABA">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41790">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27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BF6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无</w:t>
            </w:r>
          </w:p>
        </w:tc>
      </w:tr>
      <w:tr w14:paraId="52D0D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357"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264FC5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34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80E3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效益指标</w:t>
            </w:r>
          </w:p>
        </w:tc>
        <w:tc>
          <w:tcPr>
            <w:tcW w:w="4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99C4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社会效益指标</w:t>
            </w:r>
          </w:p>
        </w:tc>
        <w:tc>
          <w:tcPr>
            <w:tcW w:w="10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4A1EF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群众文化活动参加人次增长率</w:t>
            </w:r>
          </w:p>
        </w:tc>
        <w:tc>
          <w:tcPr>
            <w:tcW w:w="3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FDF3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≥3%</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D92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≥10%</w:t>
            </w:r>
          </w:p>
        </w:tc>
        <w:tc>
          <w:tcPr>
            <w:tcW w:w="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21FF8">
            <w:pPr>
              <w:keepNext w:val="0"/>
              <w:keepLines w:val="0"/>
              <w:widowControl/>
              <w:suppressLineNumbers w:val="0"/>
              <w:jc w:val="center"/>
              <w:textAlignment w:val="center"/>
              <w:rPr>
                <w:rFonts w:hint="eastAsia" w:ascii="Times New Roman" w:hAnsi="Times New Roman" w:eastAsia="仿宋_GB2312" w:cs="Times New Roman"/>
                <w:i w:val="0"/>
                <w:iCs w:val="0"/>
                <w:color w:val="000000"/>
                <w:sz w:val="21"/>
                <w:szCs w:val="21"/>
                <w:u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76452">
            <w:pPr>
              <w:keepNext w:val="0"/>
              <w:keepLines w:val="0"/>
              <w:widowControl/>
              <w:suppressLineNumbers w:val="0"/>
              <w:jc w:val="center"/>
              <w:textAlignment w:val="center"/>
              <w:rPr>
                <w:rFonts w:hint="eastAsia" w:ascii="Times New Roman" w:hAnsi="Times New Roman" w:eastAsia="仿宋_GB2312" w:cs="Times New Roman"/>
                <w:i w:val="0"/>
                <w:iCs w:val="0"/>
                <w:color w:val="000000"/>
                <w:sz w:val="21"/>
                <w:szCs w:val="21"/>
                <w:u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27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F88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无</w:t>
            </w:r>
          </w:p>
        </w:tc>
      </w:tr>
      <w:tr w14:paraId="2048D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357"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E63D347">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34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72EF5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2CBF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10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478FA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湖湘非遗剧种传承保护覆盖率</w:t>
            </w:r>
          </w:p>
        </w:tc>
        <w:tc>
          <w:tcPr>
            <w:tcW w:w="3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F45F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≥70%</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455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78.00%</w:t>
            </w:r>
          </w:p>
        </w:tc>
        <w:tc>
          <w:tcPr>
            <w:tcW w:w="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4DEB9">
            <w:pPr>
              <w:keepNext w:val="0"/>
              <w:keepLines w:val="0"/>
              <w:widowControl/>
              <w:suppressLineNumbers w:val="0"/>
              <w:jc w:val="center"/>
              <w:textAlignment w:val="center"/>
              <w:rPr>
                <w:rFonts w:hint="eastAsia" w:ascii="Times New Roman" w:hAnsi="Times New Roman" w:eastAsia="仿宋_GB2312" w:cs="Times New Roman"/>
                <w:i w:val="0"/>
                <w:iCs w:val="0"/>
                <w:color w:val="000000"/>
                <w:sz w:val="21"/>
                <w:szCs w:val="21"/>
                <w:u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C54B4">
            <w:pPr>
              <w:keepNext w:val="0"/>
              <w:keepLines w:val="0"/>
              <w:widowControl/>
              <w:suppressLineNumbers w:val="0"/>
              <w:jc w:val="center"/>
              <w:textAlignment w:val="center"/>
              <w:rPr>
                <w:rFonts w:hint="eastAsia" w:ascii="Times New Roman" w:hAnsi="Times New Roman" w:eastAsia="仿宋_GB2312" w:cs="Times New Roman"/>
                <w:i w:val="0"/>
                <w:iCs w:val="0"/>
                <w:color w:val="000000"/>
                <w:sz w:val="21"/>
                <w:szCs w:val="21"/>
                <w:u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27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B78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无</w:t>
            </w:r>
          </w:p>
        </w:tc>
      </w:tr>
      <w:tr w14:paraId="557C3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jc w:val="center"/>
        </w:trPr>
        <w:tc>
          <w:tcPr>
            <w:tcW w:w="357"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8A73587">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34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1781C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4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06A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经济效益指标</w:t>
            </w:r>
          </w:p>
        </w:tc>
        <w:tc>
          <w:tcPr>
            <w:tcW w:w="10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1254F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文化消费带动增长率</w:t>
            </w:r>
          </w:p>
        </w:tc>
        <w:tc>
          <w:tcPr>
            <w:tcW w:w="3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AF10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≥6%</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C39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7.50%</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4DC7C">
            <w:pPr>
              <w:keepNext w:val="0"/>
              <w:keepLines w:val="0"/>
              <w:widowControl/>
              <w:suppressLineNumbers w:val="0"/>
              <w:jc w:val="center"/>
              <w:textAlignment w:val="center"/>
              <w:rPr>
                <w:rFonts w:hint="eastAsia" w:ascii="Times New Roman" w:hAnsi="Times New Roman" w:eastAsia="仿宋_GB2312" w:cs="Times New Roman"/>
                <w:i w:val="0"/>
                <w:iCs w:val="0"/>
                <w:color w:val="000000"/>
                <w:sz w:val="21"/>
                <w:szCs w:val="21"/>
                <w:u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75EF5">
            <w:pPr>
              <w:keepNext w:val="0"/>
              <w:keepLines w:val="0"/>
              <w:widowControl/>
              <w:suppressLineNumbers w:val="0"/>
              <w:jc w:val="center"/>
              <w:textAlignment w:val="center"/>
              <w:rPr>
                <w:rFonts w:hint="eastAsia" w:ascii="Times New Roman" w:hAnsi="Times New Roman" w:eastAsia="仿宋_GB2312" w:cs="Times New Roman"/>
                <w:i w:val="0"/>
                <w:iCs w:val="0"/>
                <w:color w:val="000000"/>
                <w:sz w:val="21"/>
                <w:szCs w:val="21"/>
                <w:u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27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FDE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无</w:t>
            </w:r>
          </w:p>
        </w:tc>
      </w:tr>
      <w:tr w14:paraId="03649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357"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057993F">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34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C5104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4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3A60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可持续影响指标</w:t>
            </w:r>
          </w:p>
        </w:tc>
        <w:tc>
          <w:tcPr>
            <w:tcW w:w="10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354E7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基层文化人才队伍稳定率</w:t>
            </w:r>
          </w:p>
        </w:tc>
        <w:tc>
          <w:tcPr>
            <w:tcW w:w="3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6553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≥90%</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031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98.00%</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75783">
            <w:pPr>
              <w:keepNext w:val="0"/>
              <w:keepLines w:val="0"/>
              <w:widowControl/>
              <w:suppressLineNumbers w:val="0"/>
              <w:jc w:val="center"/>
              <w:textAlignment w:val="center"/>
              <w:rPr>
                <w:rFonts w:hint="eastAsia" w:ascii="Times New Roman" w:hAnsi="Times New Roman" w:eastAsia="仿宋_GB2312" w:cs="Times New Roman"/>
                <w:i w:val="0"/>
                <w:iCs w:val="0"/>
                <w:color w:val="000000"/>
                <w:sz w:val="21"/>
                <w:szCs w:val="21"/>
                <w:u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AA743">
            <w:pPr>
              <w:keepNext w:val="0"/>
              <w:keepLines w:val="0"/>
              <w:widowControl/>
              <w:suppressLineNumbers w:val="0"/>
              <w:jc w:val="center"/>
              <w:textAlignment w:val="center"/>
              <w:rPr>
                <w:rFonts w:hint="eastAsia" w:ascii="Times New Roman" w:hAnsi="Times New Roman" w:eastAsia="仿宋_GB2312" w:cs="Times New Roman"/>
                <w:i w:val="0"/>
                <w:iCs w:val="0"/>
                <w:color w:val="000000"/>
                <w:sz w:val="21"/>
                <w:szCs w:val="21"/>
                <w:u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27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7C9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无</w:t>
            </w:r>
          </w:p>
        </w:tc>
      </w:tr>
      <w:tr w14:paraId="10447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357"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3A7F71F">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34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3554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6B74A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10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A65D0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公共文化设施长效运维机制建立率</w:t>
            </w:r>
          </w:p>
        </w:tc>
        <w:tc>
          <w:tcPr>
            <w:tcW w:w="3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EFFC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100%</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0BB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100%</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6A287">
            <w:pPr>
              <w:keepNext w:val="0"/>
              <w:keepLines w:val="0"/>
              <w:widowControl/>
              <w:suppressLineNumbers w:val="0"/>
              <w:jc w:val="center"/>
              <w:textAlignment w:val="center"/>
              <w:rPr>
                <w:rFonts w:hint="eastAsia" w:ascii="Times New Roman" w:hAnsi="Times New Roman" w:eastAsia="仿宋_GB2312" w:cs="Times New Roman"/>
                <w:i w:val="0"/>
                <w:iCs w:val="0"/>
                <w:color w:val="000000"/>
                <w:sz w:val="21"/>
                <w:szCs w:val="21"/>
                <w:u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0E2E2">
            <w:pPr>
              <w:keepNext w:val="0"/>
              <w:keepLines w:val="0"/>
              <w:widowControl/>
              <w:suppressLineNumbers w:val="0"/>
              <w:jc w:val="center"/>
              <w:textAlignment w:val="center"/>
              <w:rPr>
                <w:rFonts w:hint="eastAsia" w:ascii="Times New Roman" w:hAnsi="Times New Roman" w:eastAsia="仿宋_GB2312" w:cs="Times New Roman"/>
                <w:i w:val="0"/>
                <w:iCs w:val="0"/>
                <w:color w:val="000000"/>
                <w:sz w:val="21"/>
                <w:szCs w:val="21"/>
                <w:u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27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F08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无</w:t>
            </w:r>
          </w:p>
        </w:tc>
      </w:tr>
      <w:tr w14:paraId="55CB3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jc w:val="center"/>
        </w:trPr>
        <w:tc>
          <w:tcPr>
            <w:tcW w:w="357"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3428714">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34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DA31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4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76B5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服务对象满意度指标</w:t>
            </w:r>
          </w:p>
        </w:tc>
        <w:tc>
          <w:tcPr>
            <w:tcW w:w="10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A7ED7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群众对国家基本公共文化服务满意度</w:t>
            </w:r>
          </w:p>
        </w:tc>
        <w:tc>
          <w:tcPr>
            <w:tcW w:w="3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ACFB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≥90%</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DFD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92.30%</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85E5F">
            <w:pPr>
              <w:keepNext w:val="0"/>
              <w:keepLines w:val="0"/>
              <w:widowControl/>
              <w:suppressLineNumbers w:val="0"/>
              <w:jc w:val="center"/>
              <w:textAlignment w:val="center"/>
              <w:rPr>
                <w:rFonts w:hint="eastAsia" w:ascii="Times New Roman" w:hAnsi="Times New Roman" w:eastAsia="仿宋_GB2312" w:cs="Times New Roman"/>
                <w:i w:val="0"/>
                <w:iCs w:val="0"/>
                <w:color w:val="000000"/>
                <w:sz w:val="21"/>
                <w:szCs w:val="21"/>
                <w:u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50E7E">
            <w:pPr>
              <w:keepNext w:val="0"/>
              <w:keepLines w:val="0"/>
              <w:widowControl/>
              <w:suppressLineNumbers w:val="0"/>
              <w:jc w:val="center"/>
              <w:textAlignment w:val="center"/>
              <w:rPr>
                <w:rFonts w:hint="eastAsia" w:ascii="Times New Roman" w:hAnsi="Times New Roman" w:eastAsia="仿宋_GB2312" w:cs="Times New Roman"/>
                <w:i w:val="0"/>
                <w:iCs w:val="0"/>
                <w:color w:val="000000"/>
                <w:sz w:val="21"/>
                <w:szCs w:val="21"/>
                <w:u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27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4B6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无</w:t>
            </w:r>
          </w:p>
        </w:tc>
      </w:tr>
      <w:tr w14:paraId="316C5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357"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3B12F46">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34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A795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2AE32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10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37D45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群众对促进文化消费活动满意度</w:t>
            </w:r>
          </w:p>
        </w:tc>
        <w:tc>
          <w:tcPr>
            <w:tcW w:w="3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FD3D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≥90%</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D4E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93.10%</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8F65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EBD0C">
            <w:pPr>
              <w:keepNext w:val="0"/>
              <w:keepLines w:val="0"/>
              <w:widowControl/>
              <w:suppressLineNumbers w:val="0"/>
              <w:jc w:val="center"/>
              <w:textAlignment w:val="center"/>
              <w:rPr>
                <w:rFonts w:hint="eastAsia" w:ascii="Times New Roman" w:hAnsi="Times New Roman" w:eastAsia="仿宋_GB2312" w:cs="Times New Roman"/>
                <w:i w:val="0"/>
                <w:iCs w:val="0"/>
                <w:color w:val="000000"/>
                <w:sz w:val="21"/>
                <w:szCs w:val="21"/>
                <w:u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27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D40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无</w:t>
            </w:r>
          </w:p>
        </w:tc>
      </w:tr>
      <w:tr w14:paraId="5B0AB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3019"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41F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总分</w:t>
            </w:r>
          </w:p>
        </w:tc>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E71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100</w:t>
            </w:r>
          </w:p>
        </w:tc>
        <w:tc>
          <w:tcPr>
            <w:tcW w:w="3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D2B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eastAsia" w:eastAsia="仿宋_GB2312" w:cs="Times New Roman"/>
                <w:i w:val="0"/>
                <w:iCs w:val="0"/>
                <w:color w:val="000000"/>
                <w:kern w:val="0"/>
                <w:sz w:val="21"/>
                <w:szCs w:val="21"/>
                <w:u w:val="none"/>
                <w:lang w:val="en-US" w:eastAsia="zh-CN" w:bidi="ar"/>
              </w:rPr>
              <w:t>92.8</w:t>
            </w:r>
          </w:p>
        </w:tc>
        <w:tc>
          <w:tcPr>
            <w:tcW w:w="127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1D6BDA">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仿宋_GB2312" w:cs="Times New Roman"/>
                <w:i w:val="0"/>
                <w:iCs w:val="0"/>
                <w:color w:val="000000"/>
                <w:sz w:val="21"/>
                <w:szCs w:val="21"/>
                <w:u w:val="none"/>
              </w:rPr>
            </w:pPr>
          </w:p>
        </w:tc>
      </w:tr>
      <w:tr w14:paraId="38EAD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5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13A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说明</w:t>
            </w:r>
          </w:p>
        </w:tc>
        <w:tc>
          <w:tcPr>
            <w:tcW w:w="4460" w:type="pct"/>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0B3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无</w:t>
            </w:r>
          </w:p>
        </w:tc>
      </w:tr>
    </w:tbl>
    <w:p w14:paraId="23DEE70D"/>
    <w:p w14:paraId="4BDA4F32"/>
    <w:p w14:paraId="0A8912D1">
      <w:pPr>
        <w:spacing w:line="600" w:lineRule="exact"/>
        <w:rPr>
          <w:rFonts w:hint="default" w:eastAsia="仿宋_GB2312"/>
          <w:color w:val="000000"/>
          <w:sz w:val="32"/>
          <w:szCs w:val="32"/>
          <w:lang w:val="en-US" w:eastAsia="zh-CN"/>
        </w:rPr>
      </w:pPr>
    </w:p>
    <w:p w14:paraId="7D5243E5">
      <w:bookmarkStart w:id="0" w:name="_GoBack"/>
      <w:bookmarkEnd w:id="0"/>
    </w:p>
    <w:sectPr>
      <w:footerReference r:id="rId3" w:type="default"/>
      <w:pgSz w:w="11906" w:h="16838"/>
      <w:pgMar w:top="2098" w:right="1531" w:bottom="1531" w:left="1531" w:header="851" w:footer="992" w:gutter="0"/>
      <w:pgNumType w:fmt="numberInDash" w:start="2"/>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Nimbus Roman No9 L"/>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panose1 w:val="02000000000000000000"/>
    <w:charset w:val="86"/>
    <w:family w:val="script"/>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Arial">
    <w:altName w:val="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AB9B7">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9110E6">
                          <w:pPr>
                            <w:pStyle w:val="8"/>
                          </w:pPr>
                          <w:r>
                            <w:rPr>
                              <w:rFonts w:hint="eastAsia" w:asciiTheme="minorEastAsia" w:hAnsiTheme="minorEastAsia" w:eastAsiaTheme="minorEastAsia" w:cstheme="minorEastAsia"/>
                              <w:sz w:val="24"/>
                            </w:rPr>
                            <w:fldChar w:fldCharType="begin"/>
                          </w:r>
                          <w:r>
                            <w:rPr>
                              <w:rFonts w:hint="eastAsia" w:asciiTheme="minorEastAsia" w:hAnsiTheme="minorEastAsia" w:eastAsiaTheme="minorEastAsia" w:cstheme="minorEastAsia"/>
                              <w:sz w:val="24"/>
                            </w:rPr>
                            <w:instrText xml:space="preserve"> PAGE  \* MERGEFORMAT </w:instrText>
                          </w:r>
                          <w:r>
                            <w:rPr>
                              <w:rFonts w:hint="eastAsia" w:asciiTheme="minorEastAsia" w:hAnsiTheme="minorEastAsia" w:eastAsiaTheme="minorEastAsia" w:cstheme="minorEastAsia"/>
                              <w:sz w:val="24"/>
                            </w:rPr>
                            <w:fldChar w:fldCharType="separate"/>
                          </w:r>
                          <w:r>
                            <w:rPr>
                              <w:rFonts w:hint="eastAsia" w:asciiTheme="minorEastAsia" w:hAnsiTheme="minorEastAsia" w:eastAsiaTheme="minorEastAsia" w:cstheme="minorEastAsia"/>
                              <w:sz w:val="24"/>
                            </w:rPr>
                            <w:t>2</w:t>
                          </w:r>
                          <w:r>
                            <w:rPr>
                              <w:rFonts w:hint="eastAsia" w:asciiTheme="minorEastAsia" w:hAnsiTheme="minorEastAsia" w:eastAsiaTheme="minorEastAsia" w:cstheme="minorEastAsia"/>
                              <w:sz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B9110E6">
                    <w:pPr>
                      <w:pStyle w:val="8"/>
                    </w:pPr>
                    <w:r>
                      <w:rPr>
                        <w:rFonts w:hint="eastAsia" w:asciiTheme="minorEastAsia" w:hAnsiTheme="minorEastAsia" w:eastAsiaTheme="minorEastAsia" w:cstheme="minorEastAsia"/>
                        <w:sz w:val="24"/>
                      </w:rPr>
                      <w:fldChar w:fldCharType="begin"/>
                    </w:r>
                    <w:r>
                      <w:rPr>
                        <w:rFonts w:hint="eastAsia" w:asciiTheme="minorEastAsia" w:hAnsiTheme="minorEastAsia" w:eastAsiaTheme="minorEastAsia" w:cstheme="minorEastAsia"/>
                        <w:sz w:val="24"/>
                      </w:rPr>
                      <w:instrText xml:space="preserve"> PAGE  \* MERGEFORMAT </w:instrText>
                    </w:r>
                    <w:r>
                      <w:rPr>
                        <w:rFonts w:hint="eastAsia" w:asciiTheme="minorEastAsia" w:hAnsiTheme="minorEastAsia" w:eastAsiaTheme="minorEastAsia" w:cstheme="minorEastAsia"/>
                        <w:sz w:val="24"/>
                      </w:rPr>
                      <w:fldChar w:fldCharType="separate"/>
                    </w:r>
                    <w:r>
                      <w:rPr>
                        <w:rFonts w:hint="eastAsia" w:asciiTheme="minorEastAsia" w:hAnsiTheme="minorEastAsia" w:eastAsiaTheme="minorEastAsia" w:cstheme="minorEastAsia"/>
                        <w:sz w:val="24"/>
                      </w:rPr>
                      <w:t>2</w:t>
                    </w:r>
                    <w:r>
                      <w:rPr>
                        <w:rFonts w:hint="eastAsia" w:asciiTheme="minorEastAsia" w:hAnsiTheme="minorEastAsia" w:eastAsiaTheme="minorEastAsia" w:cstheme="minorEastAsia"/>
                        <w:sz w:val="2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CD7858"/>
    <w:multiLevelType w:val="singleLevel"/>
    <w:tmpl w:val="FBCD7858"/>
    <w:lvl w:ilvl="0" w:tentative="0">
      <w:start w:val="1"/>
      <w:numFmt w:val="decimal"/>
      <w:suff w:val="nothing"/>
      <w:lvlText w:val="%1．"/>
      <w:lvlJc w:val="left"/>
      <w:pPr>
        <w:ind w:left="0" w:firstLine="4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E1Zjg3ZTAzOTEzNGFmODlkYWU3ZmQ2NmQwOGZhMjQifQ=="/>
  </w:docVars>
  <w:rsids>
    <w:rsidRoot w:val="00000000"/>
    <w:rsid w:val="010855B5"/>
    <w:rsid w:val="01894022"/>
    <w:rsid w:val="068309F2"/>
    <w:rsid w:val="069017F2"/>
    <w:rsid w:val="06C80E13"/>
    <w:rsid w:val="07763431"/>
    <w:rsid w:val="0ABE775D"/>
    <w:rsid w:val="0AEF054D"/>
    <w:rsid w:val="0BC26147"/>
    <w:rsid w:val="0E9A661C"/>
    <w:rsid w:val="0F021296"/>
    <w:rsid w:val="0FA933C0"/>
    <w:rsid w:val="11F97448"/>
    <w:rsid w:val="12302924"/>
    <w:rsid w:val="12DE5A77"/>
    <w:rsid w:val="141554C8"/>
    <w:rsid w:val="159A1E41"/>
    <w:rsid w:val="15F77320"/>
    <w:rsid w:val="1635775C"/>
    <w:rsid w:val="19CC6629"/>
    <w:rsid w:val="1B4A31D9"/>
    <w:rsid w:val="1B657D91"/>
    <w:rsid w:val="1B762CF0"/>
    <w:rsid w:val="26CD39E1"/>
    <w:rsid w:val="2D056848"/>
    <w:rsid w:val="2D256324"/>
    <w:rsid w:val="2D28172E"/>
    <w:rsid w:val="2F8222CE"/>
    <w:rsid w:val="32B048E2"/>
    <w:rsid w:val="35C47877"/>
    <w:rsid w:val="35DD66BC"/>
    <w:rsid w:val="3B9C3432"/>
    <w:rsid w:val="3D1D4FD5"/>
    <w:rsid w:val="40870437"/>
    <w:rsid w:val="40CF058A"/>
    <w:rsid w:val="41330763"/>
    <w:rsid w:val="419E51AD"/>
    <w:rsid w:val="43081907"/>
    <w:rsid w:val="434343FE"/>
    <w:rsid w:val="44C13C94"/>
    <w:rsid w:val="45992FB4"/>
    <w:rsid w:val="4EEC23A6"/>
    <w:rsid w:val="50722D7F"/>
    <w:rsid w:val="562346DD"/>
    <w:rsid w:val="562B3E41"/>
    <w:rsid w:val="56DC1461"/>
    <w:rsid w:val="581E1CDA"/>
    <w:rsid w:val="58921D9B"/>
    <w:rsid w:val="5AE32B59"/>
    <w:rsid w:val="5B164C1B"/>
    <w:rsid w:val="5BE67E5F"/>
    <w:rsid w:val="5C617D1D"/>
    <w:rsid w:val="5C8D13CF"/>
    <w:rsid w:val="5DB744C7"/>
    <w:rsid w:val="612C0D28"/>
    <w:rsid w:val="615B5DB2"/>
    <w:rsid w:val="61750921"/>
    <w:rsid w:val="6A051875"/>
    <w:rsid w:val="6CC42D9B"/>
    <w:rsid w:val="702D25BB"/>
    <w:rsid w:val="73512F5D"/>
    <w:rsid w:val="748C590E"/>
    <w:rsid w:val="766C1E9B"/>
    <w:rsid w:val="77FC0D3A"/>
    <w:rsid w:val="788A6608"/>
    <w:rsid w:val="7BB72588"/>
    <w:rsid w:val="7D121D3B"/>
    <w:rsid w:val="7F1D0A5C"/>
    <w:rsid w:val="BF2CE3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widowControl w:val="0"/>
      <w:suppressLineNumbers w:val="0"/>
      <w:spacing w:before="0" w:beforeLines="0" w:beforeAutospacing="0" w:after="0" w:afterLines="0" w:afterAutospacing="0" w:line="560" w:lineRule="exact"/>
      <w:ind w:firstLine="640" w:firstLineChars="200"/>
      <w:jc w:val="both"/>
      <w:outlineLvl w:val="0"/>
    </w:pPr>
    <w:rPr>
      <w:rFonts w:hint="default" w:ascii="Times New Roman" w:hAnsi="Times New Roman" w:eastAsia="黑体" w:cs="Times New Roman"/>
      <w:b/>
      <w:bCs/>
      <w:kern w:val="44"/>
      <w:sz w:val="32"/>
      <w:szCs w:val="32"/>
      <w:lang w:val="en-US" w:eastAsia="zh-CN" w:bidi="ar"/>
    </w:rPr>
  </w:style>
  <w:style w:type="paragraph" w:styleId="4">
    <w:name w:val="heading 2"/>
    <w:basedOn w:val="1"/>
    <w:next w:val="1"/>
    <w:qFormat/>
    <w:uiPriority w:val="0"/>
    <w:pPr>
      <w:pBdr>
        <w:top w:val="none" w:color="auto" w:sz="0" w:space="0"/>
        <w:left w:val="none" w:color="auto" w:sz="0" w:space="0"/>
        <w:bottom w:val="none" w:color="auto" w:sz="0" w:space="0"/>
        <w:right w:val="none" w:color="auto" w:sz="0" w:space="0"/>
      </w:pBdr>
      <w:spacing w:before="100" w:beforeAutospacing="1" w:after="100" w:afterAutospacing="1"/>
      <w:jc w:val="left"/>
      <w:outlineLvl w:val="1"/>
    </w:pPr>
    <w:rPr>
      <w:rFonts w:hint="eastAsia" w:ascii="宋体" w:hAnsi="宋体" w:eastAsia="宋体" w:cs="宋体"/>
      <w:b/>
      <w:kern w:val="0"/>
      <w:sz w:val="36"/>
      <w:szCs w:val="36"/>
      <w:lang w:val="en-US" w:eastAsia="zh-CN" w:bidi="ar"/>
    </w:rPr>
  </w:style>
  <w:style w:type="paragraph" w:styleId="5">
    <w:name w:val="heading 3"/>
    <w:basedOn w:val="1"/>
    <w:next w:val="1"/>
    <w:unhideWhenUsed/>
    <w:qFormat/>
    <w:uiPriority w:val="0"/>
    <w:pPr>
      <w:keepNext/>
      <w:keepLines/>
      <w:widowControl w:val="0"/>
      <w:suppressLineNumbers w:val="0"/>
      <w:spacing w:before="0" w:beforeLines="0" w:beforeAutospacing="0" w:after="0" w:afterLines="0" w:afterAutospacing="0" w:line="560" w:lineRule="exact"/>
      <w:ind w:firstLine="640" w:firstLineChars="200"/>
      <w:jc w:val="both"/>
      <w:outlineLvl w:val="2"/>
    </w:pPr>
    <w:rPr>
      <w:rFonts w:hint="default" w:ascii="Times New Roman" w:hAnsi="Times New Roman" w:eastAsia="仿宋_GB2312" w:cs="Times New Roman"/>
      <w:b/>
      <w:bCs/>
      <w:kern w:val="2"/>
      <w:sz w:val="32"/>
      <w:szCs w:val="32"/>
      <w:lang w:val="en-US" w:eastAsia="zh-CN" w:bidi="ar"/>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toc 1"/>
    <w:basedOn w:val="1"/>
    <w:next w:val="1"/>
    <w:qFormat/>
    <w:uiPriority w:val="0"/>
  </w:style>
  <w:style w:type="paragraph" w:styleId="6">
    <w:name w:val="annotation text"/>
    <w:basedOn w:val="1"/>
    <w:qFormat/>
    <w:uiPriority w:val="0"/>
    <w:pPr>
      <w:jc w:val="left"/>
    </w:pPr>
  </w:style>
  <w:style w:type="paragraph" w:styleId="7">
    <w:name w:val="Body Text"/>
    <w:basedOn w:val="1"/>
    <w:next w:val="1"/>
    <w:qFormat/>
    <w:uiPriority w:val="0"/>
    <w:pPr>
      <w:spacing w:after="120"/>
    </w:pPr>
    <w:rPr>
      <w:rFonts w:ascii="Times New Roman" w:hAnsi="Times New Roman"/>
      <w:szCs w:val="24"/>
    </w:rPr>
  </w:style>
  <w:style w:type="paragraph" w:styleId="8">
    <w:name w:val="footer"/>
    <w:basedOn w:val="1"/>
    <w:qFormat/>
    <w:uiPriority w:val="99"/>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1">
    <w:name w:val="Table Grid"/>
    <w:basedOn w:val="10"/>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3">
    <w:name w:val="15"/>
    <w:basedOn w:val="12"/>
    <w:qFormat/>
    <w:uiPriority w:val="0"/>
    <w:rPr>
      <w:rFonts w:hint="default" w:ascii="Times New Roman" w:hAnsi="Times New Roman" w:eastAsia="楷体_GB2312" w:cs="Times New Roman"/>
      <w:b/>
      <w:sz w:val="32"/>
      <w:szCs w:val="32"/>
    </w:rPr>
  </w:style>
  <w:style w:type="character" w:customStyle="1" w:styleId="14">
    <w:name w:val="font01"/>
    <w:basedOn w:val="12"/>
    <w:qFormat/>
    <w:uiPriority w:val="0"/>
    <w:rPr>
      <w:rFonts w:hint="eastAsia" w:ascii="宋体" w:hAnsi="宋体" w:eastAsia="宋体" w:cs="宋体"/>
      <w:color w:val="000000"/>
      <w:sz w:val="24"/>
      <w:szCs w:val="24"/>
      <w:u w:val="none"/>
    </w:rPr>
  </w:style>
  <w:style w:type="character" w:customStyle="1" w:styleId="15">
    <w:name w:val="font51"/>
    <w:basedOn w:val="12"/>
    <w:qFormat/>
    <w:uiPriority w:val="0"/>
    <w:rPr>
      <w:rFonts w:hint="eastAsia" w:ascii="仿宋_GB2312" w:eastAsia="仿宋_GB2312" w:cs="仿宋_GB2312"/>
      <w:color w:val="000000"/>
      <w:sz w:val="21"/>
      <w:szCs w:val="21"/>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2ed55e77-79f8-4561-93e4-e8789892eba6</errorID>
      <errorWord xmlns="http://schemas.wps.cn/vas-ai-hub/contract-review">电音</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电影</item>
      </candidateList>
      <explain xmlns="http://schemas.wps.cn/vas-ai-hub/contract-review"/>
      <paraID xmlns="http://schemas.wps.cn/vas-ai-hub/contract-review">39CC3604</paraID>
      <start xmlns="http://schemas.wps.cn/vas-ai-hub/contract-review">156</start>
      <end xmlns="http://schemas.wps.cn/vas-ai-hub/contract-review">158</end>
      <status xmlns="http://schemas.wps.cn/vas-ai-hub/contract-review">modified</status>
      <modifiedWord xmlns="http://schemas.wps.cn/vas-ai-hub/contract-review">电影</modifiedWord>
      <trackRevisions xmlns="http://schemas.wps.cn/vas-ai-hub/contract-review">false</trackRevisions>
    </reviewItem>
    <reviewItem xmlns="http://schemas.wps.cn/vas-ai-hub/contract-review">
      <errorID xmlns="http://schemas.wps.cn/vas-ai-hub/contract-review">a2a3869d-461d-412b-b2dc-f72cf10ae576</errorID>
      <errorWord xmlns="http://schemas.wps.cn/vas-ai-hub/contract-review">预算法</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中华人民共和国预算法</item>
      </candidateList>
      <explain xmlns="http://schemas.wps.cn/vas-ai-hub/contract-review">当前法律法规名称使用简称，请注意是否应当使用全称。</explain>
      <paraID xmlns="http://schemas.wps.cn/vas-ai-hub/contract-review">3BC4A115</paraID>
      <start xmlns="http://schemas.wps.cn/vas-ai-hub/contract-review">13</start>
      <end xmlns="http://schemas.wps.cn/vas-ai-hub/contract-review">23</end>
      <status xmlns="http://schemas.wps.cn/vas-ai-hub/contract-review">modified</status>
      <modifiedWord xmlns="http://schemas.wps.cn/vas-ai-hub/contract-review">中华人民共和国预算法</modifiedWord>
      <trackRevisions xmlns="http://schemas.wps.cn/vas-ai-hub/contract-review">false</trackRevisions>
    </reviewItem>
    <reviewItem xmlns="http://schemas.wps.cn/vas-ai-hub/contract-review">
      <errorID xmlns="http://schemas.wps.cn/vas-ai-hub/contract-review">8b2d3f04-42e5-4f54-a4db-3427d9d0dc71</errorID>
      <errorWord xmlns="http://schemas.wps.cn/vas-ai-hub/contract-review">预算法</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中华人民共和国预算法</item>
      </candidateList>
      <explain xmlns="http://schemas.wps.cn/vas-ai-hub/contract-review">当前法律法规名称使用简称，请注意是否应当使用全称。</explain>
      <paraID xmlns="http://schemas.wps.cn/vas-ai-hub/contract-review">25C43170</paraID>
      <start xmlns="http://schemas.wps.cn/vas-ai-hub/contract-review">13</start>
      <end xmlns="http://schemas.wps.cn/vas-ai-hub/contract-review">23</end>
      <status xmlns="http://schemas.wps.cn/vas-ai-hub/contract-review">modified</status>
      <modifiedWord xmlns="http://schemas.wps.cn/vas-ai-hub/contract-review">中华人民共和国预算法</modifiedWord>
      <trackRevisions xmlns="http://schemas.wps.cn/vas-ai-hub/contract-review">false</trackRevisions>
    </reviewItem>
    <reviewItem xmlns="http://schemas.wps.cn/vas-ai-hub/contract-review">
      <errorID xmlns="http://schemas.wps.cn/vas-ai-hub/contract-review">88ed958b-43e6-4614-b0b6-6e359cffd0cd</errorID>
      <errorWord xmlns="http://schemas.wps.cn/vas-ai-hub/contract-review">位</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位要</item>
      </candidateList>
      <explain xmlns="http://schemas.wps.cn/vas-ai-hub/contract-review"/>
      <paraID xmlns="http://schemas.wps.cn/vas-ai-hub/contract-review"> 5FC655B</paraID>
      <start xmlns="http://schemas.wps.cn/vas-ai-hub/contract-review">89</start>
      <end xmlns="http://schemas.wps.cn/vas-ai-hub/contract-review">90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cc77d27a-13de-4096-99f6-b9e837d5e1e0</errorID>
      <errorWord xmlns="http://schemas.wps.cn/vas-ai-hub/contract-review">加强</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加大</item>
      </candidateList>
      <explain xmlns="http://schemas.wps.cn/vas-ai-hub/contract-review">“加强～力度”搭配不当，建议修改为“加大～力度”。</explain>
      <paraID xmlns="http://schemas.wps.cn/vas-ai-hub/contract-review">7192AE17</paraID>
      <start xmlns="http://schemas.wps.cn/vas-ai-hub/contract-review">201</start>
      <end xmlns="http://schemas.wps.cn/vas-ai-hub/contract-review">203</end>
      <status xmlns="http://schemas.wps.cn/vas-ai-hub/contract-review">modified</status>
      <modifiedWord xmlns="http://schemas.wps.cn/vas-ai-hub/contract-review">加大</modifiedWord>
      <trackRevisions xmlns="http://schemas.wps.cn/vas-ai-hub/contract-review">false</trackRevisions>
    </reviewItem>
    <reviewItem xmlns="http://schemas.wps.cn/vas-ai-hub/contract-review">
      <errorID xmlns="http://schemas.wps.cn/vas-ai-hub/contract-review">3b0a620e-f705-4eea-aad6-1c7bd77010d6</errorID>
      <errorWord xmlns="http://schemas.wps.cn/vas-ai-hub/contract-review">量</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量为</item>
      </candidateList>
      <explain xmlns="http://schemas.wps.cn/vas-ai-hub/contract-review"/>
      <paraID xmlns="http://schemas.wps.cn/vas-ai-hub/contract-review">59FED711</paraID>
      <start xmlns="http://schemas.wps.cn/vas-ai-hub/contract-review">59</start>
      <end xmlns="http://schemas.wps.cn/vas-ai-hub/contract-review">61</end>
      <status xmlns="http://schemas.wps.cn/vas-ai-hub/contract-review">modified</status>
      <modifiedWord xmlns="http://schemas.wps.cn/vas-ai-hub/contract-review">量为</modifiedWord>
      <trackRevisions xmlns="http://schemas.wps.cn/vas-ai-hub/contract-review">false</trackRevisions>
    </reviewItem>
    <reviewItem xmlns="http://schemas.wps.cn/vas-ai-hub/contract-review">
      <errorID xmlns="http://schemas.wps.cn/vas-ai-hub/contract-review">32ee8ac4-4b85-4df0-a91d-c4609d0ca679</errorID>
      <errorWord xmlns="http://schemas.wps.cn/vas-ai-hub/contract-review">达</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达到</item>
      </candidateList>
      <explain xmlns="http://schemas.wps.cn/vas-ai-hub/contract-review">〈动〉到（多指抽象事物或程度）：达得到｜达不到｜目的没有～｜～国际水平。</explain>
      <paraID xmlns="http://schemas.wps.cn/vas-ai-hub/contract-review">13E6C0FE</paraID>
      <start xmlns="http://schemas.wps.cn/vas-ai-hub/contract-review">35</start>
      <end xmlns="http://schemas.wps.cn/vas-ai-hub/contract-review">36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577c6c48-2db5-487e-bb16-64c676330e7a</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》和</item>
      </candidateList>
      <explain xmlns="http://schemas.wps.cn/vas-ai-hub/contract-review"/>
      <paraID xmlns="http://schemas.wps.cn/vas-ai-hub/contract-review">7EDE9F5F</paraID>
      <start xmlns="http://schemas.wps.cn/vas-ai-hub/contract-review">92</start>
      <end xmlns="http://schemas.wps.cn/vas-ai-hub/contract-review">93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988f4444-ef7e-4457-82ac-e5dcfd7c7884</errorID>
      <errorWord xmlns="http://schemas.wps.cn/vas-ai-hub/contract-review">程</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程中</item>
      </candidateList>
      <explain xmlns="http://schemas.wps.cn/vas-ai-hub/contract-review"/>
      <paraID xmlns="http://schemas.wps.cn/vas-ai-hub/contract-review">2984FE88</paraID>
      <start xmlns="http://schemas.wps.cn/vas-ai-hub/contract-review">29</start>
      <end xmlns="http://schemas.wps.cn/vas-ai-hub/contract-review">31</end>
      <status xmlns="http://schemas.wps.cn/vas-ai-hub/contract-review">modified</status>
      <modifiedWord xmlns="http://schemas.wps.cn/vas-ai-hub/contract-review">程中</modifiedWord>
      <trackRevisions xmlns="http://schemas.wps.cn/vas-ai-hub/contract-review">false</trackRevisions>
    </reviewItem>
    <reviewItem xmlns="http://schemas.wps.cn/vas-ai-hub/contract-review">
      <errorID xmlns="http://schemas.wps.cn/vas-ai-hub/contract-review">1b765412-cf94-4493-9ea5-b59108e53b17</errorID>
      <errorWord xmlns="http://schemas.wps.cn/vas-ai-hub/contract-review">加强</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加大</item>
      </candidateList>
      <explain xmlns="http://schemas.wps.cn/vas-ai-hub/contract-review">“加强～力度”搭配不当，建议修改为“加大～力度”。</explain>
      <paraID xmlns="http://schemas.wps.cn/vas-ai-hub/contract-review">7C6EA544</paraID>
      <start xmlns="http://schemas.wps.cn/vas-ai-hub/contract-review">201</start>
      <end xmlns="http://schemas.wps.cn/vas-ai-hub/contract-review">203</end>
      <status xmlns="http://schemas.wps.cn/vas-ai-hub/contract-review">modified</status>
      <modifiedWord xmlns="http://schemas.wps.cn/vas-ai-hub/contract-review">加大</modifiedWord>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dec9654-fc47-4e37-8248-ae99e939c5ed}">
  <ds:schemaRefs/>
</ds:datastoreItem>
</file>

<file path=docProps/app.xml><?xml version="1.0" encoding="utf-8"?>
<Properties xmlns="http://schemas.openxmlformats.org/officeDocument/2006/extended-properties" xmlns:vt="http://schemas.openxmlformats.org/officeDocument/2006/docPropsVTypes">
  <Template>Normal.dotm</Template>
  <Pages>16</Pages>
  <Words>7935</Words>
  <Characters>8356</Characters>
  <Lines>0</Lines>
  <Paragraphs>0</Paragraphs>
  <TotalTime>1</TotalTime>
  <ScaleCrop>false</ScaleCrop>
  <LinksUpToDate>false</LinksUpToDate>
  <CharactersWithSpaces>8436</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2026-03-11T18:05:00Z</dcterms:created>
  <dc:creator>华为</dc:creator>
  <cp:lastModifiedBy>greatwall</cp:lastModifiedBy>
  <cp:lastPrinted>2026-03-31T09:46:00Z</cp:lastPrinted>
  <dcterms:modified xsi:type="dcterms:W3CDTF">2026-09-01T08:39:20Z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KSOTemplateDocerSaveRecord">
    <vt:lpwstr>eyJoZGlkIjoiNTc1OWMzYWFkMmQ1NDlhYTdjNWYwYWRjMzgwYmFjMjEiLCJ1c2VySWQiOiI3MDQyNTUxNjUifQ==</vt:lpwstr>
  </property>
  <property fmtid="{D5CDD505-2E9C-101B-9397-08002B2CF9AE}" pid="4" name="ICV">
    <vt:lpwstr>5524788BC47F0B4DB81E966A2FAFAE97_43</vt:lpwstr>
  </property>
</Properties>
</file>