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4F75A0">
      <w:pPr>
        <w:keepNext w:val="0"/>
        <w:keepLines w:val="0"/>
        <w:pageBreakBefore w:val="0"/>
        <w:widowControl w:val="0"/>
        <w:pBdr>
          <w:top w:val="none" w:color="auto" w:sz="0" w:space="1"/>
          <w:left w:val="none" w:color="auto" w:sz="0" w:space="4"/>
          <w:bottom w:val="none" w:color="auto" w:sz="0" w:space="0"/>
          <w:right w:val="none" w:color="auto" w:sz="0" w:space="4"/>
          <w:between w:val="none" w:color="auto" w:sz="0" w:space="0"/>
        </w:pBdr>
        <w:kinsoku/>
        <w:wordWrap/>
        <w:overflowPunct/>
        <w:topLinePunct w:val="0"/>
        <w:autoSpaceDE/>
        <w:autoSpaceDN/>
        <w:bidi w:val="0"/>
        <w:adjustRightInd/>
        <w:snapToGrid w:val="0"/>
        <w:spacing w:line="600" w:lineRule="exact"/>
        <w:jc w:val="center"/>
        <w:textAlignment w:val="auto"/>
        <w:rPr>
          <w:rFonts w:hint="default" w:ascii="Times New Roman" w:hAnsi="Times New Roman" w:eastAsia="方正小标宋_GBK" w:cs="Times New Roman"/>
          <w:sz w:val="44"/>
          <w:lang w:val="en-US" w:eastAsia="zh-CN"/>
        </w:rPr>
      </w:pPr>
      <w:r>
        <w:rPr>
          <w:rFonts w:ascii="仿宋_GB2312" w:eastAsia="仿宋_GB2312"/>
          <w:sz w:val="32"/>
          <w:szCs w:val="32"/>
        </w:rPr>
        <mc:AlternateContent>
          <mc:Choice Requires="wps">
            <w:drawing>
              <wp:anchor distT="0" distB="0" distL="114300" distR="114300" simplePos="0" relativeHeight="251659264" behindDoc="0" locked="0" layoutInCell="1" allowOverlap="1">
                <wp:simplePos x="0" y="0"/>
                <wp:positionH relativeFrom="column">
                  <wp:posOffset>-47625</wp:posOffset>
                </wp:positionH>
                <wp:positionV relativeFrom="paragraph">
                  <wp:posOffset>137160</wp:posOffset>
                </wp:positionV>
                <wp:extent cx="5755640" cy="0"/>
                <wp:effectExtent l="0" t="13970" r="16510" b="24130"/>
                <wp:wrapSquare wrapText="bothSides"/>
                <wp:docPr id="5" name="直接连接符 5"/>
                <wp:cNvGraphicFramePr/>
                <a:graphic xmlns:a="http://schemas.openxmlformats.org/drawingml/2006/main">
                  <a:graphicData uri="http://schemas.microsoft.com/office/word/2010/wordprocessingShape">
                    <wps:wsp>
                      <wps:cNvCnPr/>
                      <wps:spPr>
                        <a:xfrm>
                          <a:off x="0" y="0"/>
                          <a:ext cx="5755640" cy="0"/>
                        </a:xfrm>
                        <a:prstGeom prst="line">
                          <a:avLst/>
                        </a:prstGeom>
                        <a:ln w="28575" cap="flat" cmpd="sng">
                          <a:solidFill>
                            <a:schemeClr val="bg1"/>
                          </a:solidFill>
                          <a:prstDash val="solid"/>
                          <a:round/>
                          <a:headEnd type="none" w="med" len="med"/>
                          <a:tailEnd type="none" w="med" len="med"/>
                        </a:ln>
                      </wps:spPr>
                      <wps:bodyPr upright="1"/>
                    </wps:wsp>
                  </a:graphicData>
                </a:graphic>
              </wp:anchor>
            </w:drawing>
          </mc:Choice>
          <mc:Fallback>
            <w:pict>
              <v:line id="_x0000_s1026" o:spid="_x0000_s1026" o:spt="20" style="position:absolute;left:0pt;margin-left:-3.75pt;margin-top:10.8pt;height:0pt;width:453.2pt;mso-wrap-distance-bottom:0pt;mso-wrap-distance-left:9pt;mso-wrap-distance-right:9pt;mso-wrap-distance-top:0pt;z-index:251659264;mso-width-relative:page;mso-height-relative:page;" filled="f" stroked="t" coordsize="21600,21600" o:gfxdata="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DgM1RLUAAAACAEAAA8AAAAAAAAAAQAgAAAAIgAAAGRycy9kb3ducmV2LnhtbFBL&#10;AQIUABQAAAAIAIdO4kCHQnzE+gEAAO8DAAAOAAAAAAAAAAEAIAAAACMBAABkcnMvZTJvRG9jLnht&#10;bFBLBQYAAAAABgAGAFkBAACPBQAAAAA=&#10;">
                <v:fill on="f" focussize="0,0"/>
                <v:stroke weight="2.25pt" color="#FFFFFF [3212]" joinstyle="round"/>
                <v:imagedata o:title=""/>
                <o:lock v:ext="edit" aspectratio="f"/>
                <w10:wrap type="square"/>
              </v:line>
            </w:pict>
          </mc:Fallback>
        </mc:AlternateContent>
      </w:r>
      <w:r>
        <w:rPr>
          <w:rFonts w:hint="default" w:ascii="Times New Roman" w:hAnsi="Times New Roman" w:eastAsia="方正小标宋_GBK" w:cs="Times New Roman"/>
          <w:sz w:val="44"/>
          <w:lang w:val="en-US" w:eastAsia="zh-CN"/>
        </w:rPr>
        <w:t>湖南省文化和旅游厅</w:t>
      </w:r>
    </w:p>
    <w:p w14:paraId="3C928F6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after="0" w:line="600" w:lineRule="exact"/>
        <w:ind w:left="0" w:leftChars="0" w:right="0" w:rightChars="0"/>
        <w:jc w:val="center"/>
        <w:textAlignment w:val="auto"/>
        <w:rPr>
          <w:rFonts w:hint="default" w:ascii="Times New Roman" w:hAnsi="Times New Roman" w:eastAsia="方正小标宋_GBK" w:cs="Times New Roman"/>
          <w:sz w:val="44"/>
          <w:lang w:val="en-US" w:eastAsia="zh-CN"/>
        </w:rPr>
      </w:pPr>
      <w:r>
        <w:rPr>
          <w:rFonts w:hint="default" w:ascii="Times New Roman" w:hAnsi="Times New Roman" w:eastAsia="方正小标宋_GBK" w:cs="Times New Roman"/>
          <w:b/>
          <w:bCs/>
          <w:sz w:val="44"/>
          <w:lang w:val="en-US" w:eastAsia="zh-CN"/>
        </w:rPr>
        <w:t>2025</w:t>
      </w:r>
      <w:r>
        <w:rPr>
          <w:rFonts w:hint="default" w:ascii="Times New Roman" w:hAnsi="Times New Roman" w:eastAsia="方正小标宋简体" w:cs="Times New Roman"/>
          <w:sz w:val="44"/>
          <w:lang w:val="en-US" w:eastAsia="zh-CN"/>
        </w:rPr>
        <w:t>年</w:t>
      </w:r>
      <w:r>
        <w:rPr>
          <w:rFonts w:hint="default" w:ascii="Times New Roman" w:hAnsi="Times New Roman" w:eastAsia="方正小标宋_GBK" w:cs="Times New Roman"/>
          <w:sz w:val="44"/>
          <w:lang w:val="en-US" w:eastAsia="zh-CN"/>
        </w:rPr>
        <w:t>度旅游发展基金补助地方项目资金</w:t>
      </w:r>
    </w:p>
    <w:p w14:paraId="773EE9E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after="0" w:line="600" w:lineRule="exact"/>
        <w:ind w:left="0" w:leftChars="0" w:right="0" w:rightChars="0"/>
        <w:jc w:val="center"/>
        <w:textAlignment w:val="auto"/>
        <w:rPr>
          <w:rFonts w:hint="default" w:ascii="Times New Roman" w:hAnsi="Times New Roman" w:eastAsia="方正小标宋_GBK" w:cs="Times New Roman"/>
          <w:sz w:val="44"/>
          <w:lang w:val="en-US" w:eastAsia="zh-CN"/>
        </w:rPr>
      </w:pPr>
      <w:r>
        <w:rPr>
          <w:rFonts w:hint="default" w:ascii="Times New Roman" w:hAnsi="Times New Roman" w:eastAsia="方正小标宋_GBK" w:cs="Times New Roman"/>
          <w:sz w:val="44"/>
          <w:lang w:val="en-US" w:eastAsia="zh-CN"/>
        </w:rPr>
        <w:t>绩效自评报告</w:t>
      </w:r>
    </w:p>
    <w:p w14:paraId="7014D90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before="0" w:beforeAutospacing="0" w:after="0" w:afterAutospacing="0" w:line="144" w:lineRule="auto"/>
        <w:ind w:left="0" w:leftChars="0" w:right="0" w:rightChars="0" w:firstLine="640" w:firstLineChars="200"/>
        <w:jc w:val="both"/>
        <w:textAlignment w:val="auto"/>
        <w:rPr>
          <w:rFonts w:hint="default" w:ascii="Times New Roman" w:hAnsi="Times New Roman" w:eastAsia="仿宋_GB2312" w:cs="Times New Roman"/>
          <w:color w:val="000000"/>
          <w:kern w:val="2"/>
          <w:sz w:val="32"/>
          <w:szCs w:val="32"/>
          <w:lang w:val="en-US" w:eastAsia="zh-CN" w:bidi="ar-SA"/>
        </w:rPr>
      </w:pPr>
    </w:p>
    <w:p w14:paraId="4182F3B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beforeAutospacing="0" w:afterAutospacing="0" w:line="550" w:lineRule="exact"/>
        <w:ind w:left="0" w:leftChars="0" w:right="0" w:rightChars="0"/>
        <w:jc w:val="both"/>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文化和旅游部、财政部：</w:t>
      </w:r>
    </w:p>
    <w:p w14:paraId="36F9D7D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beforeAutospacing="0" w:afterAutospacing="0" w:line="550" w:lineRule="exact"/>
        <w:ind w:left="0" w:leftChars="0" w:right="0" w:rightChars="0" w:firstLine="640" w:firstLineChars="200"/>
        <w:jc w:val="both"/>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为加强旅游发展基金补助地方项目资金规范化管理，提高专项资金的使用效益，根据</w:t>
      </w:r>
      <w:r>
        <w:rPr>
          <w:rFonts w:hint="default" w:ascii="Times New Roman" w:hAnsi="Times New Roman" w:eastAsia="仿宋_GB2312" w:cs="Times New Roman"/>
          <w:color w:val="000000"/>
          <w:sz w:val="32"/>
          <w:szCs w:val="32"/>
        </w:rPr>
        <w:t>《财政部关于开展20</w:t>
      </w:r>
      <w:r>
        <w:rPr>
          <w:rFonts w:hint="default" w:ascii="Times New Roman" w:hAnsi="Times New Roman" w:eastAsia="仿宋_GB2312" w:cs="Times New Roman"/>
          <w:color w:val="000000"/>
          <w:sz w:val="32"/>
          <w:szCs w:val="32"/>
          <w:lang w:val="en-US" w:eastAsia="zh-CN"/>
        </w:rPr>
        <w:t>25</w:t>
      </w:r>
      <w:r>
        <w:rPr>
          <w:rFonts w:hint="default" w:ascii="Times New Roman" w:hAnsi="Times New Roman" w:eastAsia="仿宋_GB2312" w:cs="Times New Roman"/>
          <w:color w:val="000000"/>
          <w:sz w:val="32"/>
          <w:szCs w:val="32"/>
        </w:rPr>
        <w:t>年度中央对地方转移支付预算执行情况绩效自评工作的通知》（财监〔202</w:t>
      </w:r>
      <w:r>
        <w:rPr>
          <w:rFonts w:hint="default" w:ascii="Times New Roman" w:hAnsi="Times New Roman" w:eastAsia="仿宋_GB2312" w:cs="Times New Roman"/>
          <w:color w:val="000000"/>
          <w:sz w:val="32"/>
          <w:szCs w:val="32"/>
          <w:lang w:val="en-US" w:eastAsia="zh-CN"/>
        </w:rPr>
        <w:t>6</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1</w:t>
      </w:r>
      <w:r>
        <w:rPr>
          <w:rFonts w:hint="default" w:ascii="Times New Roman" w:hAnsi="Times New Roman" w:eastAsia="仿宋_GB2312" w:cs="Times New Roman"/>
          <w:color w:val="000000"/>
          <w:sz w:val="32"/>
          <w:szCs w:val="32"/>
        </w:rPr>
        <w:t>号）</w:t>
      </w:r>
      <w:r>
        <w:rPr>
          <w:rFonts w:hint="default" w:ascii="Times New Roman" w:hAnsi="Times New Roman" w:eastAsia="仿宋_GB2312" w:cs="Times New Roman"/>
          <w:color w:val="000000"/>
          <w:sz w:val="32"/>
          <w:szCs w:val="32"/>
          <w:lang w:eastAsia="zh-CN"/>
        </w:rPr>
        <w:t>、《湖南省财政厅关于做好2025年度全省中央转移支付资金绩效自评工作的通知》</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eastAsia="zh-CN"/>
        </w:rPr>
        <w:t>湘</w:t>
      </w:r>
      <w:r>
        <w:rPr>
          <w:rFonts w:hint="default" w:ascii="Times New Roman" w:hAnsi="Times New Roman" w:eastAsia="仿宋_GB2312" w:cs="Times New Roman"/>
          <w:color w:val="000000"/>
          <w:sz w:val="32"/>
          <w:szCs w:val="32"/>
        </w:rPr>
        <w:t>财</w:t>
      </w:r>
      <w:r>
        <w:rPr>
          <w:rFonts w:hint="default" w:ascii="Times New Roman" w:hAnsi="Times New Roman" w:eastAsia="仿宋_GB2312" w:cs="Times New Roman"/>
          <w:color w:val="000000"/>
          <w:sz w:val="32"/>
          <w:szCs w:val="32"/>
          <w:lang w:eastAsia="zh-CN"/>
        </w:rPr>
        <w:t>绩</w:t>
      </w:r>
      <w:r>
        <w:rPr>
          <w:rFonts w:hint="default" w:ascii="Times New Roman" w:hAnsi="Times New Roman" w:eastAsia="仿宋_GB2312" w:cs="Times New Roman"/>
          <w:color w:val="000000"/>
          <w:sz w:val="32"/>
          <w:szCs w:val="32"/>
        </w:rPr>
        <w:t>〔2026〕1号）</w:t>
      </w:r>
      <w:r>
        <w:rPr>
          <w:rFonts w:hint="default" w:ascii="Times New Roman" w:hAnsi="Times New Roman" w:eastAsia="仿宋_GB2312" w:cs="Times New Roman"/>
          <w:color w:val="000000"/>
          <w:kern w:val="2"/>
          <w:sz w:val="32"/>
          <w:szCs w:val="32"/>
          <w:lang w:val="en-US" w:eastAsia="zh-CN" w:bidi="ar-SA"/>
        </w:rPr>
        <w:t>文件精神，我厅组织开展了2025年度旅游发展基金补助地方项目资金的绩效自评工作。现将评价情况报告如下：</w:t>
      </w:r>
    </w:p>
    <w:p w14:paraId="698C2B5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beforeAutospacing="0" w:afterAutospacing="0" w:line="550" w:lineRule="exact"/>
        <w:ind w:left="0" w:leftChars="0" w:right="0" w:rightChars="0" w:firstLine="640" w:firstLineChars="200"/>
        <w:jc w:val="both"/>
        <w:textAlignment w:val="auto"/>
        <w:rPr>
          <w:rFonts w:hint="eastAsia" w:ascii="黑体" w:hAnsi="黑体" w:eastAsia="黑体" w:cs="黑体"/>
          <w:b w:val="0"/>
          <w:bCs w:val="0"/>
          <w:i w:val="0"/>
          <w:iCs w:val="0"/>
          <w:caps w:val="0"/>
          <w:color w:val="333333"/>
          <w:spacing w:val="0"/>
          <w:sz w:val="32"/>
          <w:szCs w:val="32"/>
        </w:rPr>
      </w:pPr>
      <w:r>
        <w:rPr>
          <w:rFonts w:hint="eastAsia" w:ascii="黑体" w:hAnsi="黑体" w:eastAsia="黑体" w:cs="黑体"/>
          <w:b w:val="0"/>
          <w:bCs w:val="0"/>
          <w:i w:val="0"/>
          <w:iCs w:val="0"/>
          <w:caps w:val="0"/>
          <w:color w:val="333333"/>
          <w:spacing w:val="0"/>
          <w:sz w:val="32"/>
          <w:szCs w:val="32"/>
          <w:shd w:val="clear" w:fill="FFFFFF"/>
        </w:rPr>
        <w:t>一、</w:t>
      </w:r>
      <w:r>
        <w:rPr>
          <w:rFonts w:hint="eastAsia" w:ascii="黑体" w:hAnsi="黑体" w:eastAsia="黑体" w:cs="黑体"/>
          <w:b w:val="0"/>
          <w:bCs w:val="0"/>
          <w:i w:val="0"/>
          <w:iCs w:val="0"/>
          <w:caps w:val="0"/>
          <w:color w:val="333333"/>
          <w:spacing w:val="0"/>
          <w:sz w:val="32"/>
          <w:szCs w:val="32"/>
          <w:shd w:val="clear" w:fill="FFFFFF"/>
          <w:lang w:val="en-US" w:eastAsia="zh-CN"/>
        </w:rPr>
        <w:t>绩效目标分解下达</w:t>
      </w:r>
      <w:r>
        <w:rPr>
          <w:rFonts w:hint="eastAsia" w:ascii="黑体" w:hAnsi="黑体" w:eastAsia="黑体" w:cs="黑体"/>
          <w:b w:val="0"/>
          <w:bCs w:val="0"/>
          <w:i w:val="0"/>
          <w:iCs w:val="0"/>
          <w:caps w:val="0"/>
          <w:color w:val="333333"/>
          <w:spacing w:val="0"/>
          <w:sz w:val="32"/>
          <w:szCs w:val="32"/>
          <w:shd w:val="clear" w:fill="FFFFFF"/>
        </w:rPr>
        <w:t>情况</w:t>
      </w:r>
    </w:p>
    <w:p w14:paraId="01C16DC3">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before="0" w:beforeAutospacing="0" w:after="0" w:afterAutospacing="0" w:line="550" w:lineRule="exact"/>
        <w:ind w:left="0" w:right="0" w:firstLine="643" w:firstLineChars="200"/>
        <w:textAlignment w:val="auto"/>
        <w:rPr>
          <w:rFonts w:hint="default" w:ascii="Times New Roman" w:hAnsi="Times New Roman" w:eastAsia="楷体_GB2312" w:cs="Times New Roman"/>
          <w:b/>
          <w:bCs w:val="0"/>
          <w:kern w:val="2"/>
          <w:sz w:val="32"/>
          <w:szCs w:val="32"/>
          <w:lang w:val="en-US" w:eastAsia="zh-CN"/>
        </w:rPr>
      </w:pPr>
      <w:r>
        <w:rPr>
          <w:rFonts w:hint="default" w:ascii="Times New Roman" w:hAnsi="Times New Roman" w:eastAsia="楷体_GB2312" w:cs="Times New Roman"/>
          <w:b/>
          <w:bCs w:val="0"/>
          <w:kern w:val="2"/>
          <w:sz w:val="32"/>
          <w:szCs w:val="32"/>
          <w:lang w:val="en-US" w:eastAsia="zh-CN"/>
        </w:rPr>
        <w:t>（一）中央下达转移支付预算和绩效目标情况</w:t>
      </w:r>
    </w:p>
    <w:p w14:paraId="0CF550A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before="0" w:beforeLines="0" w:beforeAutospacing="0" w:after="0" w:afterLines="0" w:afterAutospacing="0" w:line="560" w:lineRule="exact"/>
        <w:ind w:left="0" w:leftChars="0" w:right="0" w:rightChars="0" w:firstLine="643" w:firstLineChars="200"/>
        <w:jc w:val="both"/>
        <w:textAlignment w:val="auto"/>
        <w:rPr>
          <w:rFonts w:hint="default" w:ascii="Times New Roman" w:hAnsi="Times New Roman" w:eastAsia="仿宋_GB2312" w:cs="Times New Roman"/>
          <w:b/>
          <w:bCs/>
          <w:kern w:val="2"/>
          <w:sz w:val="32"/>
          <w:szCs w:val="32"/>
          <w:lang w:val="en-US" w:eastAsia="zh-CN" w:bidi="ar-SA"/>
        </w:rPr>
      </w:pPr>
      <w:r>
        <w:rPr>
          <w:rFonts w:hint="default" w:ascii="Times New Roman" w:hAnsi="Times New Roman" w:eastAsia="仿宋_GB2312" w:cs="Times New Roman"/>
          <w:b/>
          <w:bCs/>
          <w:kern w:val="2"/>
          <w:sz w:val="32"/>
          <w:szCs w:val="32"/>
          <w:lang w:val="en-US" w:eastAsia="zh-CN" w:bidi="ar-SA"/>
        </w:rPr>
        <w:t>1.专项资金预算下达情况</w:t>
      </w:r>
    </w:p>
    <w:p w14:paraId="1319F5E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beforeAutospacing="0" w:afterAutospacing="0" w:line="560" w:lineRule="exact"/>
        <w:ind w:left="0" w:leftChars="0" w:right="0" w:rightChars="0" w:firstLine="640" w:firstLineChars="200"/>
        <w:jc w:val="both"/>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中央下达我省2025年</w:t>
      </w:r>
      <w:r>
        <w:rPr>
          <w:rFonts w:hint="eastAsia" w:ascii="Times New Roman" w:hAnsi="Times New Roman" w:eastAsia="仿宋_GB2312" w:cs="Times New Roman"/>
          <w:color w:val="000000"/>
          <w:kern w:val="2"/>
          <w:sz w:val="32"/>
          <w:szCs w:val="32"/>
          <w:lang w:val="en-US" w:eastAsia="zh-CN" w:bidi="ar-SA"/>
        </w:rPr>
        <w:t>度</w:t>
      </w:r>
      <w:r>
        <w:rPr>
          <w:rFonts w:hint="default" w:ascii="Times New Roman" w:hAnsi="Times New Roman" w:eastAsia="仿宋_GB2312" w:cs="Times New Roman"/>
          <w:color w:val="000000"/>
          <w:kern w:val="2"/>
          <w:sz w:val="32"/>
          <w:szCs w:val="32"/>
          <w:lang w:val="en-US" w:eastAsia="zh-CN" w:bidi="ar-SA"/>
        </w:rPr>
        <w:t>旅游发展基金补助地方项目资金共计4571万元，要求主要用于支持地方提升旅游公共服务水平、旅游宣传推广、旅游业转型升级融合发展、文化和旅游消费促进等方面。资金分两批次下达，分别是2025年6月，湘财文指〔2025〕60号文件下达我省专项资金3625万元；</w:t>
      </w:r>
      <w:r>
        <w:rPr>
          <w:rFonts w:hint="eastAsia" w:ascii="Times New Roman" w:hAnsi="Times New Roman" w:eastAsia="仿宋_GB2312" w:cs="Times New Roman"/>
          <w:color w:val="000000"/>
          <w:kern w:val="2"/>
          <w:sz w:val="32"/>
          <w:szCs w:val="32"/>
          <w:lang w:val="en-US" w:eastAsia="zh-CN" w:bidi="ar-SA"/>
        </w:rPr>
        <w:t>根据“湘超”文旅配套活动经费的需要预留</w:t>
      </w:r>
      <w:r>
        <w:rPr>
          <w:rFonts w:hint="default" w:ascii="Times New Roman" w:hAnsi="Times New Roman" w:eastAsia="仿宋_GB2312" w:cs="Times New Roman"/>
          <w:color w:val="000000"/>
          <w:kern w:val="2"/>
          <w:sz w:val="32"/>
          <w:szCs w:val="32"/>
          <w:lang w:val="en-US" w:eastAsia="zh-CN" w:bidi="ar-SA"/>
        </w:rPr>
        <w:t>566万元</w:t>
      </w:r>
      <w:r>
        <w:rPr>
          <w:rFonts w:hint="eastAsia"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en-US" w:eastAsia="zh-CN" w:bidi="ar-SA"/>
        </w:rPr>
        <w:t>2025年10月</w:t>
      </w:r>
      <w:r>
        <w:rPr>
          <w:rFonts w:hint="eastAsia" w:ascii="Times New Roman" w:hAnsi="Times New Roman" w:eastAsia="仿宋_GB2312" w:cs="Times New Roman"/>
          <w:color w:val="000000"/>
          <w:kern w:val="2"/>
          <w:sz w:val="32"/>
          <w:szCs w:val="32"/>
          <w:lang w:val="en-US" w:eastAsia="zh-CN" w:bidi="ar-SA"/>
        </w:rPr>
        <w:t>以</w:t>
      </w:r>
      <w:r>
        <w:rPr>
          <w:rFonts w:hint="default" w:ascii="Times New Roman" w:hAnsi="Times New Roman" w:eastAsia="仿宋_GB2312" w:cs="Times New Roman"/>
          <w:color w:val="000000"/>
          <w:kern w:val="2"/>
          <w:sz w:val="32"/>
          <w:szCs w:val="32"/>
          <w:lang w:val="en-US" w:eastAsia="zh-CN" w:bidi="ar-SA"/>
        </w:rPr>
        <w:t>湘财文指〔2025〕81号文件下达。按照中央《旅游发展基金项目资金支出管理办法》要求，我省制定了《关于加强中央旅游发展基金项目资金管理和使用的通知》。</w:t>
      </w:r>
    </w:p>
    <w:p w14:paraId="36631A7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before="0" w:beforeLines="0" w:beforeAutospacing="0" w:after="0" w:afterLines="0" w:afterAutospacing="0" w:line="560" w:lineRule="exact"/>
        <w:ind w:left="0" w:leftChars="0" w:right="0" w:rightChars="0" w:firstLine="643" w:firstLineChars="200"/>
        <w:jc w:val="both"/>
        <w:textAlignment w:val="auto"/>
        <w:rPr>
          <w:rFonts w:hint="default" w:ascii="Times New Roman" w:hAnsi="Times New Roman" w:eastAsia="仿宋_GB2312" w:cs="Times New Roman"/>
          <w:b/>
          <w:bCs/>
          <w:color w:val="000000"/>
          <w:kern w:val="2"/>
          <w:sz w:val="32"/>
          <w:szCs w:val="32"/>
          <w:lang w:val="en-US" w:eastAsia="zh-CN" w:bidi="ar-SA"/>
        </w:rPr>
      </w:pPr>
      <w:r>
        <w:rPr>
          <w:rFonts w:hint="default" w:ascii="Times New Roman" w:hAnsi="Times New Roman" w:eastAsia="仿宋_GB2312" w:cs="Times New Roman"/>
          <w:b/>
          <w:bCs/>
          <w:color w:val="000000"/>
          <w:kern w:val="2"/>
          <w:sz w:val="32"/>
          <w:szCs w:val="32"/>
          <w:lang w:val="en-US" w:eastAsia="zh-CN" w:bidi="ar-SA"/>
        </w:rPr>
        <w:t>2.绩效目标情况</w:t>
      </w:r>
    </w:p>
    <w:p w14:paraId="4328850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beforeAutospacing="0" w:afterAutospacing="0" w:line="560" w:lineRule="exact"/>
        <w:ind w:left="0" w:leftChars="0" w:right="0" w:rightChars="0" w:firstLine="640" w:firstLineChars="200"/>
        <w:jc w:val="both"/>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中央同时下达《2025年度旅游发展基金补助地方项目资金整体绩效目标表》，从产出指标、效益指标、满意度指标3个方面进行绩效考核，总体目标为：提升旅游公共服务水平，加强旅游宣传推广，推进旅游业转型升级融合发展，促进文化和旅游消费，推动旅游业高质量发展。</w:t>
      </w:r>
    </w:p>
    <w:p w14:paraId="0A1E93C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before="0" w:beforeAutospacing="0" w:after="0" w:afterAutospacing="0" w:line="560" w:lineRule="exact"/>
        <w:ind w:left="0" w:leftChars="0" w:right="0" w:rightChars="0" w:firstLine="643" w:firstLineChars="200"/>
        <w:jc w:val="both"/>
        <w:textAlignment w:val="auto"/>
        <w:rPr>
          <w:rFonts w:hint="default" w:ascii="Times New Roman" w:hAnsi="Times New Roman" w:eastAsia="楷体_GB2312" w:cs="Times New Roman"/>
          <w:b/>
          <w:bCs w:val="0"/>
          <w:kern w:val="2"/>
          <w:sz w:val="32"/>
          <w:szCs w:val="32"/>
          <w:lang w:val="en-US" w:eastAsia="zh-CN" w:bidi="ar-SA"/>
        </w:rPr>
      </w:pPr>
      <w:r>
        <w:rPr>
          <w:rFonts w:hint="default" w:ascii="Times New Roman" w:hAnsi="Times New Roman" w:eastAsia="楷体_GB2312" w:cs="Times New Roman"/>
          <w:b/>
          <w:bCs w:val="0"/>
          <w:kern w:val="2"/>
          <w:sz w:val="32"/>
          <w:szCs w:val="32"/>
          <w:lang w:val="en-US" w:eastAsia="zh-CN" w:bidi="ar-SA"/>
        </w:rPr>
        <w:t>（二）省内资金安排、分解下达预算和绩效目标情况</w:t>
      </w:r>
    </w:p>
    <w:p w14:paraId="06172ED6">
      <w:pPr>
        <w:keepNext w:val="0"/>
        <w:keepLines w:val="0"/>
        <w:pageBreakBefore w:val="0"/>
        <w:widowControl w:val="0"/>
        <w:numPr>
          <w:ilvl w:val="0"/>
          <w:numId w:val="1"/>
        </w:numPr>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beforeAutospacing="0" w:afterAutospacing="0" w:line="560" w:lineRule="exact"/>
        <w:ind w:left="0" w:leftChars="0" w:right="0" w:firstLine="643" w:firstLineChars="200"/>
        <w:jc w:val="both"/>
        <w:textAlignment w:val="auto"/>
        <w:rPr>
          <w:rFonts w:hint="default" w:ascii="Times New Roman" w:hAnsi="Times New Roman" w:eastAsia="仿宋_GB2312" w:cs="Times New Roman"/>
          <w:b/>
          <w:bCs/>
          <w:kern w:val="2"/>
          <w:sz w:val="32"/>
          <w:szCs w:val="32"/>
          <w:lang w:val="en-US" w:eastAsia="zh-CN" w:bidi="ar"/>
        </w:rPr>
      </w:pPr>
      <w:r>
        <w:rPr>
          <w:rFonts w:hint="default" w:ascii="Times New Roman" w:hAnsi="Times New Roman" w:eastAsia="仿宋_GB2312" w:cs="Times New Roman"/>
          <w:b/>
          <w:bCs/>
          <w:kern w:val="2"/>
          <w:sz w:val="32"/>
          <w:szCs w:val="32"/>
          <w:lang w:val="en-US" w:eastAsia="zh-CN" w:bidi="ar"/>
        </w:rPr>
        <w:t>省内资金安排及分解下达情况</w:t>
      </w:r>
    </w:p>
    <w:p w14:paraId="6B5E1DC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beforeAutospacing="0" w:afterAutospacing="0" w:line="56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
        </w:rPr>
      </w:pPr>
      <w:r>
        <w:rPr>
          <w:rFonts w:hint="default" w:ascii="Times New Roman" w:hAnsi="Times New Roman" w:eastAsia="仿宋_GB2312" w:cs="Times New Roman"/>
          <w:kern w:val="2"/>
          <w:sz w:val="32"/>
          <w:szCs w:val="32"/>
          <w:lang w:val="en-US" w:eastAsia="zh-CN" w:bidi="ar"/>
        </w:rPr>
        <w:t>2025年度，我省严格按照预算管理要求完成分解下达工作。本年度省内共安排省文化和旅游厅会同省财政厅，依据年度工作任务及项目库储备情况，拟定资金分配初步方案；按程序履行公示、征求意见及报批程序后，及时将资金拨付至各市（州）财政及相关项目实施单位，同步明确资金使用范围、管理规范及绩效目标，确保资金专款专用、及时到位。</w:t>
      </w:r>
    </w:p>
    <w:p w14:paraId="6AFB6F9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beforeAutospacing="0" w:after="157" w:afterLines="50" w:afterAutospacing="0" w:line="56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
        </w:rPr>
      </w:pPr>
      <w:r>
        <w:rPr>
          <w:rFonts w:hint="eastAsia" w:ascii="Times New Roman" w:hAnsi="Times New Roman" w:eastAsia="仿宋_GB2312" w:cs="Times New Roman"/>
          <w:kern w:val="2"/>
          <w:sz w:val="32"/>
          <w:szCs w:val="32"/>
          <w:lang w:val="en-US" w:eastAsia="zh-CN" w:bidi="ar"/>
        </w:rPr>
        <w:t>按照时间节点，</w:t>
      </w:r>
      <w:r>
        <w:rPr>
          <w:rFonts w:hint="default" w:ascii="Times New Roman" w:hAnsi="Times New Roman" w:eastAsia="仿宋_GB2312" w:cs="Times New Roman"/>
          <w:color w:val="000000"/>
          <w:kern w:val="2"/>
          <w:sz w:val="32"/>
          <w:szCs w:val="32"/>
          <w:lang w:val="en-US" w:eastAsia="zh-CN" w:bidi="ar-SA"/>
        </w:rPr>
        <w:t>旅游发展基金补助地方项目资金</w:t>
      </w:r>
      <w:r>
        <w:rPr>
          <w:rFonts w:hint="default" w:ascii="Times New Roman" w:hAnsi="Times New Roman" w:eastAsia="仿宋_GB2312" w:cs="Times New Roman"/>
          <w:kern w:val="2"/>
          <w:sz w:val="32"/>
          <w:szCs w:val="32"/>
          <w:lang w:val="en-US" w:eastAsia="zh-CN" w:bidi="ar"/>
        </w:rPr>
        <w:t>4571万元已100%分解下达至各相关主体。</w:t>
      </w:r>
    </w:p>
    <w:tbl>
      <w:tblPr>
        <w:tblStyle w:val="10"/>
        <w:tblW w:w="685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76"/>
        <w:gridCol w:w="3333"/>
        <w:gridCol w:w="2443"/>
      </w:tblGrid>
      <w:tr w14:paraId="4CB62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1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FB3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序号</w:t>
            </w:r>
          </w:p>
        </w:tc>
        <w:tc>
          <w:tcPr>
            <w:tcW w:w="3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725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8"/>
                <w:szCs w:val="28"/>
                <w:u w:val="none"/>
              </w:rPr>
            </w:pPr>
            <w:r>
              <w:rPr>
                <w:rStyle w:val="12"/>
                <w:rFonts w:hint="default" w:ascii="Times New Roman" w:hAnsi="Times New Roman" w:eastAsia="仿宋_GB2312" w:cs="Times New Roman"/>
                <w:sz w:val="28"/>
                <w:szCs w:val="28"/>
                <w:lang w:val="en-US" w:eastAsia="zh-CN" w:bidi="ar"/>
              </w:rPr>
              <w:t>市州</w:t>
            </w:r>
          </w:p>
        </w:tc>
        <w:tc>
          <w:tcPr>
            <w:tcW w:w="24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53E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8"/>
                <w:szCs w:val="28"/>
                <w:u w:val="none"/>
              </w:rPr>
            </w:pPr>
            <w:r>
              <w:rPr>
                <w:rStyle w:val="12"/>
                <w:rFonts w:hint="default" w:ascii="Times New Roman" w:hAnsi="Times New Roman" w:eastAsia="仿宋_GB2312" w:cs="Times New Roman"/>
                <w:sz w:val="28"/>
                <w:szCs w:val="28"/>
                <w:lang w:val="en-US" w:eastAsia="zh-CN" w:bidi="ar"/>
              </w:rPr>
              <w:t>金额</w:t>
            </w:r>
          </w:p>
        </w:tc>
      </w:tr>
      <w:tr w14:paraId="062AE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1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29E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1</w:t>
            </w:r>
          </w:p>
        </w:tc>
        <w:tc>
          <w:tcPr>
            <w:tcW w:w="3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07F3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8"/>
                <w:szCs w:val="28"/>
                <w:u w:val="none"/>
              </w:rPr>
            </w:pPr>
            <w:r>
              <w:rPr>
                <w:rStyle w:val="12"/>
                <w:rFonts w:hint="default" w:ascii="Times New Roman" w:hAnsi="Times New Roman" w:eastAsia="仿宋_GB2312" w:cs="Times New Roman"/>
                <w:sz w:val="28"/>
                <w:szCs w:val="28"/>
                <w:lang w:val="en-US" w:eastAsia="zh-CN" w:bidi="ar"/>
              </w:rPr>
              <w:t>湖南省文化和旅游厅</w:t>
            </w:r>
          </w:p>
        </w:tc>
        <w:tc>
          <w:tcPr>
            <w:tcW w:w="24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2C811">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986</w:t>
            </w:r>
          </w:p>
        </w:tc>
      </w:tr>
      <w:tr w14:paraId="0CD86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1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5BE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8"/>
                <w:szCs w:val="28"/>
                <w:u w:val="none"/>
                <w:lang w:val="en-US" w:eastAsia="zh-CN"/>
              </w:rPr>
            </w:pPr>
            <w:r>
              <w:rPr>
                <w:rFonts w:hint="default" w:ascii="Times New Roman" w:hAnsi="Times New Roman" w:eastAsia="仿宋_GB2312" w:cs="Times New Roman"/>
                <w:i w:val="0"/>
                <w:iCs w:val="0"/>
                <w:color w:val="000000"/>
                <w:sz w:val="28"/>
                <w:szCs w:val="28"/>
                <w:u w:val="none"/>
                <w:lang w:val="en-US" w:eastAsia="zh-CN"/>
              </w:rPr>
              <w:t>2</w:t>
            </w:r>
          </w:p>
        </w:tc>
        <w:tc>
          <w:tcPr>
            <w:tcW w:w="3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4205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8"/>
                <w:szCs w:val="28"/>
                <w:u w:val="none"/>
              </w:rPr>
            </w:pPr>
            <w:r>
              <w:rPr>
                <w:rStyle w:val="12"/>
                <w:rFonts w:hint="default" w:ascii="Times New Roman" w:hAnsi="Times New Roman" w:eastAsia="仿宋_GB2312" w:cs="Times New Roman"/>
                <w:sz w:val="28"/>
                <w:szCs w:val="28"/>
                <w:lang w:val="en-US" w:eastAsia="zh-CN" w:bidi="ar"/>
              </w:rPr>
              <w:t>长沙市</w:t>
            </w:r>
          </w:p>
        </w:tc>
        <w:tc>
          <w:tcPr>
            <w:tcW w:w="24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2D23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925</w:t>
            </w:r>
          </w:p>
        </w:tc>
      </w:tr>
      <w:tr w14:paraId="1857D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1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4E1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8"/>
                <w:szCs w:val="28"/>
                <w:u w:val="none"/>
                <w:lang w:val="en-US" w:eastAsia="zh-CN"/>
              </w:rPr>
            </w:pPr>
            <w:r>
              <w:rPr>
                <w:rFonts w:hint="default" w:ascii="Times New Roman" w:hAnsi="Times New Roman" w:eastAsia="仿宋_GB2312" w:cs="Times New Roman"/>
                <w:i w:val="0"/>
                <w:iCs w:val="0"/>
                <w:color w:val="000000"/>
                <w:sz w:val="28"/>
                <w:szCs w:val="28"/>
                <w:u w:val="none"/>
                <w:lang w:val="en-US" w:eastAsia="zh-CN"/>
              </w:rPr>
              <w:t>3</w:t>
            </w:r>
          </w:p>
        </w:tc>
        <w:tc>
          <w:tcPr>
            <w:tcW w:w="3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8634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8"/>
                <w:szCs w:val="28"/>
                <w:u w:val="none"/>
              </w:rPr>
            </w:pPr>
            <w:r>
              <w:rPr>
                <w:rStyle w:val="12"/>
                <w:rFonts w:hint="default" w:ascii="Times New Roman" w:hAnsi="Times New Roman" w:eastAsia="仿宋_GB2312" w:cs="Times New Roman"/>
                <w:sz w:val="28"/>
                <w:szCs w:val="28"/>
                <w:lang w:val="en-US" w:eastAsia="zh-CN" w:bidi="ar"/>
              </w:rPr>
              <w:t>株洲市</w:t>
            </w:r>
          </w:p>
        </w:tc>
        <w:tc>
          <w:tcPr>
            <w:tcW w:w="24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3669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default" w:ascii="Times New Roman" w:hAnsi="Times New Roman" w:eastAsia="仿宋_GB2312" w:cs="Times New Roman"/>
                <w:i w:val="0"/>
                <w:iCs w:val="0"/>
                <w:color w:val="000000"/>
                <w:sz w:val="28"/>
                <w:szCs w:val="28"/>
                <w:u w:val="none"/>
                <w:lang w:val="en-US" w:eastAsia="zh-CN"/>
              </w:rPr>
            </w:pPr>
            <w:r>
              <w:rPr>
                <w:rFonts w:hint="default" w:ascii="Times New Roman" w:hAnsi="Times New Roman" w:eastAsia="仿宋_GB2312" w:cs="Times New Roman"/>
                <w:i w:val="0"/>
                <w:iCs w:val="0"/>
                <w:color w:val="000000"/>
                <w:sz w:val="28"/>
                <w:szCs w:val="28"/>
                <w:u w:val="none"/>
                <w:lang w:val="en-US" w:eastAsia="zh-CN"/>
              </w:rPr>
              <w:t>220</w:t>
            </w:r>
          </w:p>
        </w:tc>
      </w:tr>
      <w:tr w14:paraId="5DED9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1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868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8"/>
                <w:szCs w:val="28"/>
                <w:u w:val="none"/>
                <w:lang w:val="en-US" w:eastAsia="zh-CN"/>
              </w:rPr>
            </w:pPr>
            <w:r>
              <w:rPr>
                <w:rFonts w:hint="default" w:ascii="Times New Roman" w:hAnsi="Times New Roman" w:eastAsia="仿宋_GB2312" w:cs="Times New Roman"/>
                <w:i w:val="0"/>
                <w:iCs w:val="0"/>
                <w:color w:val="000000"/>
                <w:sz w:val="28"/>
                <w:szCs w:val="28"/>
                <w:u w:val="none"/>
                <w:lang w:val="en-US" w:eastAsia="zh-CN"/>
              </w:rPr>
              <w:t>4</w:t>
            </w:r>
          </w:p>
        </w:tc>
        <w:tc>
          <w:tcPr>
            <w:tcW w:w="3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9E55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8"/>
                <w:szCs w:val="28"/>
                <w:u w:val="none"/>
              </w:rPr>
            </w:pPr>
            <w:r>
              <w:rPr>
                <w:rStyle w:val="12"/>
                <w:rFonts w:hint="default" w:ascii="Times New Roman" w:hAnsi="Times New Roman" w:eastAsia="仿宋_GB2312" w:cs="Times New Roman"/>
                <w:sz w:val="28"/>
                <w:szCs w:val="28"/>
                <w:lang w:val="en-US" w:eastAsia="zh-CN" w:bidi="ar"/>
              </w:rPr>
              <w:t>湘潭市</w:t>
            </w:r>
          </w:p>
        </w:tc>
        <w:tc>
          <w:tcPr>
            <w:tcW w:w="24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D6AA8">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default" w:ascii="Times New Roman" w:hAnsi="Times New Roman" w:eastAsia="仿宋_GB2312" w:cs="Times New Roman"/>
                <w:i w:val="0"/>
                <w:iCs w:val="0"/>
                <w:color w:val="000000"/>
                <w:sz w:val="28"/>
                <w:szCs w:val="28"/>
                <w:u w:val="none"/>
                <w:lang w:val="en-US" w:eastAsia="zh-CN"/>
              </w:rPr>
            </w:pPr>
            <w:r>
              <w:rPr>
                <w:rFonts w:hint="default" w:ascii="Times New Roman" w:hAnsi="Times New Roman" w:eastAsia="仿宋_GB2312" w:cs="Times New Roman"/>
                <w:i w:val="0"/>
                <w:iCs w:val="0"/>
                <w:color w:val="000000"/>
                <w:sz w:val="28"/>
                <w:szCs w:val="28"/>
                <w:u w:val="none"/>
                <w:lang w:val="en-US" w:eastAsia="zh-CN"/>
              </w:rPr>
              <w:t>175</w:t>
            </w:r>
          </w:p>
        </w:tc>
      </w:tr>
      <w:tr w14:paraId="33EF0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1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BD6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8"/>
                <w:szCs w:val="28"/>
                <w:u w:val="none"/>
                <w:lang w:val="en-US" w:eastAsia="zh-CN"/>
              </w:rPr>
            </w:pPr>
            <w:r>
              <w:rPr>
                <w:rFonts w:hint="default" w:ascii="Times New Roman" w:hAnsi="Times New Roman" w:eastAsia="仿宋_GB2312" w:cs="Times New Roman"/>
                <w:i w:val="0"/>
                <w:iCs w:val="0"/>
                <w:color w:val="000000"/>
                <w:sz w:val="28"/>
                <w:szCs w:val="28"/>
                <w:u w:val="none"/>
                <w:lang w:val="en-US" w:eastAsia="zh-CN"/>
              </w:rPr>
              <w:t>5</w:t>
            </w:r>
          </w:p>
        </w:tc>
        <w:tc>
          <w:tcPr>
            <w:tcW w:w="3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2E5D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8"/>
                <w:szCs w:val="28"/>
                <w:u w:val="none"/>
              </w:rPr>
            </w:pPr>
            <w:r>
              <w:rPr>
                <w:rStyle w:val="12"/>
                <w:rFonts w:hint="default" w:ascii="Times New Roman" w:hAnsi="Times New Roman" w:eastAsia="仿宋_GB2312" w:cs="Times New Roman"/>
                <w:sz w:val="28"/>
                <w:szCs w:val="28"/>
                <w:lang w:val="en-US" w:eastAsia="zh-CN" w:bidi="ar"/>
              </w:rPr>
              <w:t>衡阳市</w:t>
            </w:r>
          </w:p>
        </w:tc>
        <w:tc>
          <w:tcPr>
            <w:tcW w:w="24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E0066">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default" w:ascii="Times New Roman" w:hAnsi="Times New Roman" w:eastAsia="仿宋_GB2312" w:cs="Times New Roman"/>
                <w:i w:val="0"/>
                <w:iCs w:val="0"/>
                <w:color w:val="000000"/>
                <w:sz w:val="28"/>
                <w:szCs w:val="28"/>
                <w:u w:val="none"/>
                <w:lang w:val="en-US" w:eastAsia="zh-CN"/>
              </w:rPr>
            </w:pPr>
            <w:r>
              <w:rPr>
                <w:rFonts w:hint="default" w:ascii="Times New Roman" w:hAnsi="Times New Roman" w:eastAsia="仿宋_GB2312" w:cs="Times New Roman"/>
                <w:i w:val="0"/>
                <w:iCs w:val="0"/>
                <w:color w:val="000000"/>
                <w:sz w:val="28"/>
                <w:szCs w:val="28"/>
                <w:u w:val="none"/>
                <w:lang w:val="en-US" w:eastAsia="zh-CN"/>
              </w:rPr>
              <w:t>335</w:t>
            </w:r>
          </w:p>
        </w:tc>
      </w:tr>
      <w:tr w14:paraId="58F2E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1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AA8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8"/>
                <w:szCs w:val="28"/>
                <w:u w:val="none"/>
                <w:lang w:val="en-US" w:eastAsia="zh-CN"/>
              </w:rPr>
            </w:pPr>
            <w:r>
              <w:rPr>
                <w:rFonts w:hint="default" w:ascii="Times New Roman" w:hAnsi="Times New Roman" w:eastAsia="仿宋_GB2312" w:cs="Times New Roman"/>
                <w:i w:val="0"/>
                <w:iCs w:val="0"/>
                <w:color w:val="000000"/>
                <w:sz w:val="28"/>
                <w:szCs w:val="28"/>
                <w:u w:val="none"/>
                <w:lang w:val="en-US" w:eastAsia="zh-CN"/>
              </w:rPr>
              <w:t>6</w:t>
            </w:r>
          </w:p>
        </w:tc>
        <w:tc>
          <w:tcPr>
            <w:tcW w:w="3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AC84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8"/>
                <w:szCs w:val="28"/>
                <w:u w:val="none"/>
              </w:rPr>
            </w:pPr>
            <w:r>
              <w:rPr>
                <w:rStyle w:val="12"/>
                <w:rFonts w:hint="default" w:ascii="Times New Roman" w:hAnsi="Times New Roman" w:eastAsia="仿宋_GB2312" w:cs="Times New Roman"/>
                <w:sz w:val="28"/>
                <w:szCs w:val="28"/>
                <w:lang w:val="en-US" w:eastAsia="zh-CN" w:bidi="ar"/>
              </w:rPr>
              <w:t>岳阳市</w:t>
            </w:r>
          </w:p>
        </w:tc>
        <w:tc>
          <w:tcPr>
            <w:tcW w:w="24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F09B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default" w:ascii="Times New Roman" w:hAnsi="Times New Roman" w:eastAsia="仿宋_GB2312" w:cs="Times New Roman"/>
                <w:i w:val="0"/>
                <w:iCs w:val="0"/>
                <w:color w:val="000000"/>
                <w:sz w:val="28"/>
                <w:szCs w:val="28"/>
                <w:u w:val="none"/>
                <w:lang w:val="en-US" w:eastAsia="zh-CN"/>
              </w:rPr>
            </w:pPr>
            <w:r>
              <w:rPr>
                <w:rFonts w:hint="default" w:ascii="Times New Roman" w:hAnsi="Times New Roman" w:eastAsia="仿宋_GB2312" w:cs="Times New Roman"/>
                <w:i w:val="0"/>
                <w:iCs w:val="0"/>
                <w:color w:val="000000"/>
                <w:sz w:val="28"/>
                <w:szCs w:val="28"/>
                <w:u w:val="none"/>
                <w:lang w:val="en-US" w:eastAsia="zh-CN"/>
              </w:rPr>
              <w:t>485</w:t>
            </w:r>
          </w:p>
        </w:tc>
      </w:tr>
      <w:tr w14:paraId="0569D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1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FC7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8"/>
                <w:szCs w:val="28"/>
                <w:u w:val="none"/>
                <w:lang w:val="en-US" w:eastAsia="zh-CN"/>
              </w:rPr>
            </w:pPr>
            <w:r>
              <w:rPr>
                <w:rFonts w:hint="default" w:ascii="Times New Roman" w:hAnsi="Times New Roman" w:eastAsia="仿宋_GB2312" w:cs="Times New Roman"/>
                <w:i w:val="0"/>
                <w:iCs w:val="0"/>
                <w:color w:val="000000"/>
                <w:sz w:val="28"/>
                <w:szCs w:val="28"/>
                <w:u w:val="none"/>
                <w:lang w:val="en-US" w:eastAsia="zh-CN"/>
              </w:rPr>
              <w:t>7</w:t>
            </w:r>
          </w:p>
        </w:tc>
        <w:tc>
          <w:tcPr>
            <w:tcW w:w="3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E1E5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8"/>
                <w:szCs w:val="28"/>
                <w:u w:val="none"/>
              </w:rPr>
            </w:pPr>
            <w:r>
              <w:rPr>
                <w:rStyle w:val="12"/>
                <w:rFonts w:hint="default" w:ascii="Times New Roman" w:hAnsi="Times New Roman" w:eastAsia="仿宋_GB2312" w:cs="Times New Roman"/>
                <w:sz w:val="28"/>
                <w:szCs w:val="28"/>
                <w:lang w:val="en-US" w:eastAsia="zh-CN" w:bidi="ar"/>
              </w:rPr>
              <w:t>常德市</w:t>
            </w:r>
          </w:p>
        </w:tc>
        <w:tc>
          <w:tcPr>
            <w:tcW w:w="24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A5752">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default" w:ascii="Times New Roman" w:hAnsi="Times New Roman" w:eastAsia="仿宋_GB2312" w:cs="Times New Roman"/>
                <w:i w:val="0"/>
                <w:iCs w:val="0"/>
                <w:color w:val="000000"/>
                <w:sz w:val="28"/>
                <w:szCs w:val="28"/>
                <w:u w:val="none"/>
                <w:lang w:val="en-US" w:eastAsia="zh-CN"/>
              </w:rPr>
            </w:pPr>
            <w:r>
              <w:rPr>
                <w:rFonts w:hint="default" w:ascii="Times New Roman" w:hAnsi="Times New Roman" w:eastAsia="仿宋_GB2312" w:cs="Times New Roman"/>
                <w:i w:val="0"/>
                <w:iCs w:val="0"/>
                <w:color w:val="000000"/>
                <w:sz w:val="28"/>
                <w:szCs w:val="28"/>
                <w:u w:val="none"/>
                <w:lang w:val="en-US" w:eastAsia="zh-CN"/>
              </w:rPr>
              <w:t>160</w:t>
            </w:r>
          </w:p>
        </w:tc>
      </w:tr>
      <w:tr w14:paraId="2CEA8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1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53B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8"/>
                <w:szCs w:val="28"/>
                <w:u w:val="none"/>
                <w:lang w:val="en-US" w:eastAsia="zh-CN"/>
              </w:rPr>
            </w:pPr>
            <w:r>
              <w:rPr>
                <w:rFonts w:hint="default" w:ascii="Times New Roman" w:hAnsi="Times New Roman" w:eastAsia="仿宋_GB2312" w:cs="Times New Roman"/>
                <w:i w:val="0"/>
                <w:iCs w:val="0"/>
                <w:color w:val="000000"/>
                <w:sz w:val="28"/>
                <w:szCs w:val="28"/>
                <w:u w:val="none"/>
                <w:lang w:val="en-US" w:eastAsia="zh-CN"/>
              </w:rPr>
              <w:t>8</w:t>
            </w:r>
          </w:p>
        </w:tc>
        <w:tc>
          <w:tcPr>
            <w:tcW w:w="3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93CF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8"/>
                <w:szCs w:val="28"/>
                <w:u w:val="none"/>
              </w:rPr>
            </w:pPr>
            <w:r>
              <w:rPr>
                <w:rStyle w:val="12"/>
                <w:rFonts w:hint="default" w:ascii="Times New Roman" w:hAnsi="Times New Roman" w:eastAsia="仿宋_GB2312" w:cs="Times New Roman"/>
                <w:sz w:val="28"/>
                <w:szCs w:val="28"/>
                <w:lang w:val="en-US" w:eastAsia="zh-CN" w:bidi="ar"/>
              </w:rPr>
              <w:t>郴州市</w:t>
            </w:r>
          </w:p>
        </w:tc>
        <w:tc>
          <w:tcPr>
            <w:tcW w:w="24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FCE2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default" w:ascii="Times New Roman" w:hAnsi="Times New Roman" w:eastAsia="仿宋_GB2312" w:cs="Times New Roman"/>
                <w:i w:val="0"/>
                <w:iCs w:val="0"/>
                <w:color w:val="000000"/>
                <w:sz w:val="28"/>
                <w:szCs w:val="28"/>
                <w:u w:val="none"/>
                <w:lang w:val="en-US" w:eastAsia="zh-CN"/>
              </w:rPr>
            </w:pPr>
            <w:r>
              <w:rPr>
                <w:rFonts w:hint="default" w:ascii="Times New Roman" w:hAnsi="Times New Roman" w:eastAsia="仿宋_GB2312" w:cs="Times New Roman"/>
                <w:i w:val="0"/>
                <w:iCs w:val="0"/>
                <w:color w:val="000000"/>
                <w:sz w:val="28"/>
                <w:szCs w:val="28"/>
                <w:u w:val="none"/>
                <w:lang w:val="en-US" w:eastAsia="zh-CN"/>
              </w:rPr>
              <w:t>310</w:t>
            </w:r>
          </w:p>
        </w:tc>
      </w:tr>
      <w:tr w14:paraId="4D119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1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2AE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8"/>
                <w:szCs w:val="28"/>
                <w:u w:val="none"/>
                <w:lang w:val="en-US" w:eastAsia="zh-CN"/>
              </w:rPr>
            </w:pPr>
            <w:r>
              <w:rPr>
                <w:rFonts w:hint="default" w:ascii="Times New Roman" w:hAnsi="Times New Roman" w:eastAsia="仿宋_GB2312" w:cs="Times New Roman"/>
                <w:i w:val="0"/>
                <w:iCs w:val="0"/>
                <w:color w:val="000000"/>
                <w:sz w:val="28"/>
                <w:szCs w:val="28"/>
                <w:u w:val="none"/>
                <w:lang w:val="en-US" w:eastAsia="zh-CN"/>
              </w:rPr>
              <w:t>9</w:t>
            </w:r>
          </w:p>
        </w:tc>
        <w:tc>
          <w:tcPr>
            <w:tcW w:w="3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515E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8"/>
                <w:szCs w:val="28"/>
                <w:u w:val="none"/>
              </w:rPr>
            </w:pPr>
            <w:r>
              <w:rPr>
                <w:rStyle w:val="12"/>
                <w:rFonts w:hint="default" w:ascii="Times New Roman" w:hAnsi="Times New Roman" w:eastAsia="仿宋_GB2312" w:cs="Times New Roman"/>
                <w:sz w:val="28"/>
                <w:szCs w:val="28"/>
                <w:lang w:val="en-US" w:eastAsia="zh-CN" w:bidi="ar"/>
              </w:rPr>
              <w:t>邵阳市</w:t>
            </w:r>
          </w:p>
        </w:tc>
        <w:tc>
          <w:tcPr>
            <w:tcW w:w="24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BC626">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default" w:ascii="Times New Roman" w:hAnsi="Times New Roman" w:eastAsia="仿宋_GB2312" w:cs="Times New Roman"/>
                <w:i w:val="0"/>
                <w:iCs w:val="0"/>
                <w:color w:val="000000"/>
                <w:sz w:val="28"/>
                <w:szCs w:val="28"/>
                <w:u w:val="none"/>
                <w:lang w:val="en-US" w:eastAsia="zh-CN"/>
              </w:rPr>
            </w:pPr>
            <w:r>
              <w:rPr>
                <w:rFonts w:hint="default" w:ascii="Times New Roman" w:hAnsi="Times New Roman" w:eastAsia="仿宋_GB2312" w:cs="Times New Roman"/>
                <w:i w:val="0"/>
                <w:iCs w:val="0"/>
                <w:color w:val="000000"/>
                <w:sz w:val="28"/>
                <w:szCs w:val="28"/>
                <w:u w:val="none"/>
                <w:lang w:val="en-US" w:eastAsia="zh-CN"/>
              </w:rPr>
              <w:t>95</w:t>
            </w:r>
          </w:p>
        </w:tc>
      </w:tr>
      <w:tr w14:paraId="24E7B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1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5C5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8"/>
                <w:szCs w:val="28"/>
                <w:u w:val="none"/>
                <w:lang w:val="en-US" w:eastAsia="zh-CN"/>
              </w:rPr>
            </w:pPr>
            <w:r>
              <w:rPr>
                <w:rFonts w:hint="default" w:ascii="Times New Roman" w:hAnsi="Times New Roman" w:eastAsia="仿宋_GB2312" w:cs="Times New Roman"/>
                <w:i w:val="0"/>
                <w:iCs w:val="0"/>
                <w:color w:val="000000"/>
                <w:sz w:val="28"/>
                <w:szCs w:val="28"/>
                <w:u w:val="none"/>
                <w:lang w:val="en-US" w:eastAsia="zh-CN"/>
              </w:rPr>
              <w:t>10</w:t>
            </w:r>
          </w:p>
        </w:tc>
        <w:tc>
          <w:tcPr>
            <w:tcW w:w="3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A48E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8"/>
                <w:szCs w:val="28"/>
                <w:u w:val="none"/>
              </w:rPr>
            </w:pPr>
            <w:r>
              <w:rPr>
                <w:rStyle w:val="12"/>
                <w:rFonts w:hint="default" w:ascii="Times New Roman" w:hAnsi="Times New Roman" w:eastAsia="仿宋_GB2312" w:cs="Times New Roman"/>
                <w:sz w:val="28"/>
                <w:szCs w:val="28"/>
                <w:lang w:val="en-US" w:eastAsia="zh-CN" w:bidi="ar"/>
              </w:rPr>
              <w:t>永州市</w:t>
            </w:r>
          </w:p>
        </w:tc>
        <w:tc>
          <w:tcPr>
            <w:tcW w:w="24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269C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default" w:ascii="Times New Roman" w:hAnsi="Times New Roman" w:eastAsia="仿宋_GB2312" w:cs="Times New Roman"/>
                <w:i w:val="0"/>
                <w:iCs w:val="0"/>
                <w:color w:val="000000"/>
                <w:sz w:val="28"/>
                <w:szCs w:val="28"/>
                <w:u w:val="none"/>
                <w:lang w:val="en-US" w:eastAsia="zh-CN"/>
              </w:rPr>
            </w:pPr>
            <w:r>
              <w:rPr>
                <w:rFonts w:hint="default" w:ascii="Times New Roman" w:hAnsi="Times New Roman" w:eastAsia="仿宋_GB2312" w:cs="Times New Roman"/>
                <w:i w:val="0"/>
                <w:iCs w:val="0"/>
                <w:color w:val="000000"/>
                <w:sz w:val="28"/>
                <w:szCs w:val="28"/>
                <w:u w:val="none"/>
                <w:lang w:val="en-US" w:eastAsia="zh-CN"/>
              </w:rPr>
              <w:t>110</w:t>
            </w:r>
          </w:p>
        </w:tc>
      </w:tr>
      <w:tr w14:paraId="288CA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1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66B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8"/>
                <w:szCs w:val="28"/>
                <w:u w:val="none"/>
                <w:lang w:val="en-US" w:eastAsia="zh-CN"/>
              </w:rPr>
            </w:pPr>
            <w:r>
              <w:rPr>
                <w:rFonts w:hint="default" w:ascii="Times New Roman" w:hAnsi="Times New Roman" w:eastAsia="仿宋_GB2312" w:cs="Times New Roman"/>
                <w:i w:val="0"/>
                <w:iCs w:val="0"/>
                <w:color w:val="000000"/>
                <w:sz w:val="28"/>
                <w:szCs w:val="28"/>
                <w:u w:val="none"/>
                <w:lang w:val="en-US" w:eastAsia="zh-CN"/>
              </w:rPr>
              <w:t>11</w:t>
            </w:r>
          </w:p>
        </w:tc>
        <w:tc>
          <w:tcPr>
            <w:tcW w:w="3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9C17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8"/>
                <w:szCs w:val="28"/>
                <w:u w:val="none"/>
              </w:rPr>
            </w:pPr>
            <w:r>
              <w:rPr>
                <w:rStyle w:val="12"/>
                <w:rFonts w:hint="default" w:ascii="Times New Roman" w:hAnsi="Times New Roman" w:eastAsia="仿宋_GB2312" w:cs="Times New Roman"/>
                <w:sz w:val="28"/>
                <w:szCs w:val="28"/>
                <w:lang w:val="en-US" w:eastAsia="zh-CN" w:bidi="ar"/>
              </w:rPr>
              <w:t>益阳市</w:t>
            </w:r>
          </w:p>
        </w:tc>
        <w:tc>
          <w:tcPr>
            <w:tcW w:w="24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7B16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default" w:ascii="Times New Roman" w:hAnsi="Times New Roman" w:eastAsia="仿宋_GB2312" w:cs="Times New Roman"/>
                <w:i w:val="0"/>
                <w:iCs w:val="0"/>
                <w:color w:val="000000"/>
                <w:sz w:val="28"/>
                <w:szCs w:val="28"/>
                <w:u w:val="none"/>
                <w:lang w:val="en-US" w:eastAsia="zh-CN"/>
              </w:rPr>
            </w:pPr>
            <w:r>
              <w:rPr>
                <w:rFonts w:hint="default" w:ascii="Times New Roman" w:hAnsi="Times New Roman" w:eastAsia="仿宋_GB2312" w:cs="Times New Roman"/>
                <w:i w:val="0"/>
                <w:iCs w:val="0"/>
                <w:color w:val="000000"/>
                <w:sz w:val="28"/>
                <w:szCs w:val="28"/>
                <w:u w:val="none"/>
                <w:lang w:val="en-US" w:eastAsia="zh-CN"/>
              </w:rPr>
              <w:t>85</w:t>
            </w:r>
          </w:p>
        </w:tc>
      </w:tr>
      <w:tr w14:paraId="30D3F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1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D79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8"/>
                <w:szCs w:val="28"/>
                <w:u w:val="none"/>
                <w:lang w:val="en-US" w:eastAsia="zh-CN"/>
              </w:rPr>
            </w:pPr>
            <w:r>
              <w:rPr>
                <w:rFonts w:hint="default" w:ascii="Times New Roman" w:hAnsi="Times New Roman" w:eastAsia="仿宋_GB2312" w:cs="Times New Roman"/>
                <w:i w:val="0"/>
                <w:iCs w:val="0"/>
                <w:color w:val="000000"/>
                <w:sz w:val="28"/>
                <w:szCs w:val="28"/>
                <w:u w:val="none"/>
                <w:lang w:val="en-US" w:eastAsia="zh-CN"/>
              </w:rPr>
              <w:t>12</w:t>
            </w:r>
          </w:p>
        </w:tc>
        <w:tc>
          <w:tcPr>
            <w:tcW w:w="3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91A9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8"/>
                <w:szCs w:val="28"/>
                <w:u w:val="none"/>
              </w:rPr>
            </w:pPr>
            <w:r>
              <w:rPr>
                <w:rStyle w:val="12"/>
                <w:rFonts w:hint="default" w:ascii="Times New Roman" w:hAnsi="Times New Roman" w:eastAsia="仿宋_GB2312" w:cs="Times New Roman"/>
                <w:sz w:val="28"/>
                <w:szCs w:val="28"/>
                <w:lang w:val="en-US" w:eastAsia="zh-CN" w:bidi="ar"/>
              </w:rPr>
              <w:t>娄底市</w:t>
            </w:r>
          </w:p>
        </w:tc>
        <w:tc>
          <w:tcPr>
            <w:tcW w:w="24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7492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default" w:ascii="Times New Roman" w:hAnsi="Times New Roman" w:eastAsia="仿宋_GB2312" w:cs="Times New Roman"/>
                <w:i w:val="0"/>
                <w:iCs w:val="0"/>
                <w:color w:val="000000"/>
                <w:sz w:val="28"/>
                <w:szCs w:val="28"/>
                <w:u w:val="none"/>
                <w:lang w:val="en-US" w:eastAsia="zh-CN"/>
              </w:rPr>
            </w:pPr>
            <w:r>
              <w:rPr>
                <w:rFonts w:hint="default" w:ascii="Times New Roman" w:hAnsi="Times New Roman" w:eastAsia="仿宋_GB2312" w:cs="Times New Roman"/>
                <w:i w:val="0"/>
                <w:iCs w:val="0"/>
                <w:color w:val="000000"/>
                <w:sz w:val="28"/>
                <w:szCs w:val="28"/>
                <w:u w:val="none"/>
                <w:lang w:val="en-US" w:eastAsia="zh-CN"/>
              </w:rPr>
              <w:t>60</w:t>
            </w:r>
          </w:p>
        </w:tc>
      </w:tr>
      <w:tr w14:paraId="56BFE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1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4C2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8"/>
                <w:szCs w:val="28"/>
                <w:u w:val="none"/>
                <w:lang w:val="en-US" w:eastAsia="zh-CN"/>
              </w:rPr>
            </w:pPr>
            <w:r>
              <w:rPr>
                <w:rFonts w:hint="default" w:ascii="Times New Roman" w:hAnsi="Times New Roman" w:eastAsia="仿宋_GB2312" w:cs="Times New Roman"/>
                <w:i w:val="0"/>
                <w:iCs w:val="0"/>
                <w:color w:val="000000"/>
                <w:sz w:val="28"/>
                <w:szCs w:val="28"/>
                <w:u w:val="none"/>
                <w:lang w:val="en-US" w:eastAsia="zh-CN"/>
              </w:rPr>
              <w:t>13</w:t>
            </w:r>
          </w:p>
        </w:tc>
        <w:tc>
          <w:tcPr>
            <w:tcW w:w="3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00C8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8"/>
                <w:szCs w:val="28"/>
                <w:u w:val="none"/>
              </w:rPr>
            </w:pPr>
            <w:r>
              <w:rPr>
                <w:rStyle w:val="12"/>
                <w:rFonts w:hint="default" w:ascii="Times New Roman" w:hAnsi="Times New Roman" w:eastAsia="仿宋_GB2312" w:cs="Times New Roman"/>
                <w:sz w:val="28"/>
                <w:szCs w:val="28"/>
                <w:lang w:val="en-US" w:eastAsia="zh-CN" w:bidi="ar"/>
              </w:rPr>
              <w:t>怀化市</w:t>
            </w:r>
          </w:p>
        </w:tc>
        <w:tc>
          <w:tcPr>
            <w:tcW w:w="24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3799A">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default" w:ascii="Times New Roman" w:hAnsi="Times New Roman" w:eastAsia="仿宋_GB2312" w:cs="Times New Roman"/>
                <w:i w:val="0"/>
                <w:iCs w:val="0"/>
                <w:color w:val="000000"/>
                <w:sz w:val="28"/>
                <w:szCs w:val="28"/>
                <w:u w:val="none"/>
                <w:lang w:val="en-US" w:eastAsia="zh-CN"/>
              </w:rPr>
            </w:pPr>
            <w:r>
              <w:rPr>
                <w:rFonts w:hint="default" w:ascii="Times New Roman" w:hAnsi="Times New Roman" w:eastAsia="仿宋_GB2312" w:cs="Times New Roman"/>
                <w:i w:val="0"/>
                <w:iCs w:val="0"/>
                <w:color w:val="000000"/>
                <w:sz w:val="28"/>
                <w:szCs w:val="28"/>
                <w:u w:val="none"/>
                <w:lang w:val="en-US" w:eastAsia="zh-CN"/>
              </w:rPr>
              <w:t>225</w:t>
            </w:r>
          </w:p>
        </w:tc>
      </w:tr>
      <w:tr w14:paraId="3BE6C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1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80B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8"/>
                <w:szCs w:val="28"/>
                <w:u w:val="none"/>
                <w:lang w:val="en-US" w:eastAsia="zh-CN"/>
              </w:rPr>
            </w:pPr>
            <w:r>
              <w:rPr>
                <w:rFonts w:hint="default" w:ascii="Times New Roman" w:hAnsi="Times New Roman" w:eastAsia="仿宋_GB2312" w:cs="Times New Roman"/>
                <w:i w:val="0"/>
                <w:iCs w:val="0"/>
                <w:color w:val="000000"/>
                <w:sz w:val="28"/>
                <w:szCs w:val="28"/>
                <w:u w:val="none"/>
                <w:lang w:val="en-US" w:eastAsia="zh-CN"/>
              </w:rPr>
              <w:t>14</w:t>
            </w:r>
          </w:p>
        </w:tc>
        <w:tc>
          <w:tcPr>
            <w:tcW w:w="3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596C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8"/>
                <w:szCs w:val="28"/>
                <w:u w:val="none"/>
              </w:rPr>
            </w:pPr>
            <w:r>
              <w:rPr>
                <w:rStyle w:val="12"/>
                <w:rFonts w:hint="default" w:ascii="Times New Roman" w:hAnsi="Times New Roman" w:eastAsia="仿宋_GB2312" w:cs="Times New Roman"/>
                <w:sz w:val="28"/>
                <w:szCs w:val="28"/>
                <w:lang w:val="en-US" w:eastAsia="zh-CN" w:bidi="ar"/>
              </w:rPr>
              <w:t>张家界市</w:t>
            </w:r>
          </w:p>
        </w:tc>
        <w:tc>
          <w:tcPr>
            <w:tcW w:w="24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AD42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default" w:ascii="Times New Roman" w:hAnsi="Times New Roman" w:eastAsia="仿宋_GB2312" w:cs="Times New Roman"/>
                <w:i w:val="0"/>
                <w:iCs w:val="0"/>
                <w:color w:val="000000"/>
                <w:sz w:val="28"/>
                <w:szCs w:val="28"/>
                <w:u w:val="none"/>
                <w:lang w:val="en-US" w:eastAsia="zh-CN"/>
              </w:rPr>
            </w:pPr>
            <w:r>
              <w:rPr>
                <w:rFonts w:hint="default" w:ascii="Times New Roman" w:hAnsi="Times New Roman" w:eastAsia="仿宋_GB2312" w:cs="Times New Roman"/>
                <w:i w:val="0"/>
                <w:iCs w:val="0"/>
                <w:color w:val="000000"/>
                <w:sz w:val="28"/>
                <w:szCs w:val="28"/>
                <w:u w:val="none"/>
                <w:lang w:val="en-US" w:eastAsia="zh-CN"/>
              </w:rPr>
              <w:t>160</w:t>
            </w:r>
          </w:p>
        </w:tc>
      </w:tr>
      <w:tr w14:paraId="5F5E8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1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212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8"/>
                <w:szCs w:val="28"/>
                <w:u w:val="none"/>
                <w:lang w:val="en-US" w:eastAsia="zh-CN"/>
              </w:rPr>
            </w:pPr>
            <w:r>
              <w:rPr>
                <w:rFonts w:hint="default" w:ascii="Times New Roman" w:hAnsi="Times New Roman" w:eastAsia="仿宋_GB2312" w:cs="Times New Roman"/>
                <w:i w:val="0"/>
                <w:iCs w:val="0"/>
                <w:color w:val="000000"/>
                <w:sz w:val="28"/>
                <w:szCs w:val="28"/>
                <w:u w:val="none"/>
                <w:lang w:val="en-US" w:eastAsia="zh-CN"/>
              </w:rPr>
              <w:t>15</w:t>
            </w:r>
          </w:p>
        </w:tc>
        <w:tc>
          <w:tcPr>
            <w:tcW w:w="3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1263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8"/>
                <w:szCs w:val="28"/>
                <w:u w:val="none"/>
              </w:rPr>
            </w:pPr>
            <w:r>
              <w:rPr>
                <w:rStyle w:val="12"/>
                <w:rFonts w:hint="default" w:ascii="Times New Roman" w:hAnsi="Times New Roman" w:eastAsia="仿宋_GB2312" w:cs="Times New Roman"/>
                <w:sz w:val="28"/>
                <w:szCs w:val="28"/>
                <w:lang w:val="en-US" w:eastAsia="zh-CN" w:bidi="ar"/>
              </w:rPr>
              <w:t>湘西土家族苗族自治州</w:t>
            </w:r>
          </w:p>
        </w:tc>
        <w:tc>
          <w:tcPr>
            <w:tcW w:w="24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D5CE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default" w:ascii="Times New Roman" w:hAnsi="Times New Roman" w:eastAsia="仿宋_GB2312" w:cs="Times New Roman"/>
                <w:i w:val="0"/>
                <w:iCs w:val="0"/>
                <w:color w:val="000000"/>
                <w:sz w:val="28"/>
                <w:szCs w:val="28"/>
                <w:u w:val="none"/>
                <w:lang w:val="en-US" w:eastAsia="zh-CN"/>
              </w:rPr>
            </w:pPr>
            <w:r>
              <w:rPr>
                <w:rFonts w:hint="default" w:ascii="Times New Roman" w:hAnsi="Times New Roman" w:eastAsia="仿宋_GB2312" w:cs="Times New Roman"/>
                <w:i w:val="0"/>
                <w:iCs w:val="0"/>
                <w:color w:val="000000"/>
                <w:sz w:val="28"/>
                <w:szCs w:val="28"/>
                <w:u w:val="none"/>
                <w:lang w:val="en-US" w:eastAsia="zh-CN"/>
              </w:rPr>
              <w:t>240</w:t>
            </w:r>
          </w:p>
        </w:tc>
      </w:tr>
      <w:tr w14:paraId="054E9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440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231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8"/>
                <w:szCs w:val="28"/>
                <w:u w:val="none"/>
              </w:rPr>
            </w:pPr>
            <w:r>
              <w:rPr>
                <w:rStyle w:val="12"/>
                <w:rFonts w:hint="default" w:ascii="Times New Roman" w:hAnsi="Times New Roman" w:eastAsia="仿宋_GB2312" w:cs="Times New Roman"/>
                <w:sz w:val="28"/>
                <w:szCs w:val="28"/>
                <w:lang w:val="en-US" w:eastAsia="zh-CN" w:bidi="ar"/>
              </w:rPr>
              <w:t>总计</w:t>
            </w:r>
          </w:p>
        </w:tc>
        <w:tc>
          <w:tcPr>
            <w:tcW w:w="24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3CB3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sz w:val="28"/>
                <w:szCs w:val="28"/>
                <w:u w:val="none"/>
              </w:rPr>
              <w:fldChar w:fldCharType="begin"/>
            </w:r>
            <w:r>
              <w:rPr>
                <w:rFonts w:hint="default" w:ascii="Times New Roman" w:hAnsi="Times New Roman" w:eastAsia="仿宋_GB2312" w:cs="Times New Roman"/>
                <w:i w:val="0"/>
                <w:iCs w:val="0"/>
                <w:color w:val="000000"/>
                <w:sz w:val="28"/>
                <w:szCs w:val="28"/>
                <w:u w:val="none"/>
              </w:rPr>
              <w:instrText xml:space="preserve"> = sum(C2:C16) \* MERGEFORMAT </w:instrText>
            </w:r>
            <w:r>
              <w:rPr>
                <w:rFonts w:hint="default" w:ascii="Times New Roman" w:hAnsi="Times New Roman" w:eastAsia="仿宋_GB2312" w:cs="Times New Roman"/>
                <w:i w:val="0"/>
                <w:iCs w:val="0"/>
                <w:color w:val="000000"/>
                <w:sz w:val="28"/>
                <w:szCs w:val="28"/>
                <w:u w:val="none"/>
              </w:rPr>
              <w:fldChar w:fldCharType="separate"/>
            </w:r>
            <w:r>
              <w:rPr>
                <w:rFonts w:hint="default" w:ascii="Times New Roman" w:hAnsi="Times New Roman" w:eastAsia="仿宋_GB2312" w:cs="Times New Roman"/>
                <w:i w:val="0"/>
                <w:iCs w:val="0"/>
                <w:color w:val="000000"/>
                <w:sz w:val="28"/>
                <w:szCs w:val="28"/>
                <w:u w:val="none"/>
              </w:rPr>
              <w:t>4571</w:t>
            </w:r>
            <w:r>
              <w:rPr>
                <w:rFonts w:hint="default" w:ascii="Times New Roman" w:hAnsi="Times New Roman" w:eastAsia="仿宋_GB2312" w:cs="Times New Roman"/>
                <w:i w:val="0"/>
                <w:iCs w:val="0"/>
                <w:color w:val="000000"/>
                <w:sz w:val="28"/>
                <w:szCs w:val="28"/>
                <w:u w:val="none"/>
              </w:rPr>
              <w:fldChar w:fldCharType="end"/>
            </w:r>
          </w:p>
        </w:tc>
      </w:tr>
    </w:tbl>
    <w:p w14:paraId="6188CD9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before="0" w:beforeLines="0" w:beforeAutospacing="0" w:after="0" w:afterLines="0" w:afterAutospacing="0" w:line="560" w:lineRule="exact"/>
        <w:ind w:left="0" w:leftChars="0" w:right="0" w:rightChars="0" w:firstLine="643" w:firstLineChars="200"/>
        <w:jc w:val="both"/>
        <w:textAlignment w:val="auto"/>
        <w:rPr>
          <w:rFonts w:hint="default" w:ascii="Times New Roman" w:hAnsi="Times New Roman" w:eastAsia="仿宋_GB2312" w:cs="Times New Roman"/>
          <w:b/>
          <w:bCs/>
          <w:kern w:val="2"/>
          <w:sz w:val="32"/>
          <w:szCs w:val="32"/>
          <w:lang w:val="en-US" w:eastAsia="zh-CN" w:bidi="ar-SA"/>
        </w:rPr>
      </w:pPr>
      <w:r>
        <w:rPr>
          <w:rFonts w:hint="default" w:ascii="Times New Roman" w:hAnsi="Times New Roman" w:eastAsia="仿宋_GB2312" w:cs="Times New Roman"/>
          <w:b/>
          <w:bCs/>
          <w:kern w:val="2"/>
          <w:sz w:val="32"/>
          <w:szCs w:val="32"/>
          <w:lang w:val="en-US" w:eastAsia="zh-CN" w:bidi="ar-SA"/>
        </w:rPr>
        <w:t>2.绩效目标分解情况</w:t>
      </w:r>
    </w:p>
    <w:p w14:paraId="4D770FF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beforeAutospacing="0" w:afterAutospacing="0" w:line="560" w:lineRule="exact"/>
        <w:ind w:left="0" w:leftChars="0" w:right="0" w:rightChars="0" w:firstLine="640" w:firstLineChars="200"/>
        <w:jc w:val="both"/>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根据中央下达的总绩效目标，我省根据实际情况进行分解，从产出指标（含数量、质量和时效指标）、效益指标（含经济效益、社会效益和可持续性指标）、满意度指标，进行细化，分解成13个三级指标，并将细化的绩效目标下达至各项目实施单位。</w:t>
      </w:r>
    </w:p>
    <w:p w14:paraId="067FF47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beforeAutospacing="0" w:afterAutospacing="0" w:line="560" w:lineRule="exact"/>
        <w:ind w:left="0" w:leftChars="0" w:right="0" w:rightChars="0" w:firstLine="640" w:firstLineChars="200"/>
        <w:jc w:val="both"/>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1）产出指标。数量指标包括旅游公共服务水平提升的A级旅游景区个数、宣传推广旅游景区、旅游度假区、旅游休闲城市和街区个数、宣传品制作数量、支持旅游业转型升级融合发展和旅游业产品创新的项目个数、举办旅游消费促进活动场次；质量指标包括A级旅游景区数据监测覆盖率、大中城市旅游集散中心覆盖率、景区公共信息服务、引导标识服务覆盖率。</w:t>
      </w:r>
    </w:p>
    <w:p w14:paraId="72FE58F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beforeAutospacing="0" w:afterAutospacing="0" w:line="560" w:lineRule="exact"/>
        <w:ind w:left="0" w:leftChars="0" w:right="0" w:rightChars="0" w:firstLine="640" w:firstLineChars="200"/>
        <w:jc w:val="both"/>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（2）效益指标。经济效益指标主要包括国内旅游收入增长率；社会效益指标包括乡村旅游接待人次增长率、红色旅游接待人次增长率。</w:t>
      </w:r>
    </w:p>
    <w:p w14:paraId="50811096">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beforeAutospacing="0" w:afterAutospacing="0" w:line="560" w:lineRule="exact"/>
        <w:ind w:left="0" w:leftChars="0" w:right="0" w:rightChars="0" w:firstLine="640" w:firstLineChars="200"/>
        <w:jc w:val="both"/>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（3）满意度指标。服务对象满意度指标包括旅游投诉举报办结率、旅游公共服务群众满意度。</w:t>
      </w:r>
    </w:p>
    <w:p w14:paraId="05ABF8C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before="0" w:beforeLines="0" w:beforeAutospacing="0" w:after="0" w:afterLines="0" w:afterAutospacing="0" w:line="560" w:lineRule="exact"/>
        <w:ind w:left="0" w:leftChars="0" w:right="0" w:rightChars="0" w:firstLine="640" w:firstLineChars="200"/>
        <w:jc w:val="both"/>
        <w:textAlignment w:val="auto"/>
        <w:rPr>
          <w:rFonts w:hint="default" w:ascii="Times New Roman" w:hAnsi="Times New Roman" w:eastAsia="黑体" w:cs="Times New Roman"/>
          <w:b w:val="0"/>
          <w:bCs w:val="0"/>
          <w:kern w:val="2"/>
          <w:sz w:val="32"/>
          <w:szCs w:val="32"/>
          <w:lang w:val="en-US" w:eastAsia="zh-CN" w:bidi="ar-SA"/>
        </w:rPr>
      </w:pPr>
      <w:r>
        <w:rPr>
          <w:rFonts w:hint="eastAsia" w:cs="Times New Roman"/>
          <w:b w:val="0"/>
          <w:bCs w:val="0"/>
          <w:kern w:val="2"/>
          <w:sz w:val="32"/>
          <w:szCs w:val="32"/>
          <w:lang w:val="en-US" w:eastAsia="zh-CN" w:bidi="ar-SA"/>
        </w:rPr>
        <w:t>二</w:t>
      </w:r>
      <w:r>
        <w:rPr>
          <w:rFonts w:hint="default" w:ascii="Times New Roman" w:hAnsi="Times New Roman" w:eastAsia="黑体" w:cs="Times New Roman"/>
          <w:b w:val="0"/>
          <w:bCs w:val="0"/>
          <w:kern w:val="2"/>
          <w:sz w:val="32"/>
          <w:szCs w:val="32"/>
          <w:lang w:val="en-US" w:eastAsia="zh-CN" w:bidi="ar-SA"/>
        </w:rPr>
        <w:t>、绩效情况分析</w:t>
      </w:r>
    </w:p>
    <w:p w14:paraId="57617866">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before="0" w:beforeAutospacing="0" w:after="0" w:afterAutospacing="0" w:line="560" w:lineRule="exact"/>
        <w:ind w:left="0" w:leftChars="0" w:right="0" w:rightChars="0" w:firstLine="643" w:firstLineChars="200"/>
        <w:jc w:val="both"/>
        <w:textAlignment w:val="auto"/>
        <w:rPr>
          <w:rFonts w:hint="default" w:ascii="Times New Roman" w:hAnsi="Times New Roman" w:eastAsia="楷体_GB2312" w:cs="Times New Roman"/>
          <w:b/>
          <w:bCs w:val="0"/>
          <w:kern w:val="2"/>
          <w:sz w:val="32"/>
          <w:szCs w:val="32"/>
          <w:lang w:val="en-US" w:eastAsia="zh-CN" w:bidi="ar-SA"/>
        </w:rPr>
      </w:pPr>
      <w:r>
        <w:rPr>
          <w:rFonts w:hint="default" w:ascii="Times New Roman" w:hAnsi="Times New Roman" w:eastAsia="楷体_GB2312" w:cs="Times New Roman"/>
          <w:b/>
          <w:bCs w:val="0"/>
          <w:kern w:val="2"/>
          <w:sz w:val="32"/>
          <w:szCs w:val="32"/>
          <w:lang w:val="en-US" w:eastAsia="zh-CN" w:bidi="ar-SA"/>
        </w:rPr>
        <w:t>（一）项目资金投入情况分析</w:t>
      </w:r>
    </w:p>
    <w:p w14:paraId="288FB816">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beforeAutospacing="0" w:afterAutospacing="0" w:line="560" w:lineRule="exact"/>
        <w:ind w:left="0" w:leftChars="0" w:right="0" w:rightChars="0" w:firstLine="640" w:firstLineChars="200"/>
        <w:jc w:val="both"/>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根据</w:t>
      </w:r>
      <w:r>
        <w:rPr>
          <w:rFonts w:hint="default" w:ascii="Times New Roman" w:hAnsi="Times New Roman" w:eastAsia="仿宋_GB2312" w:cs="Times New Roman"/>
          <w:color w:val="000000"/>
          <w:sz w:val="32"/>
          <w:szCs w:val="32"/>
        </w:rPr>
        <w:t>《财政部关于开展20</w:t>
      </w:r>
      <w:r>
        <w:rPr>
          <w:rFonts w:hint="default" w:ascii="Times New Roman" w:hAnsi="Times New Roman" w:eastAsia="仿宋_GB2312" w:cs="Times New Roman"/>
          <w:color w:val="000000"/>
          <w:sz w:val="32"/>
          <w:szCs w:val="32"/>
          <w:lang w:val="en-US" w:eastAsia="zh-CN"/>
        </w:rPr>
        <w:t>25</w:t>
      </w:r>
      <w:r>
        <w:rPr>
          <w:rFonts w:hint="default" w:ascii="Times New Roman" w:hAnsi="Times New Roman" w:eastAsia="仿宋_GB2312" w:cs="Times New Roman"/>
          <w:color w:val="000000"/>
          <w:sz w:val="32"/>
          <w:szCs w:val="32"/>
        </w:rPr>
        <w:t>年度中央对地方转移支付预算执行情况绩效自评工作的通知》（财监〔202</w:t>
      </w:r>
      <w:r>
        <w:rPr>
          <w:rFonts w:hint="default" w:ascii="Times New Roman" w:hAnsi="Times New Roman" w:eastAsia="仿宋_GB2312" w:cs="Times New Roman"/>
          <w:color w:val="000000"/>
          <w:sz w:val="32"/>
          <w:szCs w:val="32"/>
          <w:lang w:val="en-US" w:eastAsia="zh-CN"/>
        </w:rPr>
        <w:t>6</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1</w:t>
      </w:r>
      <w:r>
        <w:rPr>
          <w:rFonts w:hint="default" w:ascii="Times New Roman" w:hAnsi="Times New Roman" w:eastAsia="仿宋_GB2312" w:cs="Times New Roman"/>
          <w:color w:val="000000"/>
          <w:sz w:val="32"/>
          <w:szCs w:val="32"/>
        </w:rPr>
        <w:t>号）</w:t>
      </w:r>
      <w:r>
        <w:rPr>
          <w:rFonts w:hint="default" w:ascii="Times New Roman" w:hAnsi="Times New Roman" w:eastAsia="仿宋_GB2312" w:cs="Times New Roman"/>
          <w:color w:val="000000"/>
          <w:kern w:val="2"/>
          <w:sz w:val="32"/>
          <w:szCs w:val="32"/>
          <w:lang w:val="en-US" w:eastAsia="zh-CN" w:bidi="ar-SA"/>
        </w:rPr>
        <w:t>文件精神，我省组织各项目实施单位对专项资金进行了绩效自评，并根据自评情况随机抽查了部分项目的实施情况。通过项目实施单位的自评和抽查情况，采用定量与定性的分析方法，经综合评价，我省202</w:t>
      </w:r>
      <w:r>
        <w:rPr>
          <w:rFonts w:hint="eastAsia" w:ascii="Times New Roman" w:hAnsi="Times New Roman" w:eastAsia="仿宋_GB2312" w:cs="Times New Roman"/>
          <w:color w:val="000000"/>
          <w:kern w:val="2"/>
          <w:sz w:val="32"/>
          <w:szCs w:val="32"/>
          <w:lang w:val="en-US" w:eastAsia="zh-CN" w:bidi="ar-SA"/>
        </w:rPr>
        <w:t>5</w:t>
      </w:r>
      <w:r>
        <w:rPr>
          <w:rFonts w:hint="default" w:ascii="Times New Roman" w:hAnsi="Times New Roman" w:eastAsia="仿宋_GB2312" w:cs="Times New Roman"/>
          <w:color w:val="000000"/>
          <w:kern w:val="2"/>
          <w:sz w:val="32"/>
          <w:szCs w:val="32"/>
          <w:lang w:val="en-US" w:eastAsia="zh-CN" w:bidi="ar-SA"/>
        </w:rPr>
        <w:t>年度旅游发展基金补助地方项目资金使用规范，基本达到设定的绩效目标。</w:t>
      </w:r>
    </w:p>
    <w:p w14:paraId="3A561672">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before="0" w:beforeLines="0" w:beforeAutospacing="0" w:after="0" w:afterLines="0" w:afterAutospacing="0" w:line="560" w:lineRule="exact"/>
        <w:ind w:left="0" w:leftChars="0" w:right="0" w:rightChars="0" w:firstLine="643" w:firstLineChars="200"/>
        <w:jc w:val="both"/>
        <w:textAlignment w:val="auto"/>
        <w:rPr>
          <w:rFonts w:hint="default" w:ascii="Times New Roman" w:hAnsi="Times New Roman" w:eastAsia="仿宋_GB2312" w:cs="Times New Roman"/>
          <w:b/>
          <w:bCs/>
          <w:kern w:val="2"/>
          <w:sz w:val="32"/>
          <w:szCs w:val="32"/>
          <w:lang w:val="en-US" w:eastAsia="zh-CN" w:bidi="ar-SA"/>
        </w:rPr>
      </w:pPr>
      <w:r>
        <w:rPr>
          <w:rFonts w:hint="default" w:ascii="Times New Roman" w:hAnsi="Times New Roman" w:eastAsia="仿宋_GB2312" w:cs="Times New Roman"/>
          <w:b/>
          <w:bCs/>
          <w:color w:val="000000"/>
          <w:kern w:val="2"/>
          <w:sz w:val="32"/>
          <w:szCs w:val="32"/>
          <w:lang w:val="en-US" w:eastAsia="zh-CN" w:bidi="ar-SA"/>
        </w:rPr>
        <w:t>1.</w:t>
      </w:r>
      <w:r>
        <w:rPr>
          <w:rFonts w:hint="default" w:ascii="Times New Roman" w:hAnsi="Times New Roman" w:eastAsia="仿宋_GB2312" w:cs="Times New Roman"/>
          <w:b/>
          <w:bCs/>
          <w:kern w:val="2"/>
          <w:sz w:val="32"/>
          <w:szCs w:val="32"/>
          <w:lang w:val="en-US" w:eastAsia="zh-CN" w:bidi="ar-SA"/>
        </w:rPr>
        <w:t>项目资金到位情况</w:t>
      </w:r>
    </w:p>
    <w:p w14:paraId="79829206">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beforeAutospacing="0" w:afterAutospacing="0" w:line="560" w:lineRule="exact"/>
        <w:ind w:left="0" w:leftChars="0" w:right="0" w:rightChars="0" w:firstLine="640" w:firstLineChars="200"/>
        <w:jc w:val="both"/>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202</w:t>
      </w:r>
      <w:r>
        <w:rPr>
          <w:rFonts w:hint="eastAsia" w:ascii="Times New Roman" w:hAnsi="Times New Roman" w:eastAsia="仿宋_GB2312" w:cs="Times New Roman"/>
          <w:color w:val="000000"/>
          <w:kern w:val="2"/>
          <w:sz w:val="32"/>
          <w:szCs w:val="32"/>
          <w:lang w:val="en-US" w:eastAsia="zh-CN" w:bidi="ar-SA"/>
        </w:rPr>
        <w:t>5</w:t>
      </w:r>
      <w:r>
        <w:rPr>
          <w:rFonts w:hint="default" w:ascii="Times New Roman" w:hAnsi="Times New Roman" w:eastAsia="仿宋_GB2312" w:cs="Times New Roman"/>
          <w:color w:val="000000"/>
          <w:kern w:val="2"/>
          <w:sz w:val="32"/>
          <w:szCs w:val="32"/>
          <w:lang w:val="en-US" w:eastAsia="zh-CN" w:bidi="ar-SA"/>
        </w:rPr>
        <w:t>年，中央财政共安排我省专项资金4</w:t>
      </w:r>
      <w:r>
        <w:rPr>
          <w:rFonts w:hint="eastAsia" w:ascii="Times New Roman" w:hAnsi="Times New Roman" w:eastAsia="仿宋_GB2312" w:cs="Times New Roman"/>
          <w:color w:val="000000"/>
          <w:kern w:val="2"/>
          <w:sz w:val="32"/>
          <w:szCs w:val="32"/>
          <w:lang w:val="en-US" w:eastAsia="zh-CN" w:bidi="ar-SA"/>
        </w:rPr>
        <w:t>571</w:t>
      </w:r>
      <w:r>
        <w:rPr>
          <w:rFonts w:hint="default" w:ascii="Times New Roman" w:hAnsi="Times New Roman" w:eastAsia="仿宋_GB2312" w:cs="Times New Roman"/>
          <w:color w:val="000000"/>
          <w:kern w:val="2"/>
          <w:sz w:val="32"/>
          <w:szCs w:val="32"/>
          <w:lang w:val="en-US" w:eastAsia="zh-CN" w:bidi="ar-SA"/>
        </w:rPr>
        <w:t>万元，省财政已全部下达，资金到位率为100%，这些资金全部纳入本次绩效评价范围。</w:t>
      </w:r>
    </w:p>
    <w:p w14:paraId="7B4D1120">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before="0" w:beforeLines="0" w:beforeAutospacing="0" w:after="0" w:afterLines="0" w:afterAutospacing="0" w:line="560" w:lineRule="exact"/>
        <w:ind w:left="0" w:leftChars="0" w:right="0" w:rightChars="0" w:firstLine="643" w:firstLineChars="200"/>
        <w:jc w:val="both"/>
        <w:textAlignment w:val="auto"/>
        <w:rPr>
          <w:rFonts w:hint="default" w:ascii="Times New Roman" w:hAnsi="Times New Roman" w:eastAsia="仿宋_GB2312" w:cs="Times New Roman"/>
          <w:b/>
          <w:bCs/>
          <w:kern w:val="2"/>
          <w:sz w:val="32"/>
          <w:szCs w:val="32"/>
          <w:lang w:val="en-US" w:eastAsia="zh-CN" w:bidi="ar-SA"/>
        </w:rPr>
      </w:pPr>
      <w:r>
        <w:rPr>
          <w:rFonts w:hint="default" w:ascii="Times New Roman" w:hAnsi="Times New Roman" w:eastAsia="仿宋_GB2312" w:cs="Times New Roman"/>
          <w:b/>
          <w:bCs/>
          <w:kern w:val="2"/>
          <w:sz w:val="32"/>
          <w:szCs w:val="32"/>
          <w:lang w:val="en-US" w:eastAsia="zh-CN" w:bidi="ar-SA"/>
        </w:rPr>
        <w:t>2</w:t>
      </w:r>
      <w:r>
        <w:rPr>
          <w:rFonts w:hint="default" w:ascii="Times New Roman" w:hAnsi="Times New Roman" w:eastAsia="仿宋_GB2312" w:cs="Times New Roman"/>
          <w:b/>
          <w:bCs/>
          <w:color w:val="000000"/>
          <w:kern w:val="2"/>
          <w:sz w:val="32"/>
          <w:szCs w:val="32"/>
          <w:lang w:val="en-US" w:eastAsia="zh-CN" w:bidi="ar-SA"/>
        </w:rPr>
        <w:t>.</w:t>
      </w:r>
      <w:r>
        <w:rPr>
          <w:rFonts w:hint="default" w:ascii="Times New Roman" w:hAnsi="Times New Roman" w:eastAsia="仿宋_GB2312" w:cs="Times New Roman"/>
          <w:b/>
          <w:bCs/>
          <w:kern w:val="2"/>
          <w:sz w:val="32"/>
          <w:szCs w:val="32"/>
          <w:lang w:val="en-US" w:eastAsia="zh-CN" w:bidi="ar-SA"/>
        </w:rPr>
        <w:t>项目资金预算执行情况</w:t>
      </w:r>
    </w:p>
    <w:p w14:paraId="305FC410">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beforeAutospacing="0" w:afterAutospacing="0" w:line="560" w:lineRule="exact"/>
        <w:ind w:left="0" w:leftChars="0" w:right="0" w:rightChars="0" w:firstLine="640" w:firstLineChars="200"/>
        <w:jc w:val="both"/>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经汇总项目实施单位资金使用情况，纳入本次绩效评价范围的专项资金合计</w:t>
      </w:r>
      <w:r>
        <w:rPr>
          <w:rFonts w:hint="eastAsia" w:ascii="Times New Roman" w:hAnsi="Times New Roman" w:eastAsia="仿宋_GB2312" w:cs="Times New Roman"/>
          <w:color w:val="000000"/>
          <w:kern w:val="2"/>
          <w:sz w:val="32"/>
          <w:szCs w:val="32"/>
          <w:lang w:val="en-US" w:eastAsia="zh-CN" w:bidi="ar-SA"/>
        </w:rPr>
        <w:t>4571</w:t>
      </w:r>
      <w:r>
        <w:rPr>
          <w:rFonts w:hint="default" w:ascii="Times New Roman" w:hAnsi="Times New Roman" w:eastAsia="仿宋_GB2312" w:cs="Times New Roman"/>
          <w:color w:val="000000"/>
          <w:kern w:val="2"/>
          <w:sz w:val="32"/>
          <w:szCs w:val="32"/>
          <w:lang w:val="en-US" w:eastAsia="zh-CN" w:bidi="ar-SA"/>
        </w:rPr>
        <w:t>万元，截至绩效自评时间，实际支出</w:t>
      </w:r>
      <w:r>
        <w:rPr>
          <w:rFonts w:hint="eastAsia" w:ascii="Times New Roman" w:hAnsi="Times New Roman" w:eastAsia="仿宋_GB2312" w:cs="Times New Roman"/>
          <w:color w:val="000000"/>
          <w:kern w:val="2"/>
          <w:sz w:val="32"/>
          <w:szCs w:val="32"/>
          <w:lang w:val="en-US" w:eastAsia="zh-CN" w:bidi="ar-SA"/>
        </w:rPr>
        <w:t>1931.25</w:t>
      </w:r>
      <w:r>
        <w:rPr>
          <w:rFonts w:hint="default" w:ascii="Times New Roman" w:hAnsi="Times New Roman" w:eastAsia="仿宋_GB2312" w:cs="Times New Roman"/>
          <w:color w:val="000000"/>
          <w:kern w:val="2"/>
          <w:sz w:val="32"/>
          <w:szCs w:val="32"/>
          <w:lang w:val="en-US" w:eastAsia="zh-CN" w:bidi="ar-SA"/>
        </w:rPr>
        <w:t>万元，执行率为</w:t>
      </w:r>
      <w:r>
        <w:rPr>
          <w:rFonts w:hint="eastAsia" w:ascii="Times New Roman" w:hAnsi="Times New Roman" w:eastAsia="仿宋_GB2312" w:cs="Times New Roman"/>
          <w:color w:val="000000"/>
          <w:kern w:val="2"/>
          <w:sz w:val="32"/>
          <w:szCs w:val="32"/>
          <w:lang w:val="en-US" w:eastAsia="zh-CN" w:bidi="ar-SA"/>
        </w:rPr>
        <w:t>42.25</w:t>
      </w:r>
      <w:r>
        <w:rPr>
          <w:rFonts w:hint="default" w:ascii="Times New Roman" w:hAnsi="Times New Roman" w:eastAsia="仿宋_GB2312" w:cs="Times New Roman"/>
          <w:color w:val="000000"/>
          <w:kern w:val="2"/>
          <w:sz w:val="32"/>
          <w:szCs w:val="32"/>
          <w:lang w:val="en-US" w:eastAsia="zh-CN" w:bidi="ar-SA"/>
        </w:rPr>
        <w:t>%。</w:t>
      </w:r>
    </w:p>
    <w:p w14:paraId="153984B0">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before="0" w:beforeLines="0" w:beforeAutospacing="0" w:after="0" w:afterLines="0" w:afterAutospacing="0" w:line="560" w:lineRule="exact"/>
        <w:ind w:left="0" w:leftChars="0" w:right="0" w:rightChars="0" w:firstLine="643" w:firstLineChars="200"/>
        <w:jc w:val="both"/>
        <w:textAlignment w:val="auto"/>
        <w:rPr>
          <w:rFonts w:hint="default" w:ascii="Times New Roman" w:hAnsi="Times New Roman" w:eastAsia="楷体_GB2312" w:cs="Times New Roman"/>
          <w:b/>
          <w:bCs w:val="0"/>
          <w:kern w:val="2"/>
          <w:sz w:val="32"/>
          <w:szCs w:val="32"/>
          <w:lang w:val="en-US" w:eastAsia="zh-CN" w:bidi="ar-SA"/>
        </w:rPr>
      </w:pPr>
      <w:r>
        <w:rPr>
          <w:rFonts w:hint="default" w:ascii="Times New Roman" w:hAnsi="Times New Roman" w:eastAsia="楷体_GB2312" w:cs="Times New Roman"/>
          <w:b/>
          <w:bCs w:val="0"/>
          <w:kern w:val="2"/>
          <w:sz w:val="32"/>
          <w:szCs w:val="32"/>
          <w:lang w:val="en-US" w:eastAsia="zh-CN" w:bidi="ar-SA"/>
        </w:rPr>
        <w:t>（二）资金管理情况</w:t>
      </w:r>
    </w:p>
    <w:p w14:paraId="18FE1001">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beforeAutospacing="0" w:afterAutospacing="0" w:line="580" w:lineRule="exact"/>
        <w:ind w:left="0" w:leftChars="0" w:right="0" w:rightChars="0" w:firstLine="640" w:firstLineChars="200"/>
        <w:jc w:val="both"/>
        <w:textAlignment w:val="auto"/>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1.</w:t>
      </w:r>
      <w:r>
        <w:rPr>
          <w:rFonts w:hint="default" w:ascii="Times New Roman" w:hAnsi="Times New Roman" w:eastAsia="仿宋_GB2312" w:cs="Times New Roman"/>
          <w:color w:val="000000"/>
          <w:kern w:val="2"/>
          <w:sz w:val="32"/>
          <w:szCs w:val="32"/>
          <w:lang w:val="en-US" w:eastAsia="zh-CN" w:bidi="ar-SA"/>
        </w:rPr>
        <w:t>制度建设：省财政厅出台《湖南省财政厅关于加强中央旅游发展基金项目资金管理和使用的通知》（湘财文〔2024〕24号），明确</w:t>
      </w:r>
      <w:r>
        <w:rPr>
          <w:rFonts w:hint="eastAsia" w:ascii="仿宋_GB2312" w:hAnsi="仿宋_GB2312" w:eastAsia="仿宋_GB2312" w:cs="仿宋_GB2312"/>
          <w:color w:val="000000"/>
          <w:kern w:val="2"/>
          <w:sz w:val="32"/>
          <w:szCs w:val="32"/>
          <w:lang w:val="en-US" w:eastAsia="zh-CN" w:bidi="ar-SA"/>
        </w:rPr>
        <w:t>“资金申请－审核－拨付－监管－验收”</w:t>
      </w:r>
      <w:r>
        <w:rPr>
          <w:rFonts w:hint="default" w:ascii="Times New Roman" w:hAnsi="Times New Roman" w:eastAsia="仿宋_GB2312" w:cs="Times New Roman"/>
          <w:color w:val="000000"/>
          <w:kern w:val="2"/>
          <w:sz w:val="32"/>
          <w:szCs w:val="32"/>
          <w:lang w:val="en-US" w:eastAsia="zh-CN" w:bidi="ar-SA"/>
        </w:rPr>
        <w:t>全流程规范，要求项目单位建立专账管理、专款专用，严禁截留、挤占、挪用资金。</w:t>
      </w:r>
    </w:p>
    <w:p w14:paraId="1F86B72B">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beforeAutospacing="0" w:afterAutospacing="0" w:line="580" w:lineRule="exact"/>
        <w:ind w:left="0" w:leftChars="0" w:right="0" w:rightChars="0" w:firstLine="640" w:firstLineChars="200"/>
        <w:jc w:val="both"/>
        <w:textAlignment w:val="auto"/>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2.</w:t>
      </w:r>
      <w:r>
        <w:rPr>
          <w:rFonts w:hint="default" w:ascii="Times New Roman" w:hAnsi="Times New Roman" w:eastAsia="仿宋_GB2312" w:cs="Times New Roman"/>
          <w:color w:val="000000"/>
          <w:kern w:val="2"/>
          <w:sz w:val="32"/>
          <w:szCs w:val="32"/>
          <w:lang w:val="en-US" w:eastAsia="zh-CN" w:bidi="ar-SA"/>
        </w:rPr>
        <w:t>合规性核查：全年未出现违规资金使用情况，审计部门专项审计未发现问题；项目资金均通过国库集中支付直接拨付至实施单位，无违规转入实有资金账户现象。</w:t>
      </w:r>
    </w:p>
    <w:p w14:paraId="7E03F40C">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before="0" w:beforeAutospacing="0" w:after="0" w:afterAutospacing="0" w:line="580" w:lineRule="exact"/>
        <w:ind w:left="0" w:leftChars="0" w:right="0" w:rightChars="0" w:firstLine="643" w:firstLineChars="200"/>
        <w:jc w:val="both"/>
        <w:textAlignment w:val="auto"/>
        <w:rPr>
          <w:rFonts w:hint="default" w:ascii="Times New Roman" w:hAnsi="Times New Roman" w:eastAsia="楷体_GB2312" w:cs="Times New Roman"/>
          <w:b/>
          <w:bCs w:val="0"/>
          <w:kern w:val="2"/>
          <w:sz w:val="32"/>
          <w:szCs w:val="32"/>
          <w:lang w:val="en-US" w:eastAsia="zh-CN" w:bidi="ar-SA"/>
        </w:rPr>
      </w:pPr>
      <w:r>
        <w:rPr>
          <w:rFonts w:hint="default" w:ascii="Times New Roman" w:hAnsi="Times New Roman" w:eastAsia="楷体_GB2312" w:cs="Times New Roman"/>
          <w:b/>
          <w:bCs w:val="0"/>
          <w:kern w:val="2"/>
          <w:sz w:val="32"/>
          <w:szCs w:val="32"/>
          <w:lang w:val="en-US" w:eastAsia="zh-CN" w:bidi="ar-SA"/>
        </w:rPr>
        <w:t>（三）总体绩效目标完成情况分析</w:t>
      </w:r>
    </w:p>
    <w:p w14:paraId="1CC2CBBC">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beforeAutospacing="0" w:afterAutospacing="0" w:line="580" w:lineRule="exact"/>
        <w:ind w:left="0" w:leftChars="0" w:right="0" w:rightChars="0" w:firstLine="640" w:firstLineChars="200"/>
        <w:jc w:val="both"/>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202</w:t>
      </w:r>
      <w:r>
        <w:rPr>
          <w:rFonts w:hint="eastAsia" w:ascii="Times New Roman" w:hAnsi="Times New Roman" w:eastAsia="仿宋_GB2312" w:cs="Times New Roman"/>
          <w:color w:val="000000"/>
          <w:kern w:val="2"/>
          <w:sz w:val="32"/>
          <w:szCs w:val="32"/>
          <w:lang w:val="en-US" w:eastAsia="zh-CN" w:bidi="ar-SA"/>
        </w:rPr>
        <w:t>5</w:t>
      </w:r>
      <w:r>
        <w:rPr>
          <w:rFonts w:hint="default" w:ascii="Times New Roman" w:hAnsi="Times New Roman" w:eastAsia="仿宋_GB2312" w:cs="Times New Roman"/>
          <w:color w:val="000000"/>
          <w:kern w:val="2"/>
          <w:sz w:val="32"/>
          <w:szCs w:val="32"/>
          <w:lang w:val="en-US" w:eastAsia="zh-CN" w:bidi="ar-SA"/>
        </w:rPr>
        <w:t>年，围绕</w:t>
      </w:r>
      <w:r>
        <w:rPr>
          <w:rFonts w:hint="eastAsia" w:ascii="仿宋_GB2312" w:hAnsi="仿宋_GB2312" w:eastAsia="仿宋_GB2312" w:cs="仿宋_GB2312"/>
          <w:color w:val="000000"/>
          <w:kern w:val="2"/>
          <w:sz w:val="32"/>
          <w:szCs w:val="32"/>
          <w:lang w:val="en-US" w:eastAsia="zh-CN" w:bidi="ar-SA"/>
        </w:rPr>
        <w:t>“支持地方提升旅游公共服务水平、加强旅游宣传推广、推进旅游业转型升级融合发展、促进文化和旅游消费、推动旅游业高质量发展”</w:t>
      </w:r>
      <w:r>
        <w:rPr>
          <w:rFonts w:hint="default" w:ascii="Times New Roman" w:hAnsi="Times New Roman" w:eastAsia="仿宋_GB2312" w:cs="Times New Roman"/>
          <w:color w:val="000000"/>
          <w:kern w:val="2"/>
          <w:sz w:val="32"/>
          <w:szCs w:val="32"/>
          <w:lang w:val="en-US" w:eastAsia="zh-CN" w:bidi="ar-SA"/>
        </w:rPr>
        <w:t>的总体目标，各项工作稳步推进：产出指标方面，旅游公共服务水平提升的A级旅游景区、宣传推广重点文旅资源数量均达标，宣传品制作、旅游消费促进活动场次超额完成，部分景区监测设备老化，旅游业转型升级融合发展项目、A级旅游景区数据监测覆盖率未完全达标；效益指标方面，乡村旅游、红色旅游接待人次增长率达标，国内旅游收入增长率受消费偏好及高基数效应影响略低于预期；满意度指标方面，旅游公共服务群众满意度超额完成目标。整体来看，年度核心任务基本完成，未达标项主要受客观因素制约，后续将针对性优化改进，持续推动旅游业高质量发展。</w:t>
      </w:r>
    </w:p>
    <w:p w14:paraId="2E2788B6">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before="0" w:beforeAutospacing="0" w:after="0" w:afterAutospacing="0" w:line="560" w:lineRule="exact"/>
        <w:ind w:left="0" w:leftChars="0" w:right="0" w:rightChars="0" w:firstLine="643" w:firstLineChars="200"/>
        <w:jc w:val="both"/>
        <w:textAlignment w:val="auto"/>
        <w:rPr>
          <w:rFonts w:hint="default" w:ascii="Times New Roman" w:hAnsi="Times New Roman" w:eastAsia="楷体_GB2312" w:cs="Times New Roman"/>
          <w:b/>
          <w:bCs w:val="0"/>
          <w:kern w:val="2"/>
          <w:sz w:val="32"/>
          <w:szCs w:val="32"/>
          <w:lang w:val="en-US" w:eastAsia="zh-CN" w:bidi="ar-SA"/>
        </w:rPr>
      </w:pPr>
      <w:r>
        <w:rPr>
          <w:rFonts w:hint="default" w:ascii="Times New Roman" w:hAnsi="Times New Roman" w:eastAsia="楷体_GB2312" w:cs="Times New Roman"/>
          <w:b/>
          <w:bCs w:val="0"/>
          <w:kern w:val="2"/>
          <w:sz w:val="32"/>
          <w:szCs w:val="32"/>
          <w:lang w:val="en-US" w:eastAsia="zh-CN" w:bidi="ar-SA"/>
        </w:rPr>
        <w:t>（四）绩效指标完成情况分析</w:t>
      </w:r>
    </w:p>
    <w:p w14:paraId="20B43016">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before="0" w:beforeLines="0" w:beforeAutospacing="0" w:after="157" w:afterLines="50" w:afterAutospacing="0" w:line="560" w:lineRule="exact"/>
        <w:ind w:left="0" w:leftChars="0" w:right="0" w:rightChars="0" w:firstLine="643" w:firstLineChars="200"/>
        <w:jc w:val="both"/>
        <w:textAlignment w:val="auto"/>
        <w:rPr>
          <w:rFonts w:hint="default" w:ascii="Times New Roman" w:hAnsi="Times New Roman" w:eastAsia="仿宋_GB2312" w:cs="Times New Roman"/>
          <w:b/>
          <w:bCs/>
          <w:kern w:val="2"/>
          <w:sz w:val="32"/>
          <w:szCs w:val="32"/>
          <w:lang w:val="en-US" w:eastAsia="zh-CN" w:bidi="ar-SA"/>
        </w:rPr>
      </w:pPr>
      <w:r>
        <w:rPr>
          <w:rFonts w:hint="default" w:ascii="Times New Roman" w:hAnsi="Times New Roman" w:eastAsia="仿宋_GB2312" w:cs="Times New Roman"/>
          <w:b/>
          <w:bCs/>
          <w:kern w:val="2"/>
          <w:sz w:val="32"/>
          <w:szCs w:val="32"/>
          <w:lang w:val="en-US" w:eastAsia="zh-CN" w:bidi="ar-SA"/>
        </w:rPr>
        <w:t>1</w:t>
      </w:r>
      <w:r>
        <w:rPr>
          <w:rFonts w:hint="default" w:ascii="Times New Roman" w:hAnsi="Times New Roman" w:eastAsia="仿宋_GB2312" w:cs="Times New Roman"/>
          <w:b/>
          <w:bCs/>
          <w:color w:val="000000"/>
          <w:kern w:val="2"/>
          <w:sz w:val="32"/>
          <w:szCs w:val="32"/>
          <w:lang w:val="en-US" w:eastAsia="zh-CN" w:bidi="ar-SA"/>
        </w:rPr>
        <w:t>.</w:t>
      </w:r>
      <w:r>
        <w:rPr>
          <w:rFonts w:hint="default" w:ascii="Times New Roman" w:hAnsi="Times New Roman" w:eastAsia="仿宋_GB2312" w:cs="Times New Roman"/>
          <w:b/>
          <w:bCs/>
          <w:kern w:val="2"/>
          <w:sz w:val="32"/>
          <w:szCs w:val="32"/>
          <w:lang w:val="en-US" w:eastAsia="zh-CN" w:bidi="ar-SA"/>
        </w:rPr>
        <w:t>产出指标完成情况</w:t>
      </w:r>
    </w:p>
    <w:tbl>
      <w:tblPr>
        <w:tblStyle w:val="10"/>
        <w:tblW w:w="9056"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4"/>
        <w:gridCol w:w="3321"/>
        <w:gridCol w:w="1439"/>
        <w:gridCol w:w="1656"/>
        <w:gridCol w:w="1656"/>
      </w:tblGrid>
      <w:tr w14:paraId="455C5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blHeader/>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B2D6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center"/>
              <w:rPr>
                <w:rFonts w:hint="default" w:ascii="Times New Roman" w:hAnsi="Times New Roman" w:eastAsia="仿宋_GB2312" w:cs="Times New Roman"/>
                <w:i w:val="0"/>
                <w:iCs w:val="0"/>
                <w:color w:val="auto"/>
                <w:kern w:val="0"/>
                <w:sz w:val="28"/>
                <w:szCs w:val="28"/>
                <w:highlight w:val="none"/>
                <w:u w:val="none"/>
                <w:lang w:val="en-US" w:eastAsia="zh-CN" w:bidi="ar"/>
              </w:rPr>
            </w:pPr>
            <w:r>
              <w:rPr>
                <w:rFonts w:hint="default" w:ascii="Times New Roman" w:hAnsi="Times New Roman" w:eastAsia="仿宋_GB2312" w:cs="Times New Roman"/>
                <w:i w:val="0"/>
                <w:iCs w:val="0"/>
                <w:color w:val="auto"/>
                <w:kern w:val="0"/>
                <w:sz w:val="28"/>
                <w:szCs w:val="28"/>
                <w:highlight w:val="none"/>
                <w:u w:val="none"/>
                <w:lang w:val="en-US" w:eastAsia="zh-CN" w:bidi="ar"/>
              </w:rPr>
              <w:t>二级</w:t>
            </w:r>
          </w:p>
          <w:p w14:paraId="0699A4B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指标</w:t>
            </w:r>
          </w:p>
        </w:tc>
        <w:tc>
          <w:tcPr>
            <w:tcW w:w="3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4E13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三级指标</w:t>
            </w:r>
          </w:p>
        </w:tc>
        <w:tc>
          <w:tcPr>
            <w:tcW w:w="1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10BE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指标值</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9A70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center"/>
              <w:rPr>
                <w:rFonts w:hint="default" w:ascii="Times New Roman" w:hAnsi="Times New Roman" w:eastAsia="仿宋_GB2312" w:cs="Times New Roman"/>
                <w:i w:val="0"/>
                <w:iCs w:val="0"/>
                <w:color w:val="auto"/>
                <w:sz w:val="28"/>
                <w:szCs w:val="28"/>
                <w:highlight w:val="none"/>
                <w:u w:val="none"/>
                <w:lang w:val="en-US"/>
              </w:rPr>
            </w:pPr>
            <w:r>
              <w:rPr>
                <w:rFonts w:hint="default" w:ascii="Times New Roman" w:hAnsi="Times New Roman" w:eastAsia="仿宋_GB2312" w:cs="Times New Roman"/>
                <w:i w:val="0"/>
                <w:iCs w:val="0"/>
                <w:color w:val="auto"/>
                <w:kern w:val="0"/>
                <w:sz w:val="28"/>
                <w:szCs w:val="28"/>
                <w:highlight w:val="none"/>
                <w:u w:val="none"/>
                <w:lang w:val="en-US" w:eastAsia="zh-CN" w:bidi="ar"/>
              </w:rPr>
              <w:t>实际完成值</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1102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center"/>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i w:val="0"/>
                <w:iCs w:val="0"/>
                <w:color w:val="auto"/>
                <w:kern w:val="0"/>
                <w:sz w:val="28"/>
                <w:szCs w:val="28"/>
                <w:highlight w:val="none"/>
                <w:u w:val="none"/>
                <w:lang w:val="en-US" w:eastAsia="zh-CN" w:bidi="ar"/>
              </w:rPr>
              <w:t>完成情况</w:t>
            </w:r>
          </w:p>
        </w:tc>
      </w:tr>
      <w:tr w14:paraId="39F2F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9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CDED5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数量指标</w:t>
            </w:r>
          </w:p>
        </w:tc>
        <w:tc>
          <w:tcPr>
            <w:tcW w:w="3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7BF95">
            <w:pPr>
              <w:keepNext w:val="0"/>
              <w:keepLines w:val="0"/>
              <w:pageBreakBefore w:val="0"/>
              <w:widowControl/>
              <w:suppressLineNumbers w:val="0"/>
              <w:kinsoku/>
              <w:wordWrap/>
              <w:overflowPunct/>
              <w:topLinePunct w:val="0"/>
              <w:autoSpaceDE/>
              <w:autoSpaceDN/>
              <w:bidi w:val="0"/>
              <w:adjustRightInd/>
              <w:snapToGrid w:val="0"/>
              <w:spacing w:line="360" w:lineRule="exact"/>
              <w:jc w:val="left"/>
              <w:textAlignment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000000"/>
                <w:kern w:val="0"/>
                <w:sz w:val="28"/>
                <w:szCs w:val="28"/>
                <w:u w:val="none"/>
                <w:lang w:val="en-US" w:eastAsia="zh-CN" w:bidi="ar"/>
              </w:rPr>
              <w:t>旅游公共服务水平提升的A级旅游景区个数</w:t>
            </w:r>
          </w:p>
        </w:tc>
        <w:tc>
          <w:tcPr>
            <w:tcW w:w="1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B9A79">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000000"/>
                <w:kern w:val="0"/>
                <w:sz w:val="28"/>
                <w:szCs w:val="28"/>
                <w:u w:val="none"/>
                <w:lang w:val="en-US" w:eastAsia="zh-CN" w:bidi="ar"/>
              </w:rPr>
              <w:t>≥14个</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265F8">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auto"/>
                <w:sz w:val="28"/>
                <w:szCs w:val="28"/>
                <w:highlight w:val="none"/>
                <w:u w:val="none"/>
                <w:lang w:val="en-US" w:eastAsia="zh-CN"/>
              </w:rPr>
            </w:pPr>
            <w:r>
              <w:rPr>
                <w:rFonts w:hint="default" w:ascii="Times New Roman" w:hAnsi="Times New Roman" w:eastAsia="仿宋_GB2312" w:cs="Times New Roman"/>
                <w:i w:val="0"/>
                <w:iCs w:val="0"/>
                <w:color w:val="000000"/>
                <w:kern w:val="0"/>
                <w:sz w:val="28"/>
                <w:szCs w:val="28"/>
                <w:u w:val="none"/>
                <w:lang w:val="en-US" w:eastAsia="zh-CN" w:bidi="ar"/>
              </w:rPr>
              <w:t>14个</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C3F27">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default" w:ascii="Times New Roman" w:hAnsi="Times New Roman" w:eastAsia="仿宋_GB2312" w:cs="Times New Roman"/>
                <w:i w:val="0"/>
                <w:iCs w:val="0"/>
                <w:color w:val="000000"/>
                <w:kern w:val="0"/>
                <w:sz w:val="28"/>
                <w:szCs w:val="28"/>
                <w:u w:val="none"/>
                <w:lang w:val="en-US" w:eastAsia="zh-CN" w:bidi="ar"/>
              </w:rPr>
              <w:t>已完成</w:t>
            </w:r>
          </w:p>
        </w:tc>
      </w:tr>
      <w:tr w14:paraId="4A8BC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9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75B1F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rPr>
                <w:rFonts w:hint="default" w:ascii="Times New Roman" w:hAnsi="Times New Roman" w:eastAsia="仿宋_GB2312" w:cs="Times New Roman"/>
                <w:i w:val="0"/>
                <w:iCs w:val="0"/>
                <w:color w:val="auto"/>
                <w:sz w:val="28"/>
                <w:szCs w:val="28"/>
                <w:highlight w:val="none"/>
                <w:u w:val="none"/>
              </w:rPr>
            </w:pPr>
          </w:p>
        </w:tc>
        <w:tc>
          <w:tcPr>
            <w:tcW w:w="3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43D75">
            <w:pPr>
              <w:keepNext w:val="0"/>
              <w:keepLines w:val="0"/>
              <w:pageBreakBefore w:val="0"/>
              <w:widowControl/>
              <w:suppressLineNumbers w:val="0"/>
              <w:kinsoku/>
              <w:wordWrap/>
              <w:overflowPunct/>
              <w:topLinePunct w:val="0"/>
              <w:autoSpaceDE/>
              <w:autoSpaceDN/>
              <w:bidi w:val="0"/>
              <w:adjustRightInd/>
              <w:snapToGrid w:val="0"/>
              <w:spacing w:line="360" w:lineRule="exact"/>
              <w:jc w:val="left"/>
              <w:textAlignment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000000"/>
                <w:kern w:val="0"/>
                <w:sz w:val="28"/>
                <w:szCs w:val="28"/>
                <w:u w:val="none"/>
                <w:lang w:val="en-US" w:eastAsia="zh-CN" w:bidi="ar"/>
              </w:rPr>
              <w:t>宣传推广旅游景区、旅游度假区、旅游休闲城市和街区个数</w:t>
            </w:r>
          </w:p>
        </w:tc>
        <w:tc>
          <w:tcPr>
            <w:tcW w:w="1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DE157">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000000"/>
                <w:kern w:val="0"/>
                <w:sz w:val="28"/>
                <w:szCs w:val="28"/>
                <w:u w:val="none"/>
                <w:lang w:val="en-US" w:eastAsia="zh-CN" w:bidi="ar"/>
              </w:rPr>
              <w:t>≥5个</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63FF7">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auto"/>
                <w:sz w:val="28"/>
                <w:szCs w:val="28"/>
                <w:highlight w:val="none"/>
                <w:u w:val="none"/>
                <w:lang w:val="en-US" w:eastAsia="zh-CN"/>
              </w:rPr>
            </w:pPr>
            <w:r>
              <w:rPr>
                <w:rFonts w:hint="default" w:ascii="Times New Roman" w:hAnsi="Times New Roman" w:eastAsia="仿宋_GB2312" w:cs="Times New Roman"/>
                <w:i w:val="0"/>
                <w:iCs w:val="0"/>
                <w:color w:val="000000"/>
                <w:kern w:val="0"/>
                <w:sz w:val="28"/>
                <w:szCs w:val="28"/>
                <w:u w:val="none"/>
                <w:lang w:val="en-US" w:eastAsia="zh-CN" w:bidi="ar"/>
              </w:rPr>
              <w:t>5</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22827">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default" w:ascii="Times New Roman" w:hAnsi="Times New Roman" w:eastAsia="仿宋_GB2312" w:cs="Times New Roman"/>
                <w:i w:val="0"/>
                <w:iCs w:val="0"/>
                <w:color w:val="000000"/>
                <w:kern w:val="0"/>
                <w:sz w:val="28"/>
                <w:szCs w:val="28"/>
                <w:u w:val="none"/>
                <w:lang w:val="en-US" w:eastAsia="zh-CN" w:bidi="ar"/>
              </w:rPr>
              <w:t>已完成</w:t>
            </w:r>
          </w:p>
        </w:tc>
      </w:tr>
      <w:tr w14:paraId="7A206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9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8119C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rPr>
                <w:rFonts w:hint="default" w:ascii="Times New Roman" w:hAnsi="Times New Roman" w:eastAsia="仿宋_GB2312" w:cs="Times New Roman"/>
                <w:i w:val="0"/>
                <w:iCs w:val="0"/>
                <w:color w:val="auto"/>
                <w:sz w:val="28"/>
                <w:szCs w:val="28"/>
                <w:highlight w:val="none"/>
                <w:u w:val="none"/>
              </w:rPr>
            </w:pPr>
          </w:p>
        </w:tc>
        <w:tc>
          <w:tcPr>
            <w:tcW w:w="3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910CE">
            <w:pPr>
              <w:keepNext w:val="0"/>
              <w:keepLines w:val="0"/>
              <w:pageBreakBefore w:val="0"/>
              <w:widowControl/>
              <w:suppressLineNumbers w:val="0"/>
              <w:kinsoku/>
              <w:wordWrap/>
              <w:overflowPunct/>
              <w:topLinePunct w:val="0"/>
              <w:autoSpaceDE/>
              <w:autoSpaceDN/>
              <w:bidi w:val="0"/>
              <w:adjustRightInd/>
              <w:snapToGrid w:val="0"/>
              <w:spacing w:line="360" w:lineRule="exact"/>
              <w:jc w:val="left"/>
              <w:textAlignment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000000"/>
                <w:kern w:val="0"/>
                <w:sz w:val="28"/>
                <w:szCs w:val="28"/>
                <w:u w:val="none"/>
                <w:lang w:val="en-US" w:eastAsia="zh-CN" w:bidi="ar"/>
              </w:rPr>
              <w:t>宣传品制作数量</w:t>
            </w:r>
          </w:p>
        </w:tc>
        <w:tc>
          <w:tcPr>
            <w:tcW w:w="1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D11E7">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000000"/>
                <w:kern w:val="0"/>
                <w:sz w:val="28"/>
                <w:szCs w:val="28"/>
                <w:u w:val="none"/>
                <w:lang w:val="en-US" w:eastAsia="zh-CN" w:bidi="ar"/>
              </w:rPr>
              <w:t>≥4900件（册）</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FF92B">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auto"/>
                <w:sz w:val="28"/>
                <w:szCs w:val="28"/>
                <w:highlight w:val="none"/>
                <w:u w:val="none"/>
                <w:lang w:val="en-US" w:eastAsia="zh-CN"/>
              </w:rPr>
            </w:pPr>
            <w:r>
              <w:rPr>
                <w:rFonts w:hint="default" w:ascii="Times New Roman" w:hAnsi="Times New Roman" w:eastAsia="仿宋_GB2312" w:cs="Times New Roman"/>
                <w:i w:val="0"/>
                <w:iCs w:val="0"/>
                <w:color w:val="000000"/>
                <w:kern w:val="0"/>
                <w:sz w:val="28"/>
                <w:szCs w:val="28"/>
                <w:u w:val="none"/>
                <w:lang w:val="en-US" w:eastAsia="zh-CN" w:bidi="ar"/>
              </w:rPr>
              <w:t>≥8000件（册）</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5364B">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default" w:ascii="Times New Roman" w:hAnsi="Times New Roman" w:eastAsia="仿宋_GB2312" w:cs="Times New Roman"/>
                <w:i w:val="0"/>
                <w:iCs w:val="0"/>
                <w:color w:val="000000"/>
                <w:kern w:val="0"/>
                <w:sz w:val="28"/>
                <w:szCs w:val="28"/>
                <w:u w:val="none"/>
                <w:lang w:val="en-US" w:eastAsia="zh-CN" w:bidi="ar"/>
              </w:rPr>
              <w:t>已完成</w:t>
            </w:r>
          </w:p>
        </w:tc>
      </w:tr>
      <w:tr w14:paraId="7BEBF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9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01238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rPr>
                <w:rFonts w:hint="default" w:ascii="Times New Roman" w:hAnsi="Times New Roman" w:eastAsia="仿宋_GB2312" w:cs="Times New Roman"/>
                <w:i w:val="0"/>
                <w:iCs w:val="0"/>
                <w:color w:val="auto"/>
                <w:sz w:val="28"/>
                <w:szCs w:val="28"/>
                <w:highlight w:val="none"/>
                <w:u w:val="none"/>
              </w:rPr>
            </w:pPr>
          </w:p>
        </w:tc>
        <w:tc>
          <w:tcPr>
            <w:tcW w:w="3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DA6B0">
            <w:pPr>
              <w:keepNext w:val="0"/>
              <w:keepLines w:val="0"/>
              <w:pageBreakBefore w:val="0"/>
              <w:widowControl/>
              <w:suppressLineNumbers w:val="0"/>
              <w:kinsoku/>
              <w:wordWrap/>
              <w:overflowPunct/>
              <w:topLinePunct w:val="0"/>
              <w:autoSpaceDE/>
              <w:autoSpaceDN/>
              <w:bidi w:val="0"/>
              <w:adjustRightInd/>
              <w:snapToGrid w:val="0"/>
              <w:spacing w:line="360" w:lineRule="exact"/>
              <w:jc w:val="left"/>
              <w:textAlignment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000000"/>
                <w:kern w:val="0"/>
                <w:sz w:val="28"/>
                <w:szCs w:val="28"/>
                <w:u w:val="none"/>
                <w:lang w:val="en-US" w:eastAsia="zh-CN" w:bidi="ar"/>
              </w:rPr>
              <w:t>支持旅游业转型升级融合发展和旅游业产品创新的项目个数</w:t>
            </w:r>
          </w:p>
        </w:tc>
        <w:tc>
          <w:tcPr>
            <w:tcW w:w="1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0F242">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000000"/>
                <w:kern w:val="0"/>
                <w:sz w:val="28"/>
                <w:szCs w:val="28"/>
                <w:u w:val="none"/>
                <w:lang w:val="en-US" w:eastAsia="zh-CN" w:bidi="ar"/>
              </w:rPr>
              <w:t>≥5个</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9C667">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auto"/>
                <w:sz w:val="28"/>
                <w:szCs w:val="28"/>
                <w:highlight w:val="none"/>
                <w:u w:val="none"/>
                <w:lang w:val="en-US" w:eastAsia="zh-CN"/>
              </w:rPr>
            </w:pPr>
            <w:r>
              <w:rPr>
                <w:rFonts w:hint="default" w:ascii="Times New Roman" w:hAnsi="Times New Roman" w:eastAsia="仿宋_GB2312" w:cs="Times New Roman"/>
                <w:i w:val="0"/>
                <w:iCs w:val="0"/>
                <w:color w:val="000000"/>
                <w:kern w:val="0"/>
                <w:sz w:val="28"/>
                <w:szCs w:val="28"/>
                <w:u w:val="none"/>
                <w:lang w:val="en-US" w:eastAsia="zh-CN" w:bidi="ar"/>
              </w:rPr>
              <w:t>4个</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1D040">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default" w:ascii="Times New Roman" w:hAnsi="Times New Roman" w:eastAsia="仿宋_GB2312" w:cs="Times New Roman"/>
                <w:i w:val="0"/>
                <w:iCs w:val="0"/>
                <w:color w:val="000000"/>
                <w:kern w:val="0"/>
                <w:sz w:val="28"/>
                <w:szCs w:val="28"/>
                <w:u w:val="none"/>
                <w:lang w:val="en-US" w:eastAsia="zh-CN" w:bidi="ar"/>
              </w:rPr>
              <w:t>未完成</w:t>
            </w:r>
          </w:p>
        </w:tc>
      </w:tr>
      <w:tr w14:paraId="4BBF2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9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00DB8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rPr>
                <w:rFonts w:hint="default" w:ascii="Times New Roman" w:hAnsi="Times New Roman" w:eastAsia="仿宋_GB2312" w:cs="Times New Roman"/>
                <w:i w:val="0"/>
                <w:iCs w:val="0"/>
                <w:color w:val="auto"/>
                <w:sz w:val="28"/>
                <w:szCs w:val="28"/>
                <w:highlight w:val="none"/>
                <w:u w:val="none"/>
              </w:rPr>
            </w:pPr>
          </w:p>
        </w:tc>
        <w:tc>
          <w:tcPr>
            <w:tcW w:w="3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6B395">
            <w:pPr>
              <w:keepNext w:val="0"/>
              <w:keepLines w:val="0"/>
              <w:pageBreakBefore w:val="0"/>
              <w:widowControl/>
              <w:suppressLineNumbers w:val="0"/>
              <w:kinsoku/>
              <w:wordWrap/>
              <w:overflowPunct/>
              <w:topLinePunct w:val="0"/>
              <w:autoSpaceDE/>
              <w:autoSpaceDN/>
              <w:bidi w:val="0"/>
              <w:adjustRightInd/>
              <w:snapToGrid w:val="0"/>
              <w:spacing w:line="360" w:lineRule="exact"/>
              <w:jc w:val="left"/>
              <w:textAlignment w:val="center"/>
              <w:rPr>
                <w:rFonts w:hint="default" w:ascii="Times New Roman" w:hAnsi="Times New Roman" w:eastAsia="仿宋_GB2312" w:cs="Times New Roman"/>
                <w:i w:val="0"/>
                <w:iCs w:val="0"/>
                <w:color w:val="auto"/>
                <w:kern w:val="0"/>
                <w:sz w:val="28"/>
                <w:szCs w:val="28"/>
                <w:highlight w:val="none"/>
                <w:u w:val="none"/>
                <w:lang w:val="en-US" w:eastAsia="zh-CN" w:bidi="ar"/>
              </w:rPr>
            </w:pPr>
            <w:r>
              <w:rPr>
                <w:rFonts w:hint="default" w:ascii="Times New Roman" w:hAnsi="Times New Roman" w:eastAsia="仿宋_GB2312" w:cs="Times New Roman"/>
                <w:i w:val="0"/>
                <w:iCs w:val="0"/>
                <w:color w:val="000000"/>
                <w:kern w:val="0"/>
                <w:sz w:val="28"/>
                <w:szCs w:val="28"/>
                <w:u w:val="none"/>
                <w:lang w:val="en-US" w:eastAsia="zh-CN" w:bidi="ar"/>
              </w:rPr>
              <w:t>举办旅游消费促进活动场次</w:t>
            </w:r>
          </w:p>
        </w:tc>
        <w:tc>
          <w:tcPr>
            <w:tcW w:w="1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FA40E">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auto"/>
                <w:kern w:val="0"/>
                <w:sz w:val="28"/>
                <w:szCs w:val="28"/>
                <w:highlight w:val="none"/>
                <w:u w:val="none"/>
                <w:lang w:val="en-US" w:eastAsia="zh-CN" w:bidi="ar"/>
              </w:rPr>
            </w:pPr>
            <w:r>
              <w:rPr>
                <w:rFonts w:hint="default" w:ascii="Times New Roman" w:hAnsi="Times New Roman" w:eastAsia="仿宋_GB2312" w:cs="Times New Roman"/>
                <w:i w:val="0"/>
                <w:iCs w:val="0"/>
                <w:color w:val="000000"/>
                <w:kern w:val="0"/>
                <w:sz w:val="28"/>
                <w:szCs w:val="28"/>
                <w:u w:val="none"/>
                <w:lang w:val="en-US" w:eastAsia="zh-CN" w:bidi="ar"/>
              </w:rPr>
              <w:t>≥20场</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3835A">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auto"/>
                <w:sz w:val="28"/>
                <w:szCs w:val="28"/>
                <w:highlight w:val="none"/>
                <w:u w:val="none"/>
                <w:lang w:val="en-US" w:eastAsia="zh-CN"/>
              </w:rPr>
            </w:pPr>
            <w:r>
              <w:rPr>
                <w:rFonts w:hint="default" w:ascii="Times New Roman" w:hAnsi="Times New Roman" w:eastAsia="仿宋_GB2312" w:cs="Times New Roman"/>
                <w:i w:val="0"/>
                <w:iCs w:val="0"/>
                <w:color w:val="000000"/>
                <w:kern w:val="0"/>
                <w:sz w:val="28"/>
                <w:szCs w:val="28"/>
                <w:u w:val="none"/>
                <w:lang w:val="en-US" w:eastAsia="zh-CN" w:bidi="ar"/>
              </w:rPr>
              <w:t>25场</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E9049">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default" w:ascii="Times New Roman" w:hAnsi="Times New Roman" w:eastAsia="仿宋_GB2312" w:cs="Times New Roman"/>
                <w:i w:val="0"/>
                <w:iCs w:val="0"/>
                <w:color w:val="000000"/>
                <w:kern w:val="0"/>
                <w:sz w:val="28"/>
                <w:szCs w:val="28"/>
                <w:u w:val="none"/>
                <w:lang w:val="en-US" w:eastAsia="zh-CN" w:bidi="ar"/>
              </w:rPr>
              <w:t>已完成</w:t>
            </w:r>
          </w:p>
        </w:tc>
      </w:tr>
      <w:tr w14:paraId="3FC0F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9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671CB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rPr>
                <w:rFonts w:hint="default" w:ascii="Times New Roman" w:hAnsi="Times New Roman" w:eastAsia="仿宋_GB2312" w:cs="Times New Roman"/>
                <w:i w:val="0"/>
                <w:iCs w:val="0"/>
                <w:color w:val="auto"/>
                <w:sz w:val="28"/>
                <w:szCs w:val="28"/>
                <w:highlight w:val="none"/>
                <w:u w:val="none"/>
              </w:rPr>
            </w:pPr>
          </w:p>
        </w:tc>
        <w:tc>
          <w:tcPr>
            <w:tcW w:w="3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D7796">
            <w:pPr>
              <w:keepNext w:val="0"/>
              <w:keepLines w:val="0"/>
              <w:pageBreakBefore w:val="0"/>
              <w:widowControl/>
              <w:suppressLineNumbers w:val="0"/>
              <w:kinsoku/>
              <w:wordWrap/>
              <w:overflowPunct/>
              <w:topLinePunct w:val="0"/>
              <w:autoSpaceDE/>
              <w:autoSpaceDN/>
              <w:bidi w:val="0"/>
              <w:adjustRightInd/>
              <w:snapToGrid w:val="0"/>
              <w:spacing w:line="360" w:lineRule="exact"/>
              <w:jc w:val="left"/>
              <w:textAlignment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000000"/>
                <w:kern w:val="0"/>
                <w:sz w:val="28"/>
                <w:szCs w:val="28"/>
                <w:u w:val="none"/>
                <w:lang w:val="en-US" w:eastAsia="zh-CN" w:bidi="ar"/>
              </w:rPr>
              <w:t>A级旅游景区数据监测覆盖率</w:t>
            </w:r>
          </w:p>
        </w:tc>
        <w:tc>
          <w:tcPr>
            <w:tcW w:w="1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DCBF7">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000000"/>
                <w:kern w:val="0"/>
                <w:sz w:val="28"/>
                <w:szCs w:val="28"/>
                <w:u w:val="none"/>
                <w:lang w:val="en-US" w:eastAsia="zh-CN" w:bidi="ar"/>
              </w:rPr>
              <w:t>≥90%</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6CD0B">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auto"/>
                <w:sz w:val="28"/>
                <w:szCs w:val="28"/>
                <w:highlight w:val="none"/>
                <w:u w:val="none"/>
                <w:lang w:val="en-US" w:eastAsia="zh-CN"/>
              </w:rPr>
            </w:pPr>
            <w:r>
              <w:rPr>
                <w:rFonts w:hint="default" w:ascii="Times New Roman" w:hAnsi="Times New Roman" w:eastAsia="仿宋_GB2312" w:cs="Times New Roman"/>
                <w:i w:val="0"/>
                <w:iCs w:val="0"/>
                <w:color w:val="000000"/>
                <w:kern w:val="0"/>
                <w:sz w:val="28"/>
                <w:szCs w:val="28"/>
                <w:u w:val="none"/>
                <w:lang w:val="en-US" w:eastAsia="zh-CN" w:bidi="ar"/>
              </w:rPr>
              <w:t>84%</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2C502">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default" w:ascii="Times New Roman" w:hAnsi="Times New Roman" w:eastAsia="仿宋_GB2312" w:cs="Times New Roman"/>
                <w:i w:val="0"/>
                <w:iCs w:val="0"/>
                <w:color w:val="000000"/>
                <w:kern w:val="0"/>
                <w:sz w:val="28"/>
                <w:szCs w:val="28"/>
                <w:u w:val="none"/>
                <w:lang w:val="en-US" w:eastAsia="zh-CN" w:bidi="ar"/>
              </w:rPr>
              <w:t>未完成</w:t>
            </w:r>
          </w:p>
        </w:tc>
      </w:tr>
      <w:tr w14:paraId="6C5D5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9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318F1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质量指标</w:t>
            </w:r>
          </w:p>
        </w:tc>
        <w:tc>
          <w:tcPr>
            <w:tcW w:w="3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9620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left"/>
              <w:textAlignment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A级旅游景区数据监测覆盖率</w:t>
            </w:r>
          </w:p>
        </w:tc>
        <w:tc>
          <w:tcPr>
            <w:tcW w:w="1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61FD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≥90%</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3186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center"/>
              <w:rPr>
                <w:rFonts w:hint="default" w:ascii="Times New Roman" w:hAnsi="Times New Roman" w:eastAsia="仿宋_GB2312" w:cs="Times New Roman"/>
                <w:i w:val="0"/>
                <w:iCs w:val="0"/>
                <w:color w:val="auto"/>
                <w:sz w:val="28"/>
                <w:szCs w:val="28"/>
                <w:highlight w:val="none"/>
                <w:u w:val="none"/>
                <w:lang w:val="en-US" w:eastAsia="zh-CN"/>
              </w:rPr>
            </w:pPr>
            <w:r>
              <w:rPr>
                <w:rFonts w:hint="default" w:ascii="Times New Roman" w:hAnsi="Times New Roman" w:eastAsia="仿宋_GB2312" w:cs="Times New Roman"/>
                <w:i w:val="0"/>
                <w:iCs w:val="0"/>
                <w:color w:val="auto"/>
                <w:sz w:val="28"/>
                <w:szCs w:val="28"/>
                <w:highlight w:val="none"/>
                <w:u w:val="none"/>
                <w:lang w:val="en-US" w:eastAsia="zh-CN"/>
              </w:rPr>
              <w:t>90%</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1B66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center"/>
              <w:rPr>
                <w:rFonts w:hint="default" w:ascii="Times New Roman" w:hAnsi="Times New Roman" w:eastAsia="仿宋_GB2312" w:cs="Times New Roman"/>
                <w:i w:val="0"/>
                <w:iCs w:val="0"/>
                <w:color w:val="auto"/>
                <w:sz w:val="28"/>
                <w:szCs w:val="28"/>
                <w:highlight w:val="none"/>
                <w:u w:val="none"/>
                <w:lang w:val="en-US" w:eastAsia="zh-CN"/>
              </w:rPr>
            </w:pPr>
            <w:r>
              <w:rPr>
                <w:rFonts w:hint="default" w:ascii="Times New Roman" w:hAnsi="Times New Roman" w:eastAsia="仿宋_GB2312" w:cs="Times New Roman"/>
                <w:i w:val="0"/>
                <w:iCs w:val="0"/>
                <w:color w:val="000000"/>
                <w:kern w:val="0"/>
                <w:sz w:val="28"/>
                <w:szCs w:val="28"/>
                <w:u w:val="none"/>
                <w:lang w:val="en-US" w:eastAsia="zh-CN" w:bidi="ar"/>
              </w:rPr>
              <w:t>已完成</w:t>
            </w:r>
          </w:p>
        </w:tc>
      </w:tr>
      <w:tr w14:paraId="3740F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9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C4D06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rPr>
                <w:rFonts w:hint="default" w:ascii="Times New Roman" w:hAnsi="Times New Roman" w:eastAsia="仿宋_GB2312" w:cs="Times New Roman"/>
                <w:i w:val="0"/>
                <w:iCs w:val="0"/>
                <w:color w:val="auto"/>
                <w:sz w:val="28"/>
                <w:szCs w:val="28"/>
                <w:highlight w:val="none"/>
                <w:u w:val="none"/>
              </w:rPr>
            </w:pPr>
          </w:p>
        </w:tc>
        <w:tc>
          <w:tcPr>
            <w:tcW w:w="3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A272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left"/>
              <w:textAlignment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全国大中城市旅游集散中心覆盖率</w:t>
            </w:r>
          </w:p>
        </w:tc>
        <w:tc>
          <w:tcPr>
            <w:tcW w:w="1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47FB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≥95%</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588A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center"/>
              <w:rPr>
                <w:rFonts w:hint="default" w:ascii="Times New Roman" w:hAnsi="Times New Roman" w:eastAsia="仿宋_GB2312" w:cs="Times New Roman"/>
                <w:i w:val="0"/>
                <w:iCs w:val="0"/>
                <w:color w:val="auto"/>
                <w:sz w:val="28"/>
                <w:szCs w:val="28"/>
                <w:highlight w:val="none"/>
                <w:u w:val="none"/>
                <w:lang w:val="en-US" w:eastAsia="zh-CN"/>
              </w:rPr>
            </w:pPr>
            <w:r>
              <w:rPr>
                <w:rFonts w:hint="default" w:ascii="Times New Roman" w:hAnsi="Times New Roman" w:eastAsia="仿宋_GB2312" w:cs="Times New Roman"/>
                <w:i w:val="0"/>
                <w:iCs w:val="0"/>
                <w:color w:val="auto"/>
                <w:sz w:val="28"/>
                <w:szCs w:val="28"/>
                <w:highlight w:val="none"/>
                <w:u w:val="none"/>
                <w:lang w:val="en-US" w:eastAsia="zh-CN"/>
              </w:rPr>
              <w:t>95%</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4086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center"/>
              <w:rPr>
                <w:rFonts w:hint="default" w:ascii="Times New Roman" w:hAnsi="Times New Roman" w:eastAsia="仿宋_GB2312" w:cs="Times New Roman"/>
                <w:i w:val="0"/>
                <w:iCs w:val="0"/>
                <w:color w:val="auto"/>
                <w:sz w:val="28"/>
                <w:szCs w:val="28"/>
                <w:highlight w:val="none"/>
                <w:u w:val="none"/>
                <w:lang w:val="en-US" w:eastAsia="zh-CN"/>
              </w:rPr>
            </w:pPr>
            <w:r>
              <w:rPr>
                <w:rFonts w:hint="default" w:ascii="Times New Roman" w:hAnsi="Times New Roman" w:eastAsia="仿宋_GB2312" w:cs="Times New Roman"/>
                <w:i w:val="0"/>
                <w:iCs w:val="0"/>
                <w:color w:val="000000"/>
                <w:kern w:val="0"/>
                <w:sz w:val="28"/>
                <w:szCs w:val="28"/>
                <w:u w:val="none"/>
                <w:lang w:val="en-US" w:eastAsia="zh-CN" w:bidi="ar"/>
              </w:rPr>
              <w:t>已完成</w:t>
            </w:r>
          </w:p>
        </w:tc>
      </w:tr>
      <w:tr w14:paraId="1BFCE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9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D5CF0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rPr>
                <w:rFonts w:hint="default" w:ascii="Times New Roman" w:hAnsi="Times New Roman" w:eastAsia="仿宋_GB2312" w:cs="Times New Roman"/>
                <w:i w:val="0"/>
                <w:iCs w:val="0"/>
                <w:color w:val="auto"/>
                <w:sz w:val="28"/>
                <w:szCs w:val="28"/>
                <w:highlight w:val="none"/>
                <w:u w:val="none"/>
              </w:rPr>
            </w:pPr>
          </w:p>
        </w:tc>
        <w:tc>
          <w:tcPr>
            <w:tcW w:w="3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C7A6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left"/>
              <w:textAlignment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景区公共信息服务、引导标识服务覆盖率</w:t>
            </w:r>
          </w:p>
        </w:tc>
        <w:tc>
          <w:tcPr>
            <w:tcW w:w="1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1DE9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≥95%</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61F0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center"/>
              <w:rPr>
                <w:rFonts w:hint="default" w:ascii="Times New Roman" w:hAnsi="Times New Roman" w:eastAsia="仿宋_GB2312" w:cs="Times New Roman"/>
                <w:i w:val="0"/>
                <w:iCs w:val="0"/>
                <w:color w:val="auto"/>
                <w:sz w:val="28"/>
                <w:szCs w:val="28"/>
                <w:highlight w:val="none"/>
                <w:u w:val="none"/>
                <w:lang w:val="en-US" w:eastAsia="zh-CN"/>
              </w:rPr>
            </w:pPr>
            <w:r>
              <w:rPr>
                <w:rFonts w:hint="default" w:ascii="Times New Roman" w:hAnsi="Times New Roman" w:eastAsia="仿宋_GB2312" w:cs="Times New Roman"/>
                <w:i w:val="0"/>
                <w:iCs w:val="0"/>
                <w:color w:val="auto"/>
                <w:sz w:val="28"/>
                <w:szCs w:val="28"/>
                <w:highlight w:val="none"/>
                <w:u w:val="none"/>
                <w:lang w:val="en-US" w:eastAsia="zh-CN"/>
              </w:rPr>
              <w:t>95%</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D3A7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center"/>
              <w:rPr>
                <w:rFonts w:hint="default" w:ascii="Times New Roman" w:hAnsi="Times New Roman" w:eastAsia="仿宋_GB2312" w:cs="Times New Roman"/>
                <w:i w:val="0"/>
                <w:iCs w:val="0"/>
                <w:color w:val="auto"/>
                <w:sz w:val="28"/>
                <w:szCs w:val="28"/>
                <w:highlight w:val="none"/>
                <w:u w:val="none"/>
                <w:lang w:val="en-US" w:eastAsia="zh-CN"/>
              </w:rPr>
            </w:pPr>
            <w:r>
              <w:rPr>
                <w:rFonts w:hint="default" w:ascii="Times New Roman" w:hAnsi="Times New Roman" w:eastAsia="仿宋_GB2312" w:cs="Times New Roman"/>
                <w:i w:val="0"/>
                <w:iCs w:val="0"/>
                <w:color w:val="000000"/>
                <w:kern w:val="0"/>
                <w:sz w:val="28"/>
                <w:szCs w:val="28"/>
                <w:u w:val="none"/>
                <w:lang w:val="en-US" w:eastAsia="zh-CN" w:bidi="ar"/>
              </w:rPr>
              <w:t>已完成</w:t>
            </w:r>
          </w:p>
        </w:tc>
      </w:tr>
    </w:tbl>
    <w:p w14:paraId="25ED8049">
      <w:pPr>
        <w:pStyle w:val="5"/>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before="157" w:beforeLines="50" w:beforeAutospacing="0" w:after="0" w:afterLines="0" w:afterAutospacing="0" w:line="560" w:lineRule="exact"/>
        <w:ind w:left="0" w:leftChars="0" w:right="0" w:rightChars="0" w:firstLine="640" w:firstLineChars="200"/>
        <w:jc w:val="both"/>
        <w:textAlignment w:val="auto"/>
        <w:rPr>
          <w:rFonts w:hint="eastAsia" w:cs="Times New Roman"/>
          <w:b w:val="0"/>
          <w:bCs w:val="0"/>
          <w:kern w:val="2"/>
          <w:sz w:val="32"/>
          <w:szCs w:val="32"/>
          <w:lang w:val="en-US" w:eastAsia="zh-CN" w:bidi="ar-SA"/>
        </w:rPr>
      </w:pPr>
      <w:r>
        <w:rPr>
          <w:rFonts w:hint="eastAsia" w:cs="Times New Roman"/>
          <w:b w:val="0"/>
          <w:bCs w:val="0"/>
          <w:kern w:val="2"/>
          <w:sz w:val="32"/>
          <w:szCs w:val="32"/>
          <w:lang w:val="en-US" w:eastAsia="zh-CN" w:bidi="ar-SA"/>
        </w:rPr>
        <w:t>支持旅游业转型升级融合发展和旅游业产品创新的项目个数计划完成</w:t>
      </w:r>
      <w:r>
        <w:rPr>
          <w:rFonts w:hint="eastAsia" w:ascii="Times New Roman" w:hAnsi="Times New Roman" w:cs="Times New Roman"/>
          <w:b w:val="0"/>
          <w:bCs w:val="0"/>
          <w:kern w:val="2"/>
          <w:sz w:val="32"/>
          <w:szCs w:val="32"/>
          <w:lang w:val="en-US" w:eastAsia="zh-CN" w:bidi="ar-SA"/>
        </w:rPr>
        <w:t>5</w:t>
      </w:r>
      <w:r>
        <w:rPr>
          <w:rFonts w:hint="eastAsia" w:cs="Times New Roman"/>
          <w:b w:val="0"/>
          <w:bCs w:val="0"/>
          <w:kern w:val="2"/>
          <w:sz w:val="32"/>
          <w:szCs w:val="32"/>
          <w:lang w:val="en-US" w:eastAsia="zh-CN" w:bidi="ar-SA"/>
        </w:rPr>
        <w:t>个以上，实际完成</w:t>
      </w:r>
      <w:r>
        <w:rPr>
          <w:rFonts w:hint="eastAsia" w:ascii="Times New Roman" w:hAnsi="Times New Roman" w:cs="Times New Roman"/>
          <w:b w:val="0"/>
          <w:bCs w:val="0"/>
          <w:kern w:val="2"/>
          <w:sz w:val="32"/>
          <w:szCs w:val="32"/>
          <w:lang w:val="en-US" w:eastAsia="zh-CN" w:bidi="ar-SA"/>
        </w:rPr>
        <w:t>4</w:t>
      </w:r>
      <w:r>
        <w:rPr>
          <w:rFonts w:hint="eastAsia" w:cs="Times New Roman"/>
          <w:b w:val="0"/>
          <w:bCs w:val="0"/>
          <w:kern w:val="2"/>
          <w:sz w:val="32"/>
          <w:szCs w:val="32"/>
          <w:lang w:val="en-US" w:eastAsia="zh-CN" w:bidi="ar-SA"/>
        </w:rPr>
        <w:t>个。主要原因是：项目储备与论证不足。前期对符合条件的优质项目挖掘、储备不够充分，部分申报项目在论证阶段未能通过评审，导致可落地项目数量未达预期。</w:t>
      </w:r>
    </w:p>
    <w:p w14:paraId="577FD66B">
      <w:pPr>
        <w:pStyle w:val="5"/>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before="0" w:beforeAutospacing="0" w:after="0" w:afterAutospacing="0" w:line="560" w:lineRule="exact"/>
        <w:ind w:left="0" w:leftChars="0" w:right="0" w:rightChars="0" w:firstLine="640" w:firstLineChars="200"/>
        <w:jc w:val="both"/>
        <w:textAlignment w:val="auto"/>
        <w:rPr>
          <w:rFonts w:hint="eastAsia" w:cs="Times New Roman"/>
          <w:b w:val="0"/>
          <w:bCs w:val="0"/>
          <w:kern w:val="2"/>
          <w:sz w:val="32"/>
          <w:szCs w:val="32"/>
          <w:lang w:val="en-US" w:eastAsia="zh-CN" w:bidi="ar-SA"/>
        </w:rPr>
      </w:pPr>
      <w:r>
        <w:rPr>
          <w:rFonts w:hint="eastAsia" w:ascii="Times New Roman" w:hAnsi="Times New Roman" w:cs="Times New Roman"/>
          <w:b w:val="0"/>
          <w:bCs w:val="0"/>
          <w:kern w:val="2"/>
          <w:sz w:val="32"/>
          <w:szCs w:val="32"/>
          <w:lang w:val="en-US" w:eastAsia="zh-CN" w:bidi="ar-SA"/>
        </w:rPr>
        <w:t>A</w:t>
      </w:r>
      <w:r>
        <w:rPr>
          <w:rFonts w:hint="eastAsia" w:cs="Times New Roman"/>
          <w:b w:val="0"/>
          <w:bCs w:val="0"/>
          <w:kern w:val="2"/>
          <w:sz w:val="32"/>
          <w:szCs w:val="32"/>
          <w:lang w:val="en-US" w:eastAsia="zh-CN" w:bidi="ar-SA"/>
        </w:rPr>
        <w:t>级旅游景区数据监测覆盖率预期达到</w:t>
      </w:r>
      <w:r>
        <w:rPr>
          <w:rFonts w:hint="eastAsia" w:ascii="Times New Roman" w:hAnsi="Times New Roman" w:cs="Times New Roman"/>
          <w:b w:val="0"/>
          <w:bCs w:val="0"/>
          <w:kern w:val="2"/>
          <w:sz w:val="32"/>
          <w:szCs w:val="32"/>
          <w:lang w:val="en-US" w:eastAsia="zh-CN" w:bidi="ar-SA"/>
        </w:rPr>
        <w:t>90%</w:t>
      </w:r>
      <w:r>
        <w:rPr>
          <w:rFonts w:hint="eastAsia" w:cs="Times New Roman"/>
          <w:b w:val="0"/>
          <w:bCs w:val="0"/>
          <w:kern w:val="2"/>
          <w:sz w:val="32"/>
          <w:szCs w:val="32"/>
          <w:lang w:val="en-US" w:eastAsia="zh-CN" w:bidi="ar-SA"/>
        </w:rPr>
        <w:t>以上，实际约达到</w:t>
      </w:r>
      <w:r>
        <w:rPr>
          <w:rFonts w:hint="eastAsia" w:ascii="Times New Roman" w:hAnsi="Times New Roman" w:cs="Times New Roman"/>
          <w:b w:val="0"/>
          <w:bCs w:val="0"/>
          <w:kern w:val="2"/>
          <w:sz w:val="32"/>
          <w:szCs w:val="32"/>
          <w:lang w:val="en-US" w:eastAsia="zh-CN" w:bidi="ar-SA"/>
        </w:rPr>
        <w:t>84%</w:t>
      </w:r>
      <w:r>
        <w:rPr>
          <w:rFonts w:hint="eastAsia" w:cs="Times New Roman"/>
          <w:b w:val="0"/>
          <w:bCs w:val="0"/>
          <w:kern w:val="2"/>
          <w:sz w:val="32"/>
          <w:szCs w:val="32"/>
          <w:lang w:val="en-US" w:eastAsia="zh-CN" w:bidi="ar-SA"/>
        </w:rPr>
        <w:t>。主要原因是部分景区原有监测设备老化，存在故障尚未修复；项目开展滞后，没有在规定周期内完成设备部署与调试。</w:t>
      </w:r>
    </w:p>
    <w:p w14:paraId="24F6BDB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before="0" w:beforeAutospacing="0" w:after="0" w:afterAutospacing="0" w:line="560" w:lineRule="exact"/>
        <w:ind w:left="0" w:leftChars="0" w:right="0" w:rightChars="0" w:firstLine="643" w:firstLineChars="200"/>
        <w:jc w:val="both"/>
        <w:textAlignment w:val="auto"/>
        <w:rPr>
          <w:rFonts w:hint="default" w:ascii="Times New Roman" w:hAnsi="Times New Roman" w:eastAsia="仿宋_GB2312" w:cs="Times New Roman"/>
          <w:b/>
          <w:bCs/>
          <w:kern w:val="2"/>
          <w:sz w:val="32"/>
          <w:szCs w:val="32"/>
          <w:lang w:val="en-US" w:eastAsia="zh-CN" w:bidi="ar-SA"/>
        </w:rPr>
      </w:pPr>
      <w:r>
        <w:rPr>
          <w:rFonts w:hint="default" w:ascii="Times New Roman" w:hAnsi="Times New Roman" w:eastAsia="仿宋_GB2312" w:cs="Times New Roman"/>
          <w:b/>
          <w:bCs/>
          <w:kern w:val="2"/>
          <w:sz w:val="32"/>
          <w:szCs w:val="32"/>
          <w:lang w:val="en-US" w:eastAsia="zh-CN" w:bidi="ar-SA"/>
        </w:rPr>
        <w:t>2</w:t>
      </w:r>
      <w:r>
        <w:rPr>
          <w:rFonts w:hint="default" w:ascii="Times New Roman" w:hAnsi="Times New Roman" w:eastAsia="仿宋_GB2312" w:cs="Times New Roman"/>
          <w:b/>
          <w:bCs/>
          <w:color w:val="000000"/>
          <w:kern w:val="2"/>
          <w:sz w:val="32"/>
          <w:szCs w:val="32"/>
          <w:lang w:val="en-US" w:eastAsia="zh-CN" w:bidi="ar-SA"/>
        </w:rPr>
        <w:t>.</w:t>
      </w:r>
      <w:r>
        <w:rPr>
          <w:rFonts w:hint="default" w:ascii="Times New Roman" w:hAnsi="Times New Roman" w:eastAsia="仿宋_GB2312" w:cs="Times New Roman"/>
          <w:b/>
          <w:bCs/>
          <w:kern w:val="2"/>
          <w:sz w:val="32"/>
          <w:szCs w:val="32"/>
          <w:lang w:val="en-US" w:eastAsia="zh-CN" w:bidi="ar-SA"/>
        </w:rPr>
        <w:t>效益指标完成情况</w:t>
      </w:r>
    </w:p>
    <w:tbl>
      <w:tblPr>
        <w:tblStyle w:val="10"/>
        <w:tblW w:w="867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44"/>
        <w:gridCol w:w="2608"/>
        <w:gridCol w:w="1417"/>
        <w:gridCol w:w="1474"/>
        <w:gridCol w:w="1531"/>
      </w:tblGrid>
      <w:tr w14:paraId="64867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6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85C6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仿宋_GB2312" w:cs="Times New Roman"/>
                <w:i w:val="0"/>
                <w:iCs w:val="0"/>
                <w:color w:val="auto"/>
                <w:sz w:val="28"/>
                <w:szCs w:val="28"/>
                <w:highlight w:val="none"/>
                <w:u w:val="none"/>
                <w:lang w:val="en-US" w:eastAsia="zh-CN"/>
              </w:rPr>
            </w:pPr>
            <w:r>
              <w:rPr>
                <w:rFonts w:hint="eastAsia" w:ascii="Times New Roman" w:hAnsi="Times New Roman" w:eastAsia="仿宋_GB2312" w:cs="Times New Roman"/>
                <w:i w:val="0"/>
                <w:iCs w:val="0"/>
                <w:color w:val="auto"/>
                <w:sz w:val="28"/>
                <w:szCs w:val="28"/>
                <w:highlight w:val="none"/>
                <w:u w:val="none"/>
                <w:lang w:val="en-US" w:eastAsia="zh-CN"/>
              </w:rPr>
              <w:t>二级指标</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B577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仿宋_GB2312" w:cs="Times New Roman"/>
                <w:i w:val="0"/>
                <w:iCs w:val="0"/>
                <w:color w:val="auto"/>
                <w:sz w:val="28"/>
                <w:szCs w:val="28"/>
                <w:highlight w:val="none"/>
                <w:u w:val="none"/>
                <w:lang w:val="en-US" w:eastAsia="zh-CN"/>
              </w:rPr>
            </w:pPr>
            <w:r>
              <w:rPr>
                <w:rFonts w:hint="eastAsia" w:ascii="Times New Roman" w:hAnsi="Times New Roman" w:eastAsia="仿宋_GB2312" w:cs="Times New Roman"/>
                <w:i w:val="0"/>
                <w:iCs w:val="0"/>
                <w:color w:val="auto"/>
                <w:sz w:val="28"/>
                <w:szCs w:val="28"/>
                <w:highlight w:val="none"/>
                <w:u w:val="none"/>
                <w:lang w:val="en-US" w:eastAsia="zh-CN"/>
              </w:rPr>
              <w:t>三级指标</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2358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仿宋_GB2312" w:cs="Times New Roman"/>
                <w:i w:val="0"/>
                <w:iCs w:val="0"/>
                <w:color w:val="auto"/>
                <w:sz w:val="28"/>
                <w:szCs w:val="28"/>
                <w:highlight w:val="none"/>
                <w:u w:val="none"/>
                <w:lang w:val="en-US" w:eastAsia="zh-CN"/>
              </w:rPr>
            </w:pPr>
            <w:r>
              <w:rPr>
                <w:rFonts w:hint="eastAsia" w:ascii="Times New Roman" w:hAnsi="Times New Roman" w:eastAsia="仿宋_GB2312" w:cs="Times New Roman"/>
                <w:i w:val="0"/>
                <w:iCs w:val="0"/>
                <w:color w:val="auto"/>
                <w:sz w:val="28"/>
                <w:szCs w:val="28"/>
                <w:highlight w:val="none"/>
                <w:u w:val="none"/>
                <w:lang w:val="en-US" w:eastAsia="zh-CN"/>
              </w:rPr>
              <w:t>指标值</w:t>
            </w:r>
          </w:p>
        </w:tc>
        <w:tc>
          <w:tcPr>
            <w:tcW w:w="1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712C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仿宋_GB2312" w:cs="Times New Roman"/>
                <w:i w:val="0"/>
                <w:iCs w:val="0"/>
                <w:color w:val="auto"/>
                <w:sz w:val="28"/>
                <w:szCs w:val="28"/>
                <w:highlight w:val="none"/>
                <w:u w:val="none"/>
                <w:lang w:val="en-US" w:eastAsia="zh-CN"/>
              </w:rPr>
            </w:pPr>
            <w:r>
              <w:rPr>
                <w:rFonts w:hint="eastAsia" w:ascii="Times New Roman" w:hAnsi="Times New Roman" w:eastAsia="仿宋_GB2312" w:cs="Times New Roman"/>
                <w:i w:val="0"/>
                <w:iCs w:val="0"/>
                <w:color w:val="auto"/>
                <w:sz w:val="28"/>
                <w:szCs w:val="28"/>
                <w:highlight w:val="none"/>
                <w:u w:val="none"/>
                <w:lang w:val="en-US" w:eastAsia="zh-CN"/>
              </w:rPr>
              <w:t>完成值</w:t>
            </w:r>
          </w:p>
        </w:tc>
        <w:tc>
          <w:tcPr>
            <w:tcW w:w="1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7F31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仿宋_GB2312" w:cs="Times New Roman"/>
                <w:i w:val="0"/>
                <w:iCs w:val="0"/>
                <w:color w:val="auto"/>
                <w:sz w:val="28"/>
                <w:szCs w:val="28"/>
                <w:highlight w:val="none"/>
                <w:u w:val="none"/>
                <w:lang w:val="en-US" w:eastAsia="zh-CN"/>
              </w:rPr>
            </w:pPr>
            <w:r>
              <w:rPr>
                <w:rFonts w:hint="eastAsia" w:ascii="Times New Roman" w:hAnsi="Times New Roman" w:eastAsia="仿宋_GB2312" w:cs="Times New Roman"/>
                <w:i w:val="0"/>
                <w:iCs w:val="0"/>
                <w:color w:val="auto"/>
                <w:sz w:val="28"/>
                <w:szCs w:val="28"/>
                <w:highlight w:val="none"/>
                <w:u w:val="none"/>
                <w:lang w:val="en-US" w:eastAsia="zh-CN"/>
              </w:rPr>
              <w:t>完成情况</w:t>
            </w:r>
          </w:p>
        </w:tc>
      </w:tr>
      <w:tr w14:paraId="0DF04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16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1450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eastAsia" w:ascii="Times New Roman" w:hAnsi="Times New Roman" w:eastAsia="仿宋_GB2312" w:cs="Times New Roman"/>
                <w:i w:val="0"/>
                <w:iCs w:val="0"/>
                <w:color w:val="auto"/>
                <w:sz w:val="28"/>
                <w:szCs w:val="28"/>
                <w:highlight w:val="none"/>
                <w:u w:val="none"/>
              </w:rPr>
            </w:pPr>
            <w:r>
              <w:rPr>
                <w:rFonts w:hint="eastAsia" w:ascii="Times New Roman" w:hAnsi="Times New Roman" w:eastAsia="仿宋_GB2312" w:cs="Times New Roman"/>
                <w:i w:val="0"/>
                <w:iCs w:val="0"/>
                <w:color w:val="auto"/>
                <w:sz w:val="28"/>
                <w:szCs w:val="28"/>
                <w:highlight w:val="none"/>
                <w:u w:val="none"/>
                <w:lang w:val="en-US" w:eastAsia="zh-CN"/>
              </w:rPr>
              <w:t>经济效益指标</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178B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eastAsia" w:ascii="Times New Roman" w:hAnsi="Times New Roman" w:eastAsia="仿宋_GB2312" w:cs="Times New Roman"/>
                <w:i w:val="0"/>
                <w:iCs w:val="0"/>
                <w:color w:val="auto"/>
                <w:sz w:val="28"/>
                <w:szCs w:val="28"/>
                <w:highlight w:val="none"/>
                <w:u w:val="none"/>
              </w:rPr>
            </w:pPr>
            <w:r>
              <w:rPr>
                <w:rFonts w:hint="eastAsia" w:ascii="Times New Roman" w:hAnsi="Times New Roman" w:eastAsia="仿宋_GB2312" w:cs="Times New Roman"/>
                <w:i w:val="0"/>
                <w:iCs w:val="0"/>
                <w:color w:val="auto"/>
                <w:sz w:val="28"/>
                <w:szCs w:val="28"/>
                <w:highlight w:val="none"/>
                <w:u w:val="none"/>
                <w:lang w:val="en-US" w:eastAsia="zh-CN"/>
              </w:rPr>
              <w:t>国内旅游收入增长率</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AED4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仿宋_GB2312" w:cs="Times New Roman"/>
                <w:i w:val="0"/>
                <w:iCs w:val="0"/>
                <w:color w:val="auto"/>
                <w:sz w:val="28"/>
                <w:szCs w:val="28"/>
                <w:highlight w:val="none"/>
                <w:u w:val="none"/>
              </w:rPr>
            </w:pPr>
            <w:r>
              <w:rPr>
                <w:rFonts w:hint="eastAsia" w:ascii="Times New Roman" w:hAnsi="Times New Roman" w:eastAsia="仿宋_GB2312" w:cs="Times New Roman"/>
                <w:i w:val="0"/>
                <w:iCs w:val="0"/>
                <w:color w:val="auto"/>
                <w:sz w:val="28"/>
                <w:szCs w:val="28"/>
                <w:highlight w:val="none"/>
                <w:u w:val="none"/>
                <w:lang w:val="en-US" w:eastAsia="zh-CN"/>
              </w:rPr>
              <w:t>≥10%</w:t>
            </w:r>
          </w:p>
        </w:tc>
        <w:tc>
          <w:tcPr>
            <w:tcW w:w="1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CFC8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sz w:val="28"/>
                <w:szCs w:val="28"/>
                <w:highlight w:val="none"/>
                <w:u w:val="none"/>
                <w:lang w:val="en-US" w:eastAsia="zh-CN"/>
              </w:rPr>
              <w:t>9.02%</w:t>
            </w:r>
          </w:p>
        </w:tc>
        <w:tc>
          <w:tcPr>
            <w:tcW w:w="1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9748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仿宋_GB2312" w:cs="Times New Roman"/>
                <w:i w:val="0"/>
                <w:iCs w:val="0"/>
                <w:color w:val="auto"/>
                <w:sz w:val="28"/>
                <w:szCs w:val="28"/>
                <w:highlight w:val="none"/>
                <w:u w:val="none"/>
                <w:lang w:val="en-US" w:eastAsia="zh-CN"/>
              </w:rPr>
            </w:pPr>
            <w:r>
              <w:rPr>
                <w:rFonts w:hint="eastAsia" w:ascii="Times New Roman" w:hAnsi="Times New Roman" w:eastAsia="仿宋_GB2312" w:cs="Times New Roman"/>
                <w:i w:val="0"/>
                <w:iCs w:val="0"/>
                <w:color w:val="auto"/>
                <w:sz w:val="28"/>
                <w:szCs w:val="28"/>
                <w:highlight w:val="none"/>
                <w:u w:val="none"/>
                <w:lang w:val="en-US" w:eastAsia="zh-CN"/>
              </w:rPr>
              <w:t>未完成</w:t>
            </w:r>
          </w:p>
        </w:tc>
      </w:tr>
      <w:tr w14:paraId="16D7C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16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77F36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eastAsia" w:ascii="Times New Roman" w:hAnsi="Times New Roman" w:eastAsia="仿宋_GB2312" w:cs="Times New Roman"/>
                <w:i w:val="0"/>
                <w:iCs w:val="0"/>
                <w:color w:val="auto"/>
                <w:sz w:val="28"/>
                <w:szCs w:val="28"/>
                <w:highlight w:val="none"/>
                <w:u w:val="none"/>
              </w:rPr>
            </w:pPr>
            <w:r>
              <w:rPr>
                <w:rFonts w:hint="eastAsia" w:ascii="Times New Roman" w:hAnsi="Times New Roman" w:eastAsia="仿宋_GB2312" w:cs="Times New Roman"/>
                <w:i w:val="0"/>
                <w:iCs w:val="0"/>
                <w:color w:val="auto"/>
                <w:sz w:val="28"/>
                <w:szCs w:val="28"/>
                <w:highlight w:val="none"/>
                <w:u w:val="none"/>
                <w:lang w:val="en-US" w:eastAsia="zh-CN"/>
              </w:rPr>
              <w:t>社会效益指标</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ECB9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eastAsia" w:ascii="Times New Roman" w:hAnsi="Times New Roman" w:eastAsia="仿宋_GB2312" w:cs="Times New Roman"/>
                <w:i w:val="0"/>
                <w:iCs w:val="0"/>
                <w:color w:val="auto"/>
                <w:sz w:val="28"/>
                <w:szCs w:val="28"/>
                <w:highlight w:val="none"/>
                <w:u w:val="none"/>
              </w:rPr>
            </w:pPr>
            <w:r>
              <w:rPr>
                <w:rFonts w:hint="eastAsia" w:ascii="Times New Roman" w:hAnsi="Times New Roman" w:eastAsia="仿宋_GB2312" w:cs="Times New Roman"/>
                <w:i w:val="0"/>
                <w:iCs w:val="0"/>
                <w:color w:val="auto"/>
                <w:sz w:val="28"/>
                <w:szCs w:val="28"/>
                <w:highlight w:val="none"/>
                <w:u w:val="none"/>
                <w:lang w:val="en-US" w:eastAsia="zh-CN"/>
              </w:rPr>
              <w:t>乡村旅游接待人次增长率</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446E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eastAsia" w:ascii="Times New Roman" w:hAnsi="Times New Roman" w:eastAsia="仿宋_GB2312" w:cs="Times New Roman"/>
                <w:i w:val="0"/>
                <w:iCs w:val="0"/>
                <w:color w:val="auto"/>
                <w:sz w:val="28"/>
                <w:szCs w:val="28"/>
                <w:highlight w:val="none"/>
                <w:u w:val="none"/>
              </w:rPr>
            </w:pPr>
            <w:r>
              <w:rPr>
                <w:rFonts w:hint="eastAsia" w:ascii="Times New Roman" w:hAnsi="Times New Roman" w:eastAsia="仿宋_GB2312" w:cs="Times New Roman"/>
                <w:i w:val="0"/>
                <w:iCs w:val="0"/>
                <w:color w:val="auto"/>
                <w:sz w:val="28"/>
                <w:szCs w:val="28"/>
                <w:highlight w:val="none"/>
                <w:u w:val="none"/>
                <w:lang w:val="en-US" w:eastAsia="zh-CN"/>
              </w:rPr>
              <w:t>≥5%</w:t>
            </w:r>
          </w:p>
        </w:tc>
        <w:tc>
          <w:tcPr>
            <w:tcW w:w="1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892D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eastAsia" w:ascii="Times New Roman" w:hAnsi="Times New Roman" w:eastAsia="仿宋_GB2312" w:cs="Times New Roman"/>
                <w:i w:val="0"/>
                <w:iCs w:val="0"/>
                <w:color w:val="auto"/>
                <w:sz w:val="28"/>
                <w:szCs w:val="28"/>
                <w:highlight w:val="none"/>
                <w:u w:val="none"/>
              </w:rPr>
            </w:pPr>
            <w:r>
              <w:rPr>
                <w:rFonts w:hint="eastAsia" w:ascii="Times New Roman" w:hAnsi="Times New Roman" w:eastAsia="仿宋_GB2312" w:cs="Times New Roman"/>
                <w:i w:val="0"/>
                <w:iCs w:val="0"/>
                <w:color w:val="auto"/>
                <w:sz w:val="28"/>
                <w:szCs w:val="28"/>
                <w:highlight w:val="none"/>
                <w:u w:val="none"/>
                <w:lang w:val="en-US" w:eastAsia="zh-CN"/>
              </w:rPr>
              <w:t>5.3%</w:t>
            </w:r>
          </w:p>
        </w:tc>
        <w:tc>
          <w:tcPr>
            <w:tcW w:w="1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A6D5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仿宋_GB2312" w:cs="Times New Roman"/>
                <w:i w:val="0"/>
                <w:iCs w:val="0"/>
                <w:color w:val="auto"/>
                <w:sz w:val="28"/>
                <w:szCs w:val="28"/>
                <w:highlight w:val="none"/>
                <w:u w:val="none"/>
                <w:lang w:val="en-US" w:eastAsia="zh-CN"/>
              </w:rPr>
            </w:pPr>
            <w:r>
              <w:rPr>
                <w:rFonts w:hint="eastAsia" w:ascii="Times New Roman" w:hAnsi="Times New Roman" w:eastAsia="仿宋_GB2312" w:cs="Times New Roman"/>
                <w:i w:val="0"/>
                <w:iCs w:val="0"/>
                <w:color w:val="auto"/>
                <w:sz w:val="28"/>
                <w:szCs w:val="28"/>
                <w:highlight w:val="none"/>
                <w:u w:val="none"/>
                <w:lang w:val="en-US" w:eastAsia="zh-CN"/>
              </w:rPr>
              <w:t>已完成</w:t>
            </w:r>
          </w:p>
        </w:tc>
      </w:tr>
      <w:tr w14:paraId="325D5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16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6933E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eastAsia" w:ascii="Times New Roman" w:hAnsi="Times New Roman" w:eastAsia="仿宋_GB2312" w:cs="Times New Roman"/>
                <w:i w:val="0"/>
                <w:iCs w:val="0"/>
                <w:color w:val="auto"/>
                <w:sz w:val="28"/>
                <w:szCs w:val="28"/>
                <w:highlight w:val="none"/>
                <w:u w:val="none"/>
              </w:rPr>
            </w:pP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A0A9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eastAsia" w:ascii="Times New Roman" w:hAnsi="Times New Roman" w:eastAsia="仿宋_GB2312" w:cs="Times New Roman"/>
                <w:i w:val="0"/>
                <w:iCs w:val="0"/>
                <w:color w:val="auto"/>
                <w:sz w:val="28"/>
                <w:szCs w:val="28"/>
                <w:highlight w:val="none"/>
                <w:u w:val="none"/>
              </w:rPr>
            </w:pPr>
            <w:r>
              <w:rPr>
                <w:rFonts w:hint="eastAsia" w:ascii="Times New Roman" w:hAnsi="Times New Roman" w:eastAsia="仿宋_GB2312" w:cs="Times New Roman"/>
                <w:i w:val="0"/>
                <w:iCs w:val="0"/>
                <w:color w:val="auto"/>
                <w:sz w:val="28"/>
                <w:szCs w:val="28"/>
                <w:highlight w:val="none"/>
                <w:u w:val="none"/>
                <w:lang w:val="en-US" w:eastAsia="zh-CN"/>
              </w:rPr>
              <w:t>红色旅游接待人次增长率</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7527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eastAsia" w:ascii="Times New Roman" w:hAnsi="Times New Roman" w:eastAsia="仿宋_GB2312" w:cs="Times New Roman"/>
                <w:i w:val="0"/>
                <w:iCs w:val="0"/>
                <w:color w:val="auto"/>
                <w:sz w:val="28"/>
                <w:szCs w:val="28"/>
                <w:highlight w:val="none"/>
                <w:u w:val="none"/>
              </w:rPr>
            </w:pPr>
            <w:r>
              <w:rPr>
                <w:rFonts w:hint="eastAsia" w:ascii="Times New Roman" w:hAnsi="Times New Roman" w:eastAsia="仿宋_GB2312" w:cs="Times New Roman"/>
                <w:i w:val="0"/>
                <w:iCs w:val="0"/>
                <w:color w:val="auto"/>
                <w:sz w:val="28"/>
                <w:szCs w:val="28"/>
                <w:highlight w:val="none"/>
                <w:u w:val="none"/>
                <w:lang w:val="en-US" w:eastAsia="zh-CN"/>
              </w:rPr>
              <w:t>≥5%</w:t>
            </w:r>
          </w:p>
        </w:tc>
        <w:tc>
          <w:tcPr>
            <w:tcW w:w="1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5674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eastAsia" w:ascii="Times New Roman" w:hAnsi="Times New Roman" w:eastAsia="仿宋_GB2312" w:cs="Times New Roman"/>
                <w:i w:val="0"/>
                <w:iCs w:val="0"/>
                <w:color w:val="auto"/>
                <w:sz w:val="28"/>
                <w:szCs w:val="28"/>
                <w:highlight w:val="none"/>
                <w:u w:val="none"/>
              </w:rPr>
            </w:pPr>
            <w:r>
              <w:rPr>
                <w:rFonts w:hint="eastAsia" w:ascii="Times New Roman" w:hAnsi="Times New Roman" w:eastAsia="仿宋_GB2312" w:cs="Times New Roman"/>
                <w:i w:val="0"/>
                <w:iCs w:val="0"/>
                <w:color w:val="auto"/>
                <w:sz w:val="28"/>
                <w:szCs w:val="28"/>
                <w:highlight w:val="none"/>
                <w:u w:val="none"/>
                <w:lang w:val="en-US" w:eastAsia="zh-CN"/>
              </w:rPr>
              <w:t>5%</w:t>
            </w:r>
          </w:p>
        </w:tc>
        <w:tc>
          <w:tcPr>
            <w:tcW w:w="1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F807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仿宋_GB2312" w:cs="Times New Roman"/>
                <w:i w:val="0"/>
                <w:iCs w:val="0"/>
                <w:color w:val="auto"/>
                <w:sz w:val="28"/>
                <w:szCs w:val="28"/>
                <w:highlight w:val="none"/>
                <w:u w:val="none"/>
                <w:lang w:val="en-US" w:eastAsia="zh-CN"/>
              </w:rPr>
            </w:pPr>
            <w:r>
              <w:rPr>
                <w:rFonts w:hint="eastAsia" w:ascii="Times New Roman" w:hAnsi="Times New Roman" w:eastAsia="仿宋_GB2312" w:cs="Times New Roman"/>
                <w:i w:val="0"/>
                <w:iCs w:val="0"/>
                <w:color w:val="auto"/>
                <w:sz w:val="28"/>
                <w:szCs w:val="28"/>
                <w:highlight w:val="none"/>
                <w:u w:val="none"/>
                <w:lang w:val="en-US" w:eastAsia="zh-CN"/>
              </w:rPr>
              <w:t>已完成</w:t>
            </w:r>
          </w:p>
        </w:tc>
      </w:tr>
    </w:tbl>
    <w:p w14:paraId="3ED06B91">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beforeAutospacing="0" w:afterAutospacing="0" w:line="560" w:lineRule="exact"/>
        <w:ind w:left="0" w:leftChars="0" w:right="0" w:rightChars="0" w:firstLine="640" w:firstLineChars="200"/>
        <w:jc w:val="both"/>
        <w:textAlignment w:val="auto"/>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1）国内旅游收入增长率计划完成值为10%以上，实际完成约9.02%。主要原因：一是在整体消费市场复苏的背景下，游客更倾向于选择性价比高的旅游产品和服务，或在行程中减少非必要开支，从而影响了总收入的整体增速；二是2024年湖南旅游总收入已突破万亿元大关，成为全省六大万亿级产业之一。‌这意味着产业规模已达到一个较高的基数平台。在此背景下，维持高速增长的难度自然增加。</w:t>
      </w:r>
    </w:p>
    <w:p w14:paraId="59EEE2B2">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before="0" w:beforeLines="0" w:beforeAutospacing="0" w:after="0" w:afterLines="0" w:afterAutospacing="0" w:line="560" w:lineRule="exact"/>
        <w:ind w:left="0" w:leftChars="0" w:right="0" w:rightChars="0" w:firstLine="643" w:firstLineChars="200"/>
        <w:jc w:val="both"/>
        <w:textAlignment w:val="auto"/>
        <w:rPr>
          <w:rFonts w:hint="default" w:ascii="Times New Roman" w:hAnsi="Times New Roman" w:eastAsia="仿宋_GB2312" w:cs="Times New Roman"/>
          <w:b/>
          <w:bCs/>
          <w:kern w:val="2"/>
          <w:sz w:val="32"/>
          <w:szCs w:val="32"/>
          <w:lang w:val="en-US" w:eastAsia="zh-CN" w:bidi="ar-SA"/>
        </w:rPr>
      </w:pPr>
      <w:r>
        <w:rPr>
          <w:rFonts w:hint="default" w:ascii="Times New Roman" w:hAnsi="Times New Roman" w:eastAsia="仿宋_GB2312" w:cs="Times New Roman"/>
          <w:b/>
          <w:bCs/>
          <w:kern w:val="2"/>
          <w:sz w:val="32"/>
          <w:szCs w:val="32"/>
          <w:lang w:val="en-US" w:eastAsia="zh-CN" w:bidi="ar-SA"/>
        </w:rPr>
        <w:t>3.满意度指标完成情况</w:t>
      </w:r>
    </w:p>
    <w:p w14:paraId="69CE79CA">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beforeAutospacing="0" w:afterAutospacing="0" w:line="560" w:lineRule="exact"/>
        <w:ind w:left="0" w:leftChars="0" w:right="0" w:rightChars="0" w:firstLine="640" w:firstLineChars="200"/>
        <w:jc w:val="both"/>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旅游公共服务群众满意度为</w:t>
      </w:r>
      <w:r>
        <w:rPr>
          <w:rFonts w:hint="eastAsia" w:ascii="Times New Roman" w:hAnsi="Times New Roman" w:eastAsia="仿宋_GB2312" w:cs="Times New Roman"/>
          <w:color w:val="000000"/>
          <w:kern w:val="2"/>
          <w:sz w:val="32"/>
          <w:szCs w:val="32"/>
          <w:lang w:val="en-US" w:eastAsia="zh-CN" w:bidi="ar-SA"/>
        </w:rPr>
        <w:t>92.4</w:t>
      </w:r>
      <w:r>
        <w:rPr>
          <w:rFonts w:hint="default" w:ascii="Times New Roman" w:hAnsi="Times New Roman" w:eastAsia="仿宋_GB2312" w:cs="Times New Roman"/>
          <w:color w:val="000000"/>
          <w:kern w:val="2"/>
          <w:sz w:val="32"/>
          <w:szCs w:val="32"/>
          <w:lang w:val="en-US" w:eastAsia="zh-CN" w:bidi="ar-SA"/>
        </w:rPr>
        <w:t>%。</w:t>
      </w:r>
    </w:p>
    <w:p w14:paraId="09F0FD1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before="0" w:beforeLines="0" w:beforeAutospacing="0" w:after="0" w:afterLines="0" w:afterAutospacing="0" w:line="560" w:lineRule="exact"/>
        <w:ind w:left="0" w:leftChars="0" w:right="0" w:rightChars="0" w:firstLine="640" w:firstLineChars="200"/>
        <w:jc w:val="both"/>
        <w:textAlignment w:val="auto"/>
        <w:rPr>
          <w:rFonts w:hint="default" w:ascii="Times New Roman" w:hAnsi="Times New Roman" w:eastAsia="黑体" w:cs="Times New Roman"/>
          <w:b w:val="0"/>
          <w:bCs w:val="0"/>
          <w:i w:val="0"/>
          <w:iCs w:val="0"/>
          <w:caps w:val="0"/>
          <w:color w:val="333333"/>
          <w:spacing w:val="0"/>
          <w:sz w:val="32"/>
          <w:szCs w:val="32"/>
        </w:rPr>
      </w:pPr>
      <w:r>
        <w:rPr>
          <w:rFonts w:hint="eastAsia" w:cs="Times New Roman"/>
          <w:b w:val="0"/>
          <w:bCs w:val="0"/>
          <w:i w:val="0"/>
          <w:iCs w:val="0"/>
          <w:caps w:val="0"/>
          <w:color w:val="333333"/>
          <w:spacing w:val="0"/>
          <w:sz w:val="32"/>
          <w:szCs w:val="32"/>
          <w:shd w:val="clear" w:fill="FFFFFF"/>
          <w:lang w:val="en-US" w:eastAsia="zh-CN"/>
        </w:rPr>
        <w:t>三</w:t>
      </w:r>
      <w:r>
        <w:rPr>
          <w:rFonts w:hint="default" w:ascii="Times New Roman" w:hAnsi="Times New Roman" w:eastAsia="黑体" w:cs="Times New Roman"/>
          <w:b w:val="0"/>
          <w:bCs w:val="0"/>
          <w:i w:val="0"/>
          <w:iCs w:val="0"/>
          <w:caps w:val="0"/>
          <w:color w:val="333333"/>
          <w:spacing w:val="0"/>
          <w:sz w:val="32"/>
          <w:szCs w:val="32"/>
          <w:shd w:val="clear" w:fill="FFFFFF"/>
        </w:rPr>
        <w:t>、偏离绩效目标的原因和下一步改进措施</w:t>
      </w:r>
    </w:p>
    <w:p w14:paraId="7702EAD1">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before="0" w:beforeAutospacing="0" w:after="0" w:afterAutospacing="0" w:line="560" w:lineRule="exact"/>
        <w:ind w:left="0" w:leftChars="0" w:right="0" w:rightChars="0" w:firstLine="643" w:firstLineChars="200"/>
        <w:jc w:val="both"/>
        <w:textAlignment w:val="auto"/>
        <w:rPr>
          <w:rFonts w:hint="default" w:ascii="Times New Roman" w:hAnsi="Times New Roman" w:eastAsia="楷体_GB2312" w:cs="Times New Roman"/>
          <w:b/>
          <w:bCs w:val="0"/>
          <w:kern w:val="2"/>
          <w:sz w:val="32"/>
          <w:szCs w:val="32"/>
          <w:lang w:val="en-US" w:eastAsia="zh-CN" w:bidi="ar-SA"/>
        </w:rPr>
      </w:pPr>
      <w:r>
        <w:rPr>
          <w:rFonts w:hint="default" w:ascii="Times New Roman" w:hAnsi="Times New Roman" w:eastAsia="楷体_GB2312" w:cs="Times New Roman"/>
          <w:b/>
          <w:bCs w:val="0"/>
          <w:kern w:val="2"/>
          <w:sz w:val="32"/>
          <w:szCs w:val="32"/>
          <w:lang w:val="en-US" w:eastAsia="zh-CN" w:bidi="ar-SA"/>
        </w:rPr>
        <w:t>（一）偏离绩效目标的原因</w:t>
      </w:r>
    </w:p>
    <w:p w14:paraId="5EF56EA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line="560" w:lineRule="exact"/>
        <w:ind w:left="0" w:leftChars="0" w:right="0" w:rightChars="0" w:firstLine="643" w:firstLineChars="200"/>
        <w:textAlignment w:val="auto"/>
        <w:rPr>
          <w:rFonts w:hint="default" w:ascii="Times New Roman" w:hAnsi="Times New Roman" w:eastAsia="仿宋_GB2312" w:cs="Times New Roman"/>
          <w:b/>
          <w:bCs/>
          <w:color w:val="000000"/>
          <w:kern w:val="2"/>
          <w:sz w:val="32"/>
          <w:szCs w:val="32"/>
          <w:lang w:val="en-US" w:eastAsia="zh-CN" w:bidi="ar-SA"/>
        </w:rPr>
      </w:pPr>
      <w:bookmarkStart w:id="0" w:name="_Toc18459"/>
      <w:bookmarkStart w:id="1" w:name="_Toc4145"/>
      <w:bookmarkStart w:id="2" w:name="_Toc31978"/>
      <w:r>
        <w:rPr>
          <w:rFonts w:hint="eastAsia" w:ascii="Times New Roman" w:hAnsi="Times New Roman" w:eastAsia="仿宋_GB2312" w:cs="Times New Roman"/>
          <w:b/>
          <w:bCs/>
          <w:color w:val="000000"/>
          <w:kern w:val="2"/>
          <w:sz w:val="32"/>
          <w:szCs w:val="32"/>
          <w:lang w:val="en-US" w:eastAsia="zh-CN" w:bidi="ar-SA"/>
        </w:rPr>
        <w:t>1.</w:t>
      </w:r>
      <w:r>
        <w:rPr>
          <w:rFonts w:hint="default" w:ascii="Times New Roman" w:hAnsi="Times New Roman" w:eastAsia="仿宋_GB2312" w:cs="Times New Roman"/>
          <w:b/>
          <w:bCs/>
          <w:color w:val="000000"/>
          <w:kern w:val="2"/>
          <w:sz w:val="32"/>
          <w:szCs w:val="32"/>
          <w:lang w:val="en-US" w:eastAsia="zh-CN" w:bidi="ar-SA"/>
        </w:rPr>
        <w:t>资金</w:t>
      </w:r>
      <w:r>
        <w:rPr>
          <w:rFonts w:hint="eastAsia" w:ascii="Times New Roman" w:hAnsi="Times New Roman" w:eastAsia="仿宋_GB2312" w:cs="Times New Roman"/>
          <w:b/>
          <w:bCs/>
          <w:color w:val="000000"/>
          <w:kern w:val="2"/>
          <w:sz w:val="32"/>
          <w:szCs w:val="32"/>
          <w:lang w:val="en-US" w:eastAsia="zh-CN" w:bidi="ar-SA"/>
        </w:rPr>
        <w:t>分配</w:t>
      </w:r>
      <w:r>
        <w:rPr>
          <w:rFonts w:hint="default" w:ascii="Times New Roman" w:hAnsi="Times New Roman" w:eastAsia="仿宋_GB2312" w:cs="Times New Roman"/>
          <w:b/>
          <w:bCs/>
          <w:color w:val="000000"/>
          <w:kern w:val="2"/>
          <w:sz w:val="32"/>
          <w:szCs w:val="32"/>
          <w:lang w:val="en-US" w:eastAsia="zh-CN" w:bidi="ar-SA"/>
        </w:rPr>
        <w:t>使用需进一步规范</w:t>
      </w:r>
      <w:bookmarkEnd w:id="0"/>
      <w:bookmarkEnd w:id="1"/>
    </w:p>
    <w:p w14:paraId="530B536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line="560" w:lineRule="exact"/>
        <w:ind w:left="0" w:leftChars="0" w:right="0" w:rightChars="0" w:firstLine="640"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预算执行进度较缓慢。资金支付流程有待优化，资金使用效率需要进一步提升。目前各项目单位正积极与财政部门协调沟通，加快资金支付进度。</w:t>
      </w:r>
    </w:p>
    <w:p w14:paraId="0695FEB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line="560" w:lineRule="exact"/>
        <w:ind w:left="0" w:leftChars="0" w:right="0" w:rightChars="0" w:firstLine="643" w:firstLineChars="200"/>
        <w:textAlignment w:val="auto"/>
        <w:rPr>
          <w:rFonts w:hint="default" w:ascii="Times New Roman" w:hAnsi="Times New Roman" w:eastAsia="仿宋_GB2312" w:cs="Times New Roman"/>
          <w:b/>
          <w:bCs/>
          <w:color w:val="000000"/>
          <w:kern w:val="2"/>
          <w:sz w:val="32"/>
          <w:szCs w:val="32"/>
          <w:lang w:val="en-US" w:eastAsia="zh-CN" w:bidi="ar-SA"/>
        </w:rPr>
      </w:pPr>
      <w:bookmarkStart w:id="3" w:name="_Toc7679"/>
      <w:bookmarkStart w:id="4" w:name="_Toc25159"/>
      <w:r>
        <w:rPr>
          <w:rFonts w:hint="eastAsia" w:ascii="Times New Roman" w:hAnsi="Times New Roman" w:eastAsia="仿宋_GB2312" w:cs="Times New Roman"/>
          <w:b/>
          <w:bCs/>
          <w:color w:val="000000"/>
          <w:kern w:val="2"/>
          <w:sz w:val="32"/>
          <w:szCs w:val="32"/>
          <w:lang w:val="en-US" w:eastAsia="zh-CN" w:bidi="ar-SA"/>
        </w:rPr>
        <w:t>2.</w:t>
      </w:r>
      <w:r>
        <w:rPr>
          <w:rFonts w:hint="default" w:ascii="Times New Roman" w:hAnsi="Times New Roman" w:eastAsia="仿宋_GB2312" w:cs="Times New Roman"/>
          <w:b/>
          <w:bCs/>
          <w:color w:val="000000"/>
          <w:kern w:val="2"/>
          <w:sz w:val="32"/>
          <w:szCs w:val="32"/>
          <w:lang w:val="en-US" w:eastAsia="zh-CN" w:bidi="ar-SA"/>
        </w:rPr>
        <w:t>项目实施进度不达预期</w:t>
      </w:r>
      <w:bookmarkEnd w:id="3"/>
      <w:bookmarkEnd w:id="4"/>
    </w:p>
    <w:p w14:paraId="33635AD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line="560" w:lineRule="exact"/>
        <w:ind w:left="0" w:leftChars="0" w:right="0" w:rightChars="0" w:firstLine="640"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部分项目</w:t>
      </w:r>
      <w:r>
        <w:rPr>
          <w:rFonts w:hint="default" w:ascii="Times New Roman" w:hAnsi="Times New Roman" w:eastAsia="仿宋_GB2312" w:cs="Times New Roman"/>
          <w:color w:val="000000"/>
          <w:kern w:val="2"/>
          <w:sz w:val="32"/>
          <w:szCs w:val="32"/>
          <w:lang w:val="en-US" w:eastAsia="zh-CN" w:bidi="ar-SA"/>
        </w:rPr>
        <w:t>前期筹备工作耗时过长，</w:t>
      </w:r>
      <w:r>
        <w:rPr>
          <w:rFonts w:hint="eastAsia" w:ascii="Times New Roman" w:hAnsi="Times New Roman" w:eastAsia="仿宋_GB2312" w:cs="Times New Roman"/>
          <w:color w:val="000000"/>
          <w:kern w:val="2"/>
          <w:sz w:val="32"/>
          <w:szCs w:val="32"/>
          <w:lang w:val="en-US" w:eastAsia="zh-CN" w:bidi="ar-SA"/>
        </w:rPr>
        <w:t>导致项目推进进度缓慢，仍</w:t>
      </w:r>
      <w:r>
        <w:rPr>
          <w:rFonts w:hint="default" w:ascii="Times New Roman" w:hAnsi="Times New Roman" w:eastAsia="仿宋_GB2312" w:cs="Times New Roman"/>
          <w:color w:val="000000"/>
          <w:kern w:val="2"/>
          <w:sz w:val="32"/>
          <w:szCs w:val="32"/>
          <w:lang w:val="en-US" w:eastAsia="zh-CN" w:bidi="ar-SA"/>
        </w:rPr>
        <w:t>未完成实施，项目资金尚未支出。</w:t>
      </w:r>
    </w:p>
    <w:p w14:paraId="05719279">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before="0" w:beforeAutospacing="0" w:after="0" w:afterAutospacing="0" w:line="560" w:lineRule="exact"/>
        <w:ind w:left="0" w:leftChars="0" w:right="0" w:rightChars="0" w:firstLine="643" w:firstLineChars="200"/>
        <w:jc w:val="both"/>
        <w:textAlignment w:val="auto"/>
        <w:rPr>
          <w:rFonts w:hint="default" w:ascii="Times New Roman" w:hAnsi="Times New Roman" w:eastAsia="楷体_GB2312" w:cs="Times New Roman"/>
          <w:b/>
          <w:bCs w:val="0"/>
          <w:kern w:val="2"/>
          <w:sz w:val="32"/>
          <w:szCs w:val="32"/>
          <w:lang w:val="en-US" w:eastAsia="zh-CN" w:bidi="ar-SA"/>
        </w:rPr>
      </w:pPr>
      <w:r>
        <w:rPr>
          <w:rFonts w:hint="default" w:ascii="Times New Roman" w:hAnsi="Times New Roman" w:eastAsia="楷体_GB2312" w:cs="Times New Roman"/>
          <w:b/>
          <w:bCs w:val="0"/>
          <w:kern w:val="2"/>
          <w:sz w:val="32"/>
          <w:szCs w:val="32"/>
          <w:lang w:val="en-US" w:eastAsia="zh-CN" w:bidi="ar-SA"/>
        </w:rPr>
        <w:t>（二）下一步改进措施</w:t>
      </w:r>
      <w:bookmarkEnd w:id="2"/>
    </w:p>
    <w:p w14:paraId="3F5CE76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line="560" w:lineRule="exact"/>
        <w:ind w:left="0" w:leftChars="0" w:right="0" w:rightChars="0" w:firstLine="640"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一是加强协同监管。会同省财政明确文旅项目申报流程，健全</w:t>
      </w:r>
      <w:r>
        <w:rPr>
          <w:rFonts w:hint="eastAsia" w:ascii="仿宋_GB2312" w:hAnsi="仿宋_GB2312" w:eastAsia="仿宋_GB2312" w:cs="仿宋_GB2312"/>
          <w:color w:val="000000"/>
          <w:kern w:val="2"/>
          <w:sz w:val="32"/>
          <w:szCs w:val="32"/>
          <w:lang w:val="en-US" w:eastAsia="zh-CN" w:bidi="ar-SA"/>
        </w:rPr>
        <w:t>“项目单位申报、文旅部门行业审核、财政部门合规复核”</w:t>
      </w:r>
      <w:r>
        <w:rPr>
          <w:rFonts w:hint="default" w:ascii="Times New Roman" w:hAnsi="Times New Roman" w:eastAsia="仿宋_GB2312" w:cs="Times New Roman"/>
          <w:color w:val="000000"/>
          <w:kern w:val="2"/>
          <w:sz w:val="32"/>
          <w:szCs w:val="32"/>
          <w:lang w:val="en-US" w:eastAsia="zh-CN" w:bidi="ar-SA"/>
        </w:rPr>
        <w:t>的联审机制，未按流程申报项目不予资金支持。</w:t>
      </w:r>
    </w:p>
    <w:p w14:paraId="217497E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line="560" w:lineRule="exact"/>
        <w:ind w:left="0" w:leftChars="0" w:right="0" w:rightChars="0" w:firstLine="640"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二是优化资金分配。结合区域文旅发展基础、上年度资金使用效率及项目可行性评估结果分配资金、申报项目质量，确保资金用于优质项目。</w:t>
      </w:r>
    </w:p>
    <w:p w14:paraId="6C96A48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line="560" w:lineRule="exact"/>
        <w:ind w:left="0" w:leftChars="0" w:right="0" w:rightChars="0" w:firstLine="640"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三是加快预算执行。强化前期规划衔接，优化前期筹备，建立项目储备库和项目滚动机制，在年度末前完成资金需求测算与指标下达，预留充足执行时间；优化支付流程，压缩审批时限，进一步健全进度督办通报机制，将资金执行情况与后续资源分配挂钩。</w:t>
      </w:r>
    </w:p>
    <w:p w14:paraId="455A9EA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line="560" w:lineRule="exact"/>
        <w:ind w:left="0" w:leftChars="0" w:right="0" w:rightChars="0" w:firstLine="640"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四是强化宣传推广。针对目标客群搭建</w:t>
      </w:r>
      <w:r>
        <w:rPr>
          <w:rFonts w:hint="eastAsia" w:ascii="仿宋_GB2312" w:hAnsi="仿宋_GB2312" w:eastAsia="仿宋_GB2312" w:cs="仿宋_GB2312"/>
          <w:color w:val="000000"/>
          <w:kern w:val="2"/>
          <w:sz w:val="32"/>
          <w:szCs w:val="32"/>
          <w:lang w:val="en-US" w:eastAsia="zh-CN" w:bidi="ar-SA"/>
        </w:rPr>
        <w:t>“线上+线下”宣</w:t>
      </w:r>
      <w:r>
        <w:rPr>
          <w:rFonts w:hint="default" w:ascii="Times New Roman" w:hAnsi="Times New Roman" w:eastAsia="仿宋_GB2312" w:cs="Times New Roman"/>
          <w:color w:val="000000"/>
          <w:kern w:val="2"/>
          <w:sz w:val="32"/>
          <w:szCs w:val="32"/>
          <w:lang w:val="en-US" w:eastAsia="zh-CN" w:bidi="ar-SA"/>
        </w:rPr>
        <w:t>传矩阵，定期评估宣传效果，及时调整资源投入方向。</w:t>
      </w:r>
    </w:p>
    <w:p w14:paraId="26C12CD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before="0" w:beforeLines="0" w:beforeAutospacing="0" w:after="0" w:afterLines="0" w:afterAutospacing="0" w:line="560" w:lineRule="exact"/>
        <w:ind w:left="0" w:leftChars="0" w:right="0" w:rightChars="0" w:firstLine="640" w:firstLineChars="200"/>
        <w:jc w:val="both"/>
        <w:textAlignment w:val="auto"/>
        <w:rPr>
          <w:rFonts w:hint="default" w:ascii="Times New Roman" w:hAnsi="Times New Roman" w:eastAsia="黑体" w:cs="Times New Roman"/>
          <w:b w:val="0"/>
          <w:bCs w:val="0"/>
          <w:i w:val="0"/>
          <w:iCs w:val="0"/>
          <w:caps w:val="0"/>
          <w:color w:val="333333"/>
          <w:spacing w:val="0"/>
          <w:sz w:val="32"/>
          <w:szCs w:val="32"/>
        </w:rPr>
      </w:pPr>
      <w:r>
        <w:rPr>
          <w:rFonts w:hint="eastAsia" w:cs="Times New Roman"/>
          <w:b w:val="0"/>
          <w:bCs w:val="0"/>
          <w:i w:val="0"/>
          <w:iCs w:val="0"/>
          <w:caps w:val="0"/>
          <w:color w:val="333333"/>
          <w:spacing w:val="0"/>
          <w:sz w:val="32"/>
          <w:szCs w:val="32"/>
          <w:shd w:val="clear" w:fill="FFFFFF"/>
          <w:lang w:val="en-US" w:eastAsia="zh-CN"/>
        </w:rPr>
        <w:t>四</w:t>
      </w:r>
      <w:r>
        <w:rPr>
          <w:rFonts w:hint="default" w:ascii="Times New Roman" w:hAnsi="Times New Roman" w:eastAsia="黑体" w:cs="Times New Roman"/>
          <w:b w:val="0"/>
          <w:bCs w:val="0"/>
          <w:i w:val="0"/>
          <w:iCs w:val="0"/>
          <w:caps w:val="0"/>
          <w:color w:val="333333"/>
          <w:spacing w:val="0"/>
          <w:sz w:val="32"/>
          <w:szCs w:val="32"/>
          <w:shd w:val="clear" w:fill="FFFFFF"/>
        </w:rPr>
        <w:t>、绩效自评结果拟应用和公开情况</w:t>
      </w:r>
    </w:p>
    <w:p w14:paraId="14D06F64">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before="0" w:beforeAutospacing="0" w:after="0" w:afterAutospacing="0" w:line="560" w:lineRule="exact"/>
        <w:ind w:left="0" w:leftChars="0" w:right="0" w:rightChars="0" w:firstLine="643" w:firstLineChars="200"/>
        <w:jc w:val="both"/>
        <w:textAlignment w:val="auto"/>
        <w:rPr>
          <w:rFonts w:hint="default" w:ascii="Times New Roman" w:hAnsi="Times New Roman" w:eastAsia="楷体_GB2312" w:cs="Times New Roman"/>
          <w:b/>
          <w:bCs w:val="0"/>
          <w:kern w:val="2"/>
          <w:sz w:val="32"/>
          <w:szCs w:val="32"/>
          <w:lang w:val="en-US" w:eastAsia="zh-CN" w:bidi="ar-SA"/>
        </w:rPr>
      </w:pPr>
      <w:r>
        <w:rPr>
          <w:rFonts w:hint="default" w:ascii="Times New Roman" w:hAnsi="Times New Roman" w:eastAsia="楷体_GB2312" w:cs="Times New Roman"/>
          <w:b/>
          <w:bCs w:val="0"/>
          <w:kern w:val="2"/>
          <w:sz w:val="32"/>
          <w:szCs w:val="32"/>
          <w:lang w:val="en-US" w:eastAsia="zh-CN" w:bidi="ar-SA"/>
        </w:rPr>
        <w:t>（一）绩效自评结果的应用</w:t>
      </w:r>
    </w:p>
    <w:p w14:paraId="2413EC65">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beforeAutospacing="0" w:afterAutospacing="0" w:line="560" w:lineRule="exact"/>
        <w:ind w:left="0" w:right="0" w:firstLine="640" w:firstLineChars="200"/>
        <w:jc w:val="both"/>
        <w:textAlignment w:val="auto"/>
        <w:rPr>
          <w:rFonts w:hint="default" w:ascii="Times New Roman" w:hAnsi="Times New Roman" w:eastAsia="仿宋_GB2312" w:cs="Times New Roman"/>
          <w:b w:val="0"/>
          <w:bCs w:val="0"/>
          <w:color w:val="000000"/>
          <w:kern w:val="2"/>
          <w:sz w:val="32"/>
          <w:szCs w:val="32"/>
          <w:lang w:val="en-US" w:eastAsia="zh-CN" w:bidi="ar-SA"/>
        </w:rPr>
      </w:pPr>
      <w:r>
        <w:rPr>
          <w:rFonts w:hint="default" w:ascii="Times New Roman" w:hAnsi="Times New Roman" w:eastAsia="仿宋_GB2312" w:cs="Times New Roman"/>
          <w:b w:val="0"/>
          <w:bCs w:val="0"/>
          <w:color w:val="000000"/>
          <w:kern w:val="2"/>
          <w:sz w:val="32"/>
          <w:szCs w:val="32"/>
          <w:lang w:val="en-US" w:eastAsia="zh-CN" w:bidi="ar-SA"/>
        </w:rPr>
        <w:t>绩效评价结果应用是提升专项资金管理水平和使用效益的重要手段，2025年度</w:t>
      </w:r>
      <w:r>
        <w:rPr>
          <w:rFonts w:hint="eastAsia" w:ascii="Times New Roman" w:hAnsi="Times New Roman" w:eastAsia="仿宋_GB2312" w:cs="Times New Roman"/>
          <w:b w:val="0"/>
          <w:bCs w:val="0"/>
          <w:color w:val="000000"/>
          <w:kern w:val="2"/>
          <w:sz w:val="32"/>
          <w:szCs w:val="32"/>
          <w:lang w:val="en-US" w:eastAsia="zh-CN" w:bidi="ar-SA"/>
        </w:rPr>
        <w:t>旅游发展基金补助地方项目</w:t>
      </w:r>
      <w:r>
        <w:rPr>
          <w:rFonts w:hint="default" w:ascii="Times New Roman" w:hAnsi="Times New Roman" w:eastAsia="仿宋_GB2312" w:cs="Times New Roman"/>
          <w:b w:val="0"/>
          <w:bCs w:val="0"/>
          <w:color w:val="000000"/>
          <w:kern w:val="2"/>
          <w:sz w:val="32"/>
          <w:szCs w:val="32"/>
          <w:lang w:val="en-US" w:eastAsia="zh-CN" w:bidi="ar-SA"/>
        </w:rPr>
        <w:t>资金绩效自评结果将重点应用于以下方面：​</w:t>
      </w:r>
    </w:p>
    <w:p w14:paraId="08779EB8">
      <w:pPr>
        <w:pStyle w:val="9"/>
        <w:keepNext w:val="0"/>
        <w:keepLines w:val="0"/>
        <w:pageBreakBefore w:val="0"/>
        <w:widowControl w:val="0"/>
        <w:numPr>
          <w:ilvl w:val="0"/>
          <w:numId w:val="3"/>
        </w:numPr>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beforeAutospacing="0" w:afterAutospacing="0" w:line="560" w:lineRule="exact"/>
        <w:ind w:left="0" w:leftChars="0" w:right="0" w:firstLine="640" w:firstLineChars="200"/>
        <w:jc w:val="both"/>
        <w:textAlignment w:val="auto"/>
        <w:rPr>
          <w:rFonts w:hint="default" w:ascii="Times New Roman" w:hAnsi="Times New Roman" w:eastAsia="仿宋_GB2312" w:cs="Times New Roman"/>
          <w:b w:val="0"/>
          <w:bCs w:val="0"/>
          <w:color w:val="000000"/>
          <w:kern w:val="2"/>
          <w:sz w:val="32"/>
          <w:szCs w:val="32"/>
          <w:lang w:val="en-US" w:eastAsia="zh-CN" w:bidi="ar-SA"/>
        </w:rPr>
      </w:pPr>
      <w:r>
        <w:rPr>
          <w:rFonts w:hint="default" w:ascii="Times New Roman" w:hAnsi="Times New Roman" w:eastAsia="仿宋_GB2312" w:cs="Times New Roman"/>
          <w:b w:val="0"/>
          <w:bCs w:val="0"/>
          <w:color w:val="000000"/>
          <w:kern w:val="2"/>
          <w:sz w:val="32"/>
          <w:szCs w:val="32"/>
          <w:lang w:val="en-US" w:eastAsia="zh-CN" w:bidi="ar-SA"/>
        </w:rPr>
        <w:t>以自评促优化。将自评结果作为2026年度</w:t>
      </w:r>
      <w:r>
        <w:rPr>
          <w:rFonts w:hint="eastAsia" w:ascii="Times New Roman" w:hAnsi="Times New Roman" w:eastAsia="仿宋_GB2312" w:cs="Times New Roman"/>
          <w:b w:val="0"/>
          <w:bCs w:val="0"/>
          <w:color w:val="000000"/>
          <w:kern w:val="2"/>
          <w:sz w:val="32"/>
          <w:szCs w:val="32"/>
          <w:lang w:val="en-US" w:eastAsia="zh-CN" w:bidi="ar-SA"/>
        </w:rPr>
        <w:t>旅游发展</w:t>
      </w:r>
      <w:r>
        <w:rPr>
          <w:rFonts w:hint="default" w:ascii="Times New Roman" w:hAnsi="Times New Roman" w:eastAsia="仿宋_GB2312" w:cs="Times New Roman"/>
          <w:b w:val="0"/>
          <w:bCs w:val="0"/>
          <w:color w:val="000000"/>
          <w:kern w:val="2"/>
          <w:sz w:val="32"/>
          <w:szCs w:val="32"/>
          <w:lang w:val="en-US" w:eastAsia="zh-CN" w:bidi="ar-SA"/>
        </w:rPr>
        <w:t>专项资金预算编制、项目安排的重要依据，对绩效表现优异的市州和项目单位，在资金分配、项目申报等方面予以优先支持；对存在小幅短板的工作领域，针对性优化项目规划和资金配置。</w:t>
      </w:r>
    </w:p>
    <w:p w14:paraId="3243944F">
      <w:pPr>
        <w:pStyle w:val="9"/>
        <w:keepNext w:val="0"/>
        <w:keepLines w:val="0"/>
        <w:pageBreakBefore w:val="0"/>
        <w:widowControl w:val="0"/>
        <w:numPr>
          <w:ilvl w:val="0"/>
          <w:numId w:val="3"/>
        </w:numPr>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beforeAutospacing="0" w:afterAutospacing="0" w:line="560" w:lineRule="exact"/>
        <w:ind w:left="0" w:leftChars="0" w:right="0" w:firstLine="640" w:firstLineChars="200"/>
        <w:jc w:val="both"/>
        <w:textAlignment w:val="auto"/>
        <w:rPr>
          <w:rFonts w:hint="default" w:ascii="Times New Roman" w:hAnsi="Times New Roman" w:eastAsia="仿宋_GB2312" w:cs="Times New Roman"/>
          <w:b w:val="0"/>
          <w:bCs w:val="0"/>
          <w:color w:val="000000"/>
          <w:kern w:val="2"/>
          <w:sz w:val="32"/>
          <w:szCs w:val="32"/>
          <w:lang w:val="en-US" w:eastAsia="zh-CN" w:bidi="ar-SA"/>
        </w:rPr>
      </w:pPr>
      <w:r>
        <w:rPr>
          <w:rFonts w:hint="default" w:ascii="Times New Roman" w:hAnsi="Times New Roman" w:eastAsia="仿宋_GB2312" w:cs="Times New Roman"/>
          <w:b w:val="0"/>
          <w:bCs w:val="0"/>
          <w:color w:val="000000"/>
          <w:kern w:val="2"/>
          <w:sz w:val="32"/>
          <w:szCs w:val="32"/>
          <w:lang w:val="en-US" w:eastAsia="zh-CN" w:bidi="ar-SA"/>
        </w:rPr>
        <w:t>以自评促提升。及时将自评结果和问题整改要求反馈至各项目实施单位，督促相关单位对照问题制定整改方案，限期完成整改，并将整改情况纳入下一年度绩效评价内容，形成</w:t>
      </w:r>
      <w:r>
        <w:rPr>
          <w:rFonts w:hint="eastAsia" w:ascii="仿宋_GB2312" w:hAnsi="仿宋_GB2312" w:eastAsia="仿宋_GB2312" w:cs="仿宋_GB2312"/>
          <w:b w:val="0"/>
          <w:bCs w:val="0"/>
          <w:color w:val="000000"/>
          <w:kern w:val="2"/>
          <w:sz w:val="32"/>
          <w:szCs w:val="32"/>
          <w:lang w:val="en-US" w:eastAsia="zh-CN" w:bidi="ar-SA"/>
        </w:rPr>
        <w:t>“评价—整改—提升”</w:t>
      </w:r>
      <w:r>
        <w:rPr>
          <w:rFonts w:hint="default" w:ascii="Times New Roman" w:hAnsi="Times New Roman" w:eastAsia="仿宋_GB2312" w:cs="Times New Roman"/>
          <w:b w:val="0"/>
          <w:bCs w:val="0"/>
          <w:color w:val="000000"/>
          <w:kern w:val="2"/>
          <w:sz w:val="32"/>
          <w:szCs w:val="32"/>
          <w:lang w:val="en-US" w:eastAsia="zh-CN" w:bidi="ar-SA"/>
        </w:rPr>
        <w:t>的闭环管理机制。</w:t>
      </w:r>
    </w:p>
    <w:p w14:paraId="657EAEEF">
      <w:pPr>
        <w:pStyle w:val="9"/>
        <w:keepNext w:val="0"/>
        <w:keepLines w:val="0"/>
        <w:pageBreakBefore w:val="0"/>
        <w:widowControl w:val="0"/>
        <w:numPr>
          <w:ilvl w:val="0"/>
          <w:numId w:val="3"/>
        </w:numPr>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beforeAutospacing="0" w:afterAutospacing="0" w:line="560" w:lineRule="exact"/>
        <w:ind w:left="0" w:leftChars="0" w:right="0" w:firstLine="640" w:firstLineChars="200"/>
        <w:jc w:val="both"/>
        <w:textAlignment w:val="auto"/>
        <w:rPr>
          <w:rFonts w:hint="default" w:ascii="Times New Roman" w:hAnsi="Times New Roman" w:eastAsia="仿宋_GB2312" w:cs="Times New Roman"/>
          <w:b w:val="0"/>
          <w:bCs w:val="0"/>
          <w:color w:val="000000"/>
          <w:kern w:val="2"/>
          <w:sz w:val="32"/>
          <w:szCs w:val="32"/>
          <w:lang w:val="en-US" w:eastAsia="zh-CN" w:bidi="ar-SA"/>
        </w:rPr>
      </w:pPr>
      <w:r>
        <w:rPr>
          <w:rFonts w:hint="default" w:ascii="Times New Roman" w:hAnsi="Times New Roman" w:eastAsia="仿宋_GB2312" w:cs="Times New Roman"/>
          <w:b w:val="0"/>
          <w:bCs w:val="0"/>
          <w:color w:val="000000"/>
          <w:kern w:val="2"/>
          <w:sz w:val="32"/>
          <w:szCs w:val="32"/>
          <w:lang w:val="en-US" w:eastAsia="zh-CN" w:bidi="ar-SA"/>
        </w:rPr>
        <w:t>以自评促推广。总结提炼2025年度</w:t>
      </w:r>
      <w:r>
        <w:rPr>
          <w:rFonts w:hint="eastAsia" w:ascii="Times New Roman" w:hAnsi="Times New Roman" w:eastAsia="仿宋_GB2312" w:cs="Times New Roman"/>
          <w:b w:val="0"/>
          <w:bCs w:val="0"/>
          <w:color w:val="000000"/>
          <w:kern w:val="2"/>
          <w:sz w:val="32"/>
          <w:szCs w:val="32"/>
          <w:lang w:val="en-US" w:eastAsia="zh-CN" w:bidi="ar-SA"/>
        </w:rPr>
        <w:t>旅游发展</w:t>
      </w:r>
      <w:r>
        <w:rPr>
          <w:rFonts w:hint="default" w:ascii="Times New Roman" w:hAnsi="Times New Roman" w:eastAsia="仿宋_GB2312" w:cs="Times New Roman"/>
          <w:b w:val="0"/>
          <w:bCs w:val="0"/>
          <w:color w:val="000000"/>
          <w:kern w:val="2"/>
          <w:sz w:val="32"/>
          <w:szCs w:val="32"/>
          <w:lang w:val="en-US" w:eastAsia="zh-CN" w:bidi="ar-SA"/>
        </w:rPr>
        <w:t>工作中的优秀经验和典型案例，在全省范围内进行推广，发挥示范引领作用，推动全省非遗保护工作整体提质增效。</w:t>
      </w:r>
    </w:p>
    <w:p w14:paraId="007663AB">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before="0" w:beforeAutospacing="0" w:after="0" w:afterAutospacing="0" w:line="560" w:lineRule="exact"/>
        <w:ind w:left="0" w:leftChars="0" w:right="0" w:rightChars="0" w:firstLine="643" w:firstLineChars="200"/>
        <w:jc w:val="both"/>
        <w:textAlignment w:val="auto"/>
        <w:rPr>
          <w:rFonts w:hint="default" w:ascii="Times New Roman" w:hAnsi="Times New Roman" w:eastAsia="楷体_GB2312" w:cs="Times New Roman"/>
          <w:b/>
          <w:bCs w:val="0"/>
          <w:kern w:val="2"/>
          <w:sz w:val="32"/>
          <w:szCs w:val="32"/>
          <w:lang w:val="en-US" w:eastAsia="zh-CN" w:bidi="ar-SA"/>
        </w:rPr>
      </w:pPr>
      <w:r>
        <w:rPr>
          <w:rFonts w:hint="default" w:ascii="Times New Roman" w:hAnsi="Times New Roman" w:eastAsia="楷体_GB2312" w:cs="Times New Roman"/>
          <w:b/>
          <w:bCs w:val="0"/>
          <w:kern w:val="2"/>
          <w:sz w:val="32"/>
          <w:szCs w:val="32"/>
          <w:lang w:val="en-US" w:eastAsia="zh-CN" w:bidi="ar-SA"/>
        </w:rPr>
        <w:t>（二）绩效自评结果公开情况</w:t>
      </w:r>
    </w:p>
    <w:p w14:paraId="4B21542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line="560" w:lineRule="exact"/>
        <w:ind w:left="0" w:leftChars="0" w:right="0" w:rightChars="0" w:firstLine="640" w:firstLineChars="200"/>
        <w:textAlignment w:val="auto"/>
        <w:rPr>
          <w:rFonts w:hint="default" w:ascii="Times New Roman" w:hAnsi="Times New Roman" w:eastAsia="仿宋_GB2312" w:cs="Times New Roman"/>
          <w:b w:val="0"/>
          <w:bCs w:val="0"/>
          <w:color w:val="000000"/>
          <w:kern w:val="2"/>
          <w:sz w:val="32"/>
          <w:szCs w:val="32"/>
          <w:lang w:val="en-US" w:eastAsia="zh-CN" w:bidi="ar-SA"/>
        </w:rPr>
      </w:pPr>
      <w:r>
        <w:rPr>
          <w:rFonts w:hint="default" w:ascii="Times New Roman" w:hAnsi="Times New Roman" w:eastAsia="仿宋_GB2312" w:cs="Times New Roman"/>
          <w:b w:val="0"/>
          <w:bCs w:val="0"/>
          <w:color w:val="000000"/>
          <w:kern w:val="2"/>
          <w:sz w:val="32"/>
          <w:szCs w:val="32"/>
          <w:lang w:val="en-US" w:eastAsia="zh-CN" w:bidi="ar-SA"/>
        </w:rPr>
        <w:t>拟将本次自评结果在省文旅厅官网上进行公示，接受社会公众监督。为主动接受社会公众监督，提升</w:t>
      </w:r>
      <w:r>
        <w:rPr>
          <w:rFonts w:hint="eastAsia" w:ascii="Times New Roman" w:hAnsi="Times New Roman" w:eastAsia="仿宋_GB2312" w:cs="Times New Roman"/>
          <w:b w:val="0"/>
          <w:bCs w:val="0"/>
          <w:color w:val="000000"/>
          <w:kern w:val="2"/>
          <w:sz w:val="32"/>
          <w:szCs w:val="32"/>
          <w:lang w:val="en-US" w:eastAsia="zh-CN" w:bidi="ar-SA"/>
        </w:rPr>
        <w:t>文旅行业管理</w:t>
      </w:r>
      <w:r>
        <w:rPr>
          <w:rFonts w:hint="default" w:ascii="Times New Roman" w:hAnsi="Times New Roman" w:eastAsia="仿宋_GB2312" w:cs="Times New Roman"/>
          <w:b w:val="0"/>
          <w:bCs w:val="0"/>
          <w:color w:val="000000"/>
          <w:kern w:val="2"/>
          <w:sz w:val="32"/>
          <w:szCs w:val="32"/>
          <w:lang w:val="en-US" w:eastAsia="zh-CN" w:bidi="ar-SA"/>
        </w:rPr>
        <w:t>工作的透明度和公信力，拟将本次2025年度</w:t>
      </w:r>
      <w:r>
        <w:rPr>
          <w:rFonts w:hint="eastAsia" w:ascii="Times New Roman" w:hAnsi="Times New Roman" w:eastAsia="仿宋_GB2312" w:cs="Times New Roman"/>
          <w:b w:val="0"/>
          <w:bCs w:val="0"/>
          <w:color w:val="000000"/>
          <w:kern w:val="2"/>
          <w:sz w:val="32"/>
          <w:szCs w:val="32"/>
          <w:lang w:val="en-US" w:eastAsia="zh-CN" w:bidi="ar-SA"/>
        </w:rPr>
        <w:t>旅游发展基金补助地方项目</w:t>
      </w:r>
      <w:r>
        <w:rPr>
          <w:rFonts w:hint="default" w:ascii="Times New Roman" w:hAnsi="Times New Roman" w:eastAsia="仿宋_GB2312" w:cs="Times New Roman"/>
          <w:b w:val="0"/>
          <w:bCs w:val="0"/>
          <w:color w:val="000000"/>
          <w:kern w:val="2"/>
          <w:sz w:val="32"/>
          <w:szCs w:val="32"/>
          <w:lang w:val="en-US" w:eastAsia="zh-CN" w:bidi="ar-SA"/>
        </w:rPr>
        <w:t>资金绩效自评结果（含自评报告、绩效指标完成情况表）在湖南省文化和旅游厅官方网站进行全面公开，公开内容做到真实、准确、完整，接受社会各界的监督和意见建议。</w:t>
      </w:r>
    </w:p>
    <w:p w14:paraId="01EEA68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line="560" w:lineRule="exact"/>
        <w:ind w:left="0" w:leftChars="0" w:right="0" w:rightChars="0"/>
        <w:textAlignment w:val="auto"/>
        <w:rPr>
          <w:rFonts w:hint="default" w:ascii="Times New Roman" w:hAnsi="Times New Roman" w:cs="Times New Roman"/>
        </w:rPr>
      </w:pPr>
    </w:p>
    <w:p w14:paraId="66101493">
      <w:pPr>
        <w:pStyle w:val="2"/>
        <w:rPr>
          <w:rFonts w:hint="default"/>
        </w:rPr>
      </w:pPr>
    </w:p>
    <w:p w14:paraId="464E6ED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line="560" w:lineRule="exact"/>
        <w:ind w:left="0" w:leftChars="0" w:right="0" w:rightChars="0" w:firstLine="640" w:firstLineChars="200"/>
        <w:textAlignment w:val="auto"/>
        <w:rPr>
          <w:rFonts w:hint="default" w:ascii="Times New Roman" w:hAnsi="Times New Roman" w:eastAsia="仿宋_GB2312" w:cs="Times New Roman"/>
          <w:b w:val="0"/>
          <w:bCs w:val="0"/>
          <w:color w:val="000000"/>
          <w:kern w:val="2"/>
          <w:sz w:val="32"/>
          <w:szCs w:val="32"/>
          <w:lang w:val="en-US" w:eastAsia="zh-CN" w:bidi="ar-SA"/>
        </w:rPr>
      </w:pPr>
      <w:r>
        <w:rPr>
          <w:rFonts w:hint="default" w:ascii="Times New Roman" w:hAnsi="Times New Roman" w:eastAsia="仿宋_GB2312" w:cs="Times New Roman"/>
          <w:b w:val="0"/>
          <w:bCs w:val="0"/>
          <w:color w:val="000000"/>
          <w:kern w:val="2"/>
          <w:sz w:val="32"/>
          <w:szCs w:val="32"/>
          <w:lang w:val="en-US" w:eastAsia="zh-CN" w:bidi="ar-SA"/>
        </w:rPr>
        <w:t>附件：</w:t>
      </w:r>
      <w:r>
        <w:rPr>
          <w:rFonts w:hint="eastAsia" w:ascii="Times New Roman" w:hAnsi="Times New Roman" w:eastAsia="仿宋_GB2312" w:cs="Times New Roman"/>
          <w:b w:val="0"/>
          <w:bCs w:val="0"/>
          <w:color w:val="000000"/>
          <w:spacing w:val="-6"/>
          <w:kern w:val="2"/>
          <w:sz w:val="32"/>
          <w:szCs w:val="32"/>
          <w:lang w:val="en-US" w:eastAsia="zh-CN" w:bidi="ar-SA"/>
        </w:rPr>
        <w:t>2025年度</w:t>
      </w:r>
      <w:r>
        <w:rPr>
          <w:rFonts w:hint="default" w:ascii="Times New Roman" w:hAnsi="Times New Roman" w:eastAsia="仿宋_GB2312" w:cs="Times New Roman"/>
          <w:b w:val="0"/>
          <w:bCs w:val="0"/>
          <w:color w:val="000000"/>
          <w:spacing w:val="-6"/>
          <w:kern w:val="2"/>
          <w:sz w:val="32"/>
          <w:szCs w:val="32"/>
          <w:lang w:val="en-US" w:eastAsia="zh-CN" w:bidi="ar-SA"/>
        </w:rPr>
        <w:t>旅游发展基金补助地方项目</w:t>
      </w:r>
      <w:r>
        <w:rPr>
          <w:rFonts w:hint="eastAsia" w:ascii="Times New Roman" w:hAnsi="Times New Roman" w:eastAsia="仿宋_GB2312" w:cs="Times New Roman"/>
          <w:b w:val="0"/>
          <w:bCs w:val="0"/>
          <w:color w:val="000000"/>
          <w:spacing w:val="-6"/>
          <w:kern w:val="2"/>
          <w:sz w:val="32"/>
          <w:szCs w:val="32"/>
          <w:lang w:val="en-US" w:eastAsia="zh-CN" w:bidi="ar-SA"/>
        </w:rPr>
        <w:t>资金</w:t>
      </w:r>
      <w:r>
        <w:rPr>
          <w:rFonts w:hint="default" w:ascii="Times New Roman" w:hAnsi="Times New Roman" w:eastAsia="仿宋_GB2312" w:cs="Times New Roman"/>
          <w:b w:val="0"/>
          <w:bCs w:val="0"/>
          <w:color w:val="000000"/>
          <w:spacing w:val="-6"/>
          <w:kern w:val="2"/>
          <w:sz w:val="32"/>
          <w:szCs w:val="32"/>
          <w:lang w:val="en-US" w:eastAsia="zh-CN" w:bidi="ar-SA"/>
        </w:rPr>
        <w:t>绩效自评表</w:t>
      </w:r>
    </w:p>
    <w:p w14:paraId="3487E6C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line="560" w:lineRule="exact"/>
        <w:ind w:left="0" w:leftChars="0" w:right="0" w:rightChars="0"/>
        <w:textAlignment w:val="auto"/>
        <w:rPr>
          <w:rFonts w:hint="default" w:ascii="Times New Roman" w:hAnsi="Times New Roman" w:eastAsia="仿宋_GB2312" w:cs="Times New Roman"/>
          <w:b w:val="0"/>
          <w:bCs w:val="0"/>
          <w:color w:val="000000"/>
          <w:kern w:val="2"/>
          <w:sz w:val="32"/>
          <w:szCs w:val="32"/>
          <w:lang w:val="en-US" w:eastAsia="zh-CN" w:bidi="ar-SA"/>
        </w:rPr>
      </w:pPr>
    </w:p>
    <w:p w14:paraId="75B5FEA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line="560" w:lineRule="exact"/>
        <w:ind w:left="0" w:leftChars="0" w:right="0" w:rightChars="0"/>
        <w:textAlignment w:val="auto"/>
        <w:rPr>
          <w:rFonts w:hint="default" w:ascii="Times New Roman" w:hAnsi="Times New Roman" w:cs="Times New Roman"/>
        </w:rPr>
      </w:pPr>
    </w:p>
    <w:p w14:paraId="7AF351DD">
      <w:pPr>
        <w:pStyle w:val="6"/>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line="560" w:lineRule="exact"/>
        <w:ind w:left="0" w:leftChars="0" w:right="0" w:rightChars="0"/>
        <w:jc w:val="center"/>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eastAsia="zh-CN"/>
        </w:rPr>
        <w:t>湖南省文化和旅游厅</w:t>
      </w:r>
    </w:p>
    <w:p w14:paraId="1572778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line="560" w:lineRule="exact"/>
        <w:ind w:left="0" w:leftChars="0" w:right="0" w:rightChars="0" w:firstLine="4918" w:firstLineChars="1537"/>
        <w:textAlignment w:val="auto"/>
        <w:rPr>
          <w:rFonts w:hint="default" w:ascii="Times New Roman" w:hAnsi="Times New Roman" w:cs="Times New Roman"/>
          <w:lang w:val="en-US" w:eastAsia="zh-CN"/>
        </w:rPr>
      </w:pPr>
      <w:r>
        <w:rPr>
          <w:rFonts w:hint="default" w:ascii="Times New Roman" w:hAnsi="Times New Roman" w:eastAsia="仿宋_GB2312" w:cs="Times New Roman"/>
          <w:sz w:val="32"/>
          <w:szCs w:val="32"/>
          <w:lang w:val="en-US" w:eastAsia="zh-CN"/>
        </w:rPr>
        <w:t>202</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lang w:val="en-US" w:eastAsia="zh-CN"/>
        </w:rPr>
        <w:t>年3月</w:t>
      </w:r>
      <w:r>
        <w:rPr>
          <w:rFonts w:hint="eastAsia" w:ascii="Times New Roman" w:hAnsi="Times New Roman" w:eastAsia="仿宋_GB2312" w:cs="Times New Roman"/>
          <w:sz w:val="32"/>
          <w:szCs w:val="32"/>
          <w:lang w:val="en-US" w:eastAsia="zh-CN"/>
        </w:rPr>
        <w:t>28</w:t>
      </w:r>
      <w:r>
        <w:rPr>
          <w:rFonts w:hint="default" w:ascii="Times New Roman" w:hAnsi="Times New Roman" w:eastAsia="仿宋_GB2312" w:cs="Times New Roman"/>
          <w:sz w:val="32"/>
          <w:szCs w:val="32"/>
          <w:lang w:val="en-US" w:eastAsia="zh-CN"/>
        </w:rPr>
        <w:t>日</w:t>
      </w:r>
    </w:p>
    <w:p w14:paraId="7159FFDA">
      <w:pPr>
        <w:rPr>
          <w:rFonts w:hint="default" w:ascii="Times New Roman" w:hAnsi="Times New Roman" w:cs="Times New Roman"/>
        </w:rPr>
        <w:sectPr>
          <w:footerReference r:id="rId3" w:type="default"/>
          <w:pgSz w:w="11906" w:h="16838"/>
          <w:pgMar w:top="2098" w:right="1531" w:bottom="1531" w:left="1531" w:header="720" w:footer="992" w:gutter="0"/>
          <w:pgBorders>
            <w:top w:val="none" w:sz="0" w:space="0"/>
            <w:left w:val="none" w:sz="0" w:space="0"/>
            <w:bottom w:val="none" w:sz="0" w:space="0"/>
            <w:right w:val="none" w:sz="0" w:space="0"/>
          </w:pgBorders>
          <w:lnNumType w:countBy="0" w:distance="360"/>
          <w:pgNumType w:fmt="numberInDash" w:start="2"/>
          <w:cols w:space="720" w:num="1"/>
          <w:docGrid w:type="lines" w:linePitch="312" w:charSpace="0"/>
        </w:sectPr>
      </w:pPr>
      <w:r>
        <w:rPr>
          <w:rFonts w:hint="default" w:ascii="Times New Roman" w:hAnsi="Times New Roman" w:cs="Times New Roman"/>
        </w:rPr>
        <w:br w:type="page"/>
      </w:r>
    </w:p>
    <w:p w14:paraId="657DBB06">
      <w:pPr>
        <w:widowControl/>
        <w:pBdr>
          <w:top w:val="none" w:color="auto" w:sz="0" w:space="0"/>
          <w:left w:val="none" w:color="auto" w:sz="0" w:space="0"/>
          <w:bottom w:val="none" w:color="auto" w:sz="0" w:space="0"/>
          <w:right w:val="none" w:color="auto" w:sz="0" w:space="0"/>
        </w:pBdr>
        <w:jc w:val="left"/>
        <w:rPr>
          <w:rFonts w:hint="eastAsia" w:ascii="黑体" w:hAnsi="黑体" w:eastAsia="黑体" w:cs="黑体"/>
          <w:bCs/>
          <w:color w:val="000000"/>
          <w:kern w:val="0"/>
          <w:sz w:val="32"/>
          <w:szCs w:val="32"/>
          <w:lang w:val="en-US" w:eastAsia="zh-CN"/>
        </w:rPr>
      </w:pPr>
      <w:r>
        <w:rPr>
          <w:rFonts w:hint="eastAsia" w:ascii="黑体" w:hAnsi="黑体" w:eastAsia="黑体" w:cs="黑体"/>
          <w:bCs/>
          <w:color w:val="000000"/>
          <w:kern w:val="0"/>
          <w:sz w:val="32"/>
          <w:szCs w:val="32"/>
          <w:lang w:val="en-US" w:eastAsia="zh-CN"/>
        </w:rPr>
        <w:t>附件</w:t>
      </w:r>
    </w:p>
    <w:p w14:paraId="0D169771">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jc w:val="center"/>
        <w:textAlignment w:val="auto"/>
        <w:rPr>
          <w:rFonts w:hint="eastAsia" w:ascii="Times New Roman" w:hAnsi="Times New Roman" w:eastAsia="方正小标宋_GBK" w:cs="Times New Roman"/>
          <w:bCs/>
          <w:color w:val="000000"/>
          <w:kern w:val="0"/>
          <w:sz w:val="44"/>
          <w:szCs w:val="44"/>
          <w:lang w:val="en-US" w:eastAsia="zh-CN"/>
        </w:rPr>
      </w:pPr>
      <w:r>
        <w:rPr>
          <w:rFonts w:hint="eastAsia" w:ascii="Times New Roman" w:hAnsi="Times New Roman" w:eastAsia="方正小标宋_GBK" w:cs="Times New Roman"/>
          <w:b/>
          <w:bCs w:val="0"/>
          <w:color w:val="000000"/>
          <w:kern w:val="0"/>
          <w:sz w:val="44"/>
          <w:szCs w:val="44"/>
          <w:lang w:val="en-US" w:eastAsia="zh-CN"/>
        </w:rPr>
        <w:t>2025</w:t>
      </w:r>
      <w:r>
        <w:rPr>
          <w:rFonts w:hint="eastAsia" w:ascii="Times New Roman" w:hAnsi="Times New Roman" w:eastAsia="方正小标宋_GBK" w:cs="Times New Roman"/>
          <w:bCs/>
          <w:color w:val="000000"/>
          <w:kern w:val="0"/>
          <w:sz w:val="44"/>
          <w:szCs w:val="44"/>
          <w:lang w:val="en-US" w:eastAsia="zh-CN"/>
        </w:rPr>
        <w:t>年度旅游发展基金补助地方项目资金</w:t>
      </w:r>
    </w:p>
    <w:p w14:paraId="6D15781F">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jc w:val="center"/>
        <w:textAlignment w:val="auto"/>
        <w:rPr>
          <w:rFonts w:hint="eastAsia" w:ascii="Times New Roman" w:hAnsi="Times New Roman" w:eastAsia="方正小标宋_GBK" w:cs="Times New Roman"/>
          <w:bCs/>
          <w:color w:val="000000"/>
          <w:kern w:val="0"/>
          <w:sz w:val="44"/>
          <w:szCs w:val="44"/>
          <w:lang w:val="en-US" w:eastAsia="zh-CN"/>
        </w:rPr>
      </w:pPr>
      <w:r>
        <w:rPr>
          <w:rFonts w:hint="eastAsia" w:ascii="Times New Roman" w:hAnsi="Times New Roman" w:eastAsia="方正小标宋_GBK" w:cs="Times New Roman"/>
          <w:bCs/>
          <w:color w:val="000000"/>
          <w:kern w:val="0"/>
          <w:sz w:val="44"/>
          <w:szCs w:val="44"/>
          <w:lang w:val="en-US" w:eastAsia="zh-CN"/>
        </w:rPr>
        <w:t>绩效自评表</w:t>
      </w:r>
    </w:p>
    <w:tbl>
      <w:tblPr>
        <w:tblStyle w:val="10"/>
        <w:tblW w:w="588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4"/>
        <w:gridCol w:w="654"/>
        <w:gridCol w:w="774"/>
        <w:gridCol w:w="1295"/>
        <w:gridCol w:w="967"/>
        <w:gridCol w:w="1121"/>
        <w:gridCol w:w="1114"/>
        <w:gridCol w:w="850"/>
        <w:gridCol w:w="862"/>
        <w:gridCol w:w="328"/>
        <w:gridCol w:w="1981"/>
      </w:tblGrid>
      <w:tr w14:paraId="112BE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3" w:hRule="atLeast"/>
          <w:jc w:val="center"/>
        </w:trPr>
        <w:tc>
          <w:tcPr>
            <w:tcW w:w="1008" w:type="pct"/>
            <w:gridSpan w:val="3"/>
            <w:tcBorders>
              <w:top w:val="single" w:color="000000" w:sz="4" w:space="0"/>
              <w:left w:val="single" w:color="000000" w:sz="4" w:space="0"/>
              <w:bottom w:val="single" w:color="000000" w:sz="4" w:space="0"/>
              <w:right w:val="nil"/>
            </w:tcBorders>
            <w:shd w:val="clear" w:color="auto" w:fill="auto"/>
            <w:noWrap/>
            <w:vAlign w:val="center"/>
          </w:tcPr>
          <w:p w14:paraId="41A01F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转移支付（项目）</w:t>
            </w:r>
          </w:p>
          <w:p w14:paraId="5BAD64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名称</w:t>
            </w:r>
          </w:p>
        </w:tc>
        <w:tc>
          <w:tcPr>
            <w:tcW w:w="3991"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8C1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旅游发展基金补助地方项目资金</w:t>
            </w:r>
          </w:p>
        </w:tc>
      </w:tr>
      <w:tr w14:paraId="0FCC5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jc w:val="center"/>
        </w:trPr>
        <w:tc>
          <w:tcPr>
            <w:tcW w:w="1008" w:type="pct"/>
            <w:gridSpan w:val="3"/>
            <w:tcBorders>
              <w:top w:val="single" w:color="000000" w:sz="4" w:space="0"/>
              <w:left w:val="single" w:color="000000" w:sz="4" w:space="0"/>
              <w:bottom w:val="single" w:color="000000" w:sz="4" w:space="0"/>
              <w:right w:val="nil"/>
            </w:tcBorders>
            <w:shd w:val="clear" w:color="auto" w:fill="auto"/>
            <w:noWrap/>
            <w:vAlign w:val="center"/>
          </w:tcPr>
          <w:p w14:paraId="3B05FA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中央主管部门</w:t>
            </w:r>
          </w:p>
        </w:tc>
        <w:tc>
          <w:tcPr>
            <w:tcW w:w="3991"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1CC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文化和旅游部</w:t>
            </w:r>
          </w:p>
        </w:tc>
      </w:tr>
      <w:tr w14:paraId="3000E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3" w:hRule="atLeast"/>
          <w:jc w:val="center"/>
        </w:trPr>
        <w:tc>
          <w:tcPr>
            <w:tcW w:w="100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1C03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省级财政部门</w:t>
            </w:r>
          </w:p>
        </w:tc>
        <w:tc>
          <w:tcPr>
            <w:tcW w:w="158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7DC5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湖南省财政厅</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A45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省级主管部门</w:t>
            </w:r>
          </w:p>
        </w:tc>
        <w:tc>
          <w:tcPr>
            <w:tcW w:w="188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EDA4B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湖南省文化和旅游厅</w:t>
            </w:r>
          </w:p>
        </w:tc>
      </w:tr>
      <w:tr w14:paraId="14DD6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4" w:hRule="atLeast"/>
          <w:jc w:val="center"/>
        </w:trPr>
        <w:tc>
          <w:tcPr>
            <w:tcW w:w="1008"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1FAA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资金投入情况</w:t>
            </w:r>
          </w:p>
          <w:p w14:paraId="1754FA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（万元）</w:t>
            </w:r>
          </w:p>
        </w:tc>
        <w:tc>
          <w:tcPr>
            <w:tcW w:w="606" w:type="pct"/>
            <w:tcBorders>
              <w:top w:val="nil"/>
              <w:left w:val="single" w:color="000000" w:sz="4" w:space="0"/>
              <w:bottom w:val="single" w:color="000000" w:sz="4" w:space="0"/>
              <w:right w:val="single" w:color="000000" w:sz="4" w:space="0"/>
            </w:tcBorders>
            <w:shd w:val="clear" w:color="auto" w:fill="auto"/>
            <w:noWrap/>
            <w:vAlign w:val="center"/>
          </w:tcPr>
          <w:p w14:paraId="676FE154">
            <w:pPr>
              <w:keepNext w:val="0"/>
              <w:keepLines w:val="0"/>
              <w:pageBreakBefore w:val="0"/>
              <w:widowControl/>
              <w:kinsoku/>
              <w:wordWrap/>
              <w:overflowPunct/>
              <w:topLinePunct w:val="0"/>
              <w:autoSpaceDE/>
              <w:autoSpaceDN/>
              <w:bidi w:val="0"/>
              <w:adjustRightInd/>
              <w:snapToGrid/>
              <w:spacing w:line="240" w:lineRule="exact"/>
              <w:rPr>
                <w:rFonts w:hint="default" w:ascii="Times New Roman" w:hAnsi="Times New Roman" w:eastAsia="仿宋_GB2312" w:cs="Times New Roman"/>
                <w:i w:val="0"/>
                <w:iCs w:val="0"/>
                <w:color w:val="000000"/>
                <w:sz w:val="21"/>
                <w:szCs w:val="21"/>
                <w:u w:val="none"/>
              </w:rPr>
            </w:pPr>
          </w:p>
        </w:tc>
        <w:tc>
          <w:tcPr>
            <w:tcW w:w="453" w:type="pct"/>
            <w:tcBorders>
              <w:top w:val="nil"/>
              <w:left w:val="single" w:color="000000" w:sz="4" w:space="0"/>
              <w:bottom w:val="single" w:color="000000" w:sz="4" w:space="0"/>
              <w:right w:val="single" w:color="000000" w:sz="4" w:space="0"/>
            </w:tcBorders>
            <w:shd w:val="clear" w:color="auto" w:fill="auto"/>
            <w:noWrap/>
            <w:vAlign w:val="center"/>
          </w:tcPr>
          <w:p w14:paraId="6F1718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年初预算数</w:t>
            </w:r>
          </w:p>
        </w:tc>
        <w:tc>
          <w:tcPr>
            <w:tcW w:w="525" w:type="pct"/>
            <w:tcBorders>
              <w:top w:val="nil"/>
              <w:left w:val="single" w:color="000000" w:sz="4" w:space="0"/>
              <w:bottom w:val="single" w:color="000000" w:sz="4" w:space="0"/>
              <w:right w:val="single" w:color="000000" w:sz="4" w:space="0"/>
            </w:tcBorders>
            <w:shd w:val="clear" w:color="auto" w:fill="auto"/>
            <w:vAlign w:val="center"/>
          </w:tcPr>
          <w:p w14:paraId="75D1AF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全年预算数（A）</w:t>
            </w:r>
          </w:p>
        </w:tc>
        <w:tc>
          <w:tcPr>
            <w:tcW w:w="522" w:type="pct"/>
            <w:tcBorders>
              <w:top w:val="nil"/>
              <w:left w:val="single" w:color="000000" w:sz="4" w:space="0"/>
              <w:bottom w:val="single" w:color="000000" w:sz="4" w:space="0"/>
              <w:right w:val="single" w:color="000000" w:sz="4" w:space="0"/>
            </w:tcBorders>
            <w:shd w:val="clear" w:color="auto" w:fill="auto"/>
            <w:vAlign w:val="center"/>
          </w:tcPr>
          <w:p w14:paraId="60910B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全年执行数（B）</w:t>
            </w:r>
          </w:p>
        </w:tc>
        <w:tc>
          <w:tcPr>
            <w:tcW w:w="398" w:type="pct"/>
            <w:tcBorders>
              <w:top w:val="nil"/>
              <w:left w:val="single" w:color="000000" w:sz="4" w:space="0"/>
              <w:bottom w:val="single" w:color="000000" w:sz="4" w:space="0"/>
              <w:right w:val="single" w:color="000000" w:sz="4" w:space="0"/>
            </w:tcBorders>
            <w:shd w:val="clear" w:color="auto" w:fill="auto"/>
            <w:vAlign w:val="center"/>
          </w:tcPr>
          <w:p w14:paraId="4E9E3E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分值</w:t>
            </w:r>
          </w:p>
        </w:tc>
        <w:tc>
          <w:tcPr>
            <w:tcW w:w="557" w:type="pct"/>
            <w:gridSpan w:val="2"/>
            <w:tcBorders>
              <w:top w:val="nil"/>
              <w:left w:val="single" w:color="000000" w:sz="4" w:space="0"/>
              <w:bottom w:val="single" w:color="000000" w:sz="4" w:space="0"/>
              <w:right w:val="single" w:color="000000" w:sz="4" w:space="0"/>
            </w:tcBorders>
            <w:shd w:val="clear" w:color="auto" w:fill="auto"/>
            <w:vAlign w:val="center"/>
          </w:tcPr>
          <w:p w14:paraId="7FD144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执行率</w:t>
            </w:r>
          </w:p>
          <w:p w14:paraId="520733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（B/A× 100%）</w:t>
            </w:r>
          </w:p>
        </w:tc>
        <w:tc>
          <w:tcPr>
            <w:tcW w:w="928" w:type="pct"/>
            <w:tcBorders>
              <w:top w:val="nil"/>
              <w:left w:val="single" w:color="000000" w:sz="4" w:space="0"/>
              <w:bottom w:val="single" w:color="000000" w:sz="4" w:space="0"/>
              <w:right w:val="single" w:color="000000" w:sz="4" w:space="0"/>
            </w:tcBorders>
            <w:shd w:val="clear" w:color="auto" w:fill="auto"/>
            <w:noWrap/>
            <w:vAlign w:val="center"/>
          </w:tcPr>
          <w:p w14:paraId="1CAC40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得分</w:t>
            </w:r>
          </w:p>
        </w:tc>
      </w:tr>
      <w:tr w14:paraId="42421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3" w:hRule="atLeast"/>
          <w:jc w:val="center"/>
        </w:trPr>
        <w:tc>
          <w:tcPr>
            <w:tcW w:w="100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10C734">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243E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年度资金总额：</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652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 xml:space="preserve">4571.00 </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24F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 xml:space="preserve">4571.00 </w:t>
            </w:r>
          </w:p>
        </w:tc>
        <w:tc>
          <w:tcPr>
            <w:tcW w:w="5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8DB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 xml:space="preserve">1931.25 </w:t>
            </w:r>
          </w:p>
        </w:tc>
        <w:tc>
          <w:tcPr>
            <w:tcW w:w="3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ABD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10</w:t>
            </w:r>
          </w:p>
        </w:tc>
        <w:tc>
          <w:tcPr>
            <w:tcW w:w="55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16C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42.25%</w:t>
            </w:r>
          </w:p>
        </w:tc>
        <w:tc>
          <w:tcPr>
            <w:tcW w:w="9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B4D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 xml:space="preserve">4.23 </w:t>
            </w:r>
          </w:p>
        </w:tc>
      </w:tr>
      <w:tr w14:paraId="39ED5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3" w:hRule="atLeast"/>
          <w:jc w:val="center"/>
        </w:trPr>
        <w:tc>
          <w:tcPr>
            <w:tcW w:w="100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26D2B8">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8592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其中：中央财政资金</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385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 xml:space="preserve">4571.00 </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0E1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 xml:space="preserve">4571.00 </w:t>
            </w:r>
          </w:p>
        </w:tc>
        <w:tc>
          <w:tcPr>
            <w:tcW w:w="5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6ED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 xml:space="preserve">1931.25 </w:t>
            </w:r>
          </w:p>
        </w:tc>
        <w:tc>
          <w:tcPr>
            <w:tcW w:w="3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A7C88">
            <w:pPr>
              <w:keepNext w:val="0"/>
              <w:keepLines w:val="0"/>
              <w:pageBreakBefore w:val="0"/>
              <w:widowControl/>
              <w:kinsoku/>
              <w:wordWrap/>
              <w:overflowPunct/>
              <w:topLinePunct w:val="0"/>
              <w:autoSpaceDE/>
              <w:autoSpaceDN/>
              <w:bidi w:val="0"/>
              <w:adjustRightInd/>
              <w:snapToGrid/>
              <w:spacing w:line="240" w:lineRule="exact"/>
              <w:rPr>
                <w:rFonts w:hint="default" w:ascii="Times New Roman" w:hAnsi="Times New Roman" w:eastAsia="仿宋_GB2312" w:cs="Times New Roman"/>
                <w:i w:val="0"/>
                <w:iCs w:val="0"/>
                <w:color w:val="000000"/>
                <w:sz w:val="21"/>
                <w:szCs w:val="21"/>
                <w:u w:val="none"/>
              </w:rPr>
            </w:pPr>
          </w:p>
        </w:tc>
        <w:tc>
          <w:tcPr>
            <w:tcW w:w="55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81EC6">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9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04B01">
            <w:pPr>
              <w:keepNext w:val="0"/>
              <w:keepLines w:val="0"/>
              <w:pageBreakBefore w:val="0"/>
              <w:widowControl/>
              <w:kinsoku/>
              <w:wordWrap/>
              <w:overflowPunct/>
              <w:topLinePunct w:val="0"/>
              <w:autoSpaceDE/>
              <w:autoSpaceDN/>
              <w:bidi w:val="0"/>
              <w:adjustRightInd/>
              <w:snapToGrid/>
              <w:spacing w:line="240" w:lineRule="exact"/>
              <w:rPr>
                <w:rFonts w:hint="default" w:ascii="Times New Roman" w:hAnsi="Times New Roman" w:eastAsia="仿宋_GB2312" w:cs="Times New Roman"/>
                <w:i w:val="0"/>
                <w:iCs w:val="0"/>
                <w:color w:val="000000"/>
                <w:sz w:val="21"/>
                <w:szCs w:val="21"/>
                <w:u w:val="none"/>
              </w:rPr>
            </w:pPr>
          </w:p>
        </w:tc>
      </w:tr>
      <w:tr w14:paraId="7FDD0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3" w:hRule="atLeast"/>
          <w:jc w:val="center"/>
        </w:trPr>
        <w:tc>
          <w:tcPr>
            <w:tcW w:w="100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B2D32">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ED10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 xml:space="preserve">     地方财政资金</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EFCBB">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328DC">
            <w:pPr>
              <w:keepNext w:val="0"/>
              <w:keepLines w:val="0"/>
              <w:pageBreakBefore w:val="0"/>
              <w:widowControl/>
              <w:kinsoku/>
              <w:wordWrap/>
              <w:overflowPunct/>
              <w:topLinePunct w:val="0"/>
              <w:autoSpaceDE/>
              <w:autoSpaceDN/>
              <w:bidi w:val="0"/>
              <w:adjustRightInd/>
              <w:snapToGrid/>
              <w:spacing w:line="240" w:lineRule="exact"/>
              <w:rPr>
                <w:rFonts w:hint="default" w:ascii="Times New Roman" w:hAnsi="Times New Roman" w:eastAsia="仿宋_GB2312" w:cs="Times New Roman"/>
                <w:i w:val="0"/>
                <w:iCs w:val="0"/>
                <w:color w:val="000000"/>
                <w:sz w:val="21"/>
                <w:szCs w:val="21"/>
                <w:u w:val="none"/>
              </w:rPr>
            </w:pPr>
          </w:p>
        </w:tc>
        <w:tc>
          <w:tcPr>
            <w:tcW w:w="5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BB94A">
            <w:pPr>
              <w:keepNext w:val="0"/>
              <w:keepLines w:val="0"/>
              <w:pageBreakBefore w:val="0"/>
              <w:widowControl/>
              <w:kinsoku/>
              <w:wordWrap/>
              <w:overflowPunct/>
              <w:topLinePunct w:val="0"/>
              <w:autoSpaceDE/>
              <w:autoSpaceDN/>
              <w:bidi w:val="0"/>
              <w:adjustRightInd/>
              <w:snapToGrid/>
              <w:spacing w:line="240" w:lineRule="exact"/>
              <w:rPr>
                <w:rFonts w:hint="default" w:ascii="Times New Roman" w:hAnsi="Times New Roman" w:eastAsia="仿宋_GB2312" w:cs="Times New Roman"/>
                <w:i w:val="0"/>
                <w:iCs w:val="0"/>
                <w:color w:val="000000"/>
                <w:sz w:val="21"/>
                <w:szCs w:val="21"/>
                <w:u w:val="none"/>
              </w:rPr>
            </w:pPr>
          </w:p>
        </w:tc>
        <w:tc>
          <w:tcPr>
            <w:tcW w:w="3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35CED">
            <w:pPr>
              <w:keepNext w:val="0"/>
              <w:keepLines w:val="0"/>
              <w:pageBreakBefore w:val="0"/>
              <w:widowControl/>
              <w:kinsoku/>
              <w:wordWrap/>
              <w:overflowPunct/>
              <w:topLinePunct w:val="0"/>
              <w:autoSpaceDE/>
              <w:autoSpaceDN/>
              <w:bidi w:val="0"/>
              <w:adjustRightInd/>
              <w:snapToGrid/>
              <w:spacing w:line="240" w:lineRule="exact"/>
              <w:rPr>
                <w:rFonts w:hint="default" w:ascii="Times New Roman" w:hAnsi="Times New Roman" w:eastAsia="仿宋_GB2312" w:cs="Times New Roman"/>
                <w:i w:val="0"/>
                <w:iCs w:val="0"/>
                <w:color w:val="000000"/>
                <w:sz w:val="21"/>
                <w:szCs w:val="21"/>
                <w:u w:val="none"/>
              </w:rPr>
            </w:pPr>
          </w:p>
        </w:tc>
        <w:tc>
          <w:tcPr>
            <w:tcW w:w="55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81C61">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9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6879B">
            <w:pPr>
              <w:keepNext w:val="0"/>
              <w:keepLines w:val="0"/>
              <w:pageBreakBefore w:val="0"/>
              <w:widowControl/>
              <w:kinsoku/>
              <w:wordWrap/>
              <w:overflowPunct/>
              <w:topLinePunct w:val="0"/>
              <w:autoSpaceDE/>
              <w:autoSpaceDN/>
              <w:bidi w:val="0"/>
              <w:adjustRightInd/>
              <w:snapToGrid/>
              <w:spacing w:line="240" w:lineRule="exact"/>
              <w:rPr>
                <w:rFonts w:hint="default" w:ascii="Times New Roman" w:hAnsi="Times New Roman" w:eastAsia="仿宋_GB2312" w:cs="Times New Roman"/>
                <w:i w:val="0"/>
                <w:iCs w:val="0"/>
                <w:color w:val="000000"/>
                <w:sz w:val="21"/>
                <w:szCs w:val="21"/>
                <w:u w:val="none"/>
              </w:rPr>
            </w:pPr>
          </w:p>
        </w:tc>
      </w:tr>
      <w:tr w14:paraId="09880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3" w:hRule="atLeast"/>
          <w:jc w:val="center"/>
        </w:trPr>
        <w:tc>
          <w:tcPr>
            <w:tcW w:w="100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8ABA0E">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70AD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 xml:space="preserve">     其他资金</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0A738">
            <w:pPr>
              <w:keepNext w:val="0"/>
              <w:keepLines w:val="0"/>
              <w:pageBreakBefore w:val="0"/>
              <w:widowControl/>
              <w:kinsoku/>
              <w:wordWrap/>
              <w:overflowPunct/>
              <w:topLinePunct w:val="0"/>
              <w:autoSpaceDE/>
              <w:autoSpaceDN/>
              <w:bidi w:val="0"/>
              <w:adjustRightInd/>
              <w:snapToGrid/>
              <w:spacing w:line="240" w:lineRule="exact"/>
              <w:rPr>
                <w:rFonts w:hint="default" w:ascii="Times New Roman" w:hAnsi="Times New Roman" w:eastAsia="仿宋_GB2312" w:cs="Times New Roman"/>
                <w:i w:val="0"/>
                <w:iCs w:val="0"/>
                <w:color w:val="000000"/>
                <w:sz w:val="21"/>
                <w:szCs w:val="21"/>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87A3E">
            <w:pPr>
              <w:keepNext w:val="0"/>
              <w:keepLines w:val="0"/>
              <w:pageBreakBefore w:val="0"/>
              <w:widowControl/>
              <w:kinsoku/>
              <w:wordWrap/>
              <w:overflowPunct/>
              <w:topLinePunct w:val="0"/>
              <w:autoSpaceDE/>
              <w:autoSpaceDN/>
              <w:bidi w:val="0"/>
              <w:adjustRightInd/>
              <w:snapToGrid/>
              <w:spacing w:line="240" w:lineRule="exact"/>
              <w:rPr>
                <w:rFonts w:hint="default" w:ascii="Times New Roman" w:hAnsi="Times New Roman" w:eastAsia="仿宋_GB2312" w:cs="Times New Roman"/>
                <w:i w:val="0"/>
                <w:iCs w:val="0"/>
                <w:color w:val="000000"/>
                <w:sz w:val="21"/>
                <w:szCs w:val="21"/>
                <w:u w:val="none"/>
              </w:rPr>
            </w:pPr>
          </w:p>
        </w:tc>
        <w:tc>
          <w:tcPr>
            <w:tcW w:w="5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4E7D4">
            <w:pPr>
              <w:keepNext w:val="0"/>
              <w:keepLines w:val="0"/>
              <w:pageBreakBefore w:val="0"/>
              <w:widowControl/>
              <w:kinsoku/>
              <w:wordWrap/>
              <w:overflowPunct/>
              <w:topLinePunct w:val="0"/>
              <w:autoSpaceDE/>
              <w:autoSpaceDN/>
              <w:bidi w:val="0"/>
              <w:adjustRightInd/>
              <w:snapToGrid/>
              <w:spacing w:line="240" w:lineRule="exact"/>
              <w:rPr>
                <w:rFonts w:hint="default" w:ascii="Times New Roman" w:hAnsi="Times New Roman" w:eastAsia="仿宋_GB2312" w:cs="Times New Roman"/>
                <w:i w:val="0"/>
                <w:iCs w:val="0"/>
                <w:color w:val="000000"/>
                <w:sz w:val="21"/>
                <w:szCs w:val="21"/>
                <w:u w:val="none"/>
              </w:rPr>
            </w:pPr>
          </w:p>
        </w:tc>
        <w:tc>
          <w:tcPr>
            <w:tcW w:w="3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0996C">
            <w:pPr>
              <w:keepNext w:val="0"/>
              <w:keepLines w:val="0"/>
              <w:pageBreakBefore w:val="0"/>
              <w:widowControl/>
              <w:kinsoku/>
              <w:wordWrap/>
              <w:overflowPunct/>
              <w:topLinePunct w:val="0"/>
              <w:autoSpaceDE/>
              <w:autoSpaceDN/>
              <w:bidi w:val="0"/>
              <w:adjustRightInd/>
              <w:snapToGrid/>
              <w:spacing w:line="240" w:lineRule="exact"/>
              <w:rPr>
                <w:rFonts w:hint="default" w:ascii="Times New Roman" w:hAnsi="Times New Roman" w:eastAsia="仿宋_GB2312" w:cs="Times New Roman"/>
                <w:i w:val="0"/>
                <w:iCs w:val="0"/>
                <w:color w:val="000000"/>
                <w:sz w:val="21"/>
                <w:szCs w:val="21"/>
                <w:u w:val="none"/>
              </w:rPr>
            </w:pPr>
          </w:p>
        </w:tc>
        <w:tc>
          <w:tcPr>
            <w:tcW w:w="55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AAAB4">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9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85B52">
            <w:pPr>
              <w:keepNext w:val="0"/>
              <w:keepLines w:val="0"/>
              <w:pageBreakBefore w:val="0"/>
              <w:widowControl/>
              <w:kinsoku/>
              <w:wordWrap/>
              <w:overflowPunct/>
              <w:topLinePunct w:val="0"/>
              <w:autoSpaceDE/>
              <w:autoSpaceDN/>
              <w:bidi w:val="0"/>
              <w:adjustRightInd/>
              <w:snapToGrid/>
              <w:spacing w:line="240" w:lineRule="exact"/>
              <w:rPr>
                <w:rFonts w:hint="default" w:ascii="Times New Roman" w:hAnsi="Times New Roman" w:eastAsia="仿宋_GB2312" w:cs="Times New Roman"/>
                <w:i w:val="0"/>
                <w:iCs w:val="0"/>
                <w:color w:val="000000"/>
                <w:sz w:val="21"/>
                <w:szCs w:val="21"/>
                <w:u w:val="none"/>
              </w:rPr>
            </w:pPr>
          </w:p>
        </w:tc>
      </w:tr>
      <w:tr w14:paraId="7BABC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3" w:hRule="atLeast"/>
          <w:jc w:val="center"/>
        </w:trPr>
        <w:tc>
          <w:tcPr>
            <w:tcW w:w="1008"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7929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资金管理情况</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AD97A">
            <w:pPr>
              <w:keepNext w:val="0"/>
              <w:keepLines w:val="0"/>
              <w:pageBreakBefore w:val="0"/>
              <w:widowControl/>
              <w:kinsoku/>
              <w:wordWrap/>
              <w:overflowPunct/>
              <w:topLinePunct w:val="0"/>
              <w:autoSpaceDE/>
              <w:autoSpaceDN/>
              <w:bidi w:val="0"/>
              <w:adjustRightInd/>
              <w:snapToGrid/>
              <w:spacing w:line="240" w:lineRule="exact"/>
              <w:rPr>
                <w:rFonts w:hint="default" w:ascii="Times New Roman" w:hAnsi="Times New Roman" w:eastAsia="仿宋_GB2312" w:cs="Times New Roman"/>
                <w:i w:val="0"/>
                <w:iCs w:val="0"/>
                <w:color w:val="000000"/>
                <w:sz w:val="21"/>
                <w:szCs w:val="21"/>
                <w:u w:val="none"/>
              </w:rPr>
            </w:pPr>
          </w:p>
        </w:tc>
        <w:tc>
          <w:tcPr>
            <w:tcW w:w="150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C65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情况说明</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0AF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分值</w:t>
            </w:r>
          </w:p>
          <w:p w14:paraId="60D6D3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（40）</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704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得分</w:t>
            </w:r>
          </w:p>
        </w:tc>
        <w:tc>
          <w:tcPr>
            <w:tcW w:w="10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5678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存在问题和改进措施</w:t>
            </w:r>
          </w:p>
        </w:tc>
      </w:tr>
      <w:tr w14:paraId="7228D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3" w:hRule="atLeast"/>
          <w:jc w:val="center"/>
        </w:trPr>
        <w:tc>
          <w:tcPr>
            <w:tcW w:w="100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F5C5E9">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F8BE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分配科学性</w:t>
            </w:r>
          </w:p>
        </w:tc>
        <w:tc>
          <w:tcPr>
            <w:tcW w:w="150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8DF46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严格按照相关制度及规定的范围和标准分配资金</w:t>
            </w:r>
          </w:p>
        </w:tc>
        <w:tc>
          <w:tcPr>
            <w:tcW w:w="3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6EF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176D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w:t>
            </w:r>
          </w:p>
        </w:tc>
        <w:tc>
          <w:tcPr>
            <w:tcW w:w="108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96F34">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r>
      <w:tr w14:paraId="539CC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3" w:hRule="atLeast"/>
          <w:jc w:val="center"/>
        </w:trPr>
        <w:tc>
          <w:tcPr>
            <w:tcW w:w="100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B05E9C">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827E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下达及时性</w:t>
            </w:r>
          </w:p>
        </w:tc>
        <w:tc>
          <w:tcPr>
            <w:tcW w:w="150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B7B3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严格按照相关制度及规定的时限要求分解下达</w:t>
            </w:r>
          </w:p>
        </w:tc>
        <w:tc>
          <w:tcPr>
            <w:tcW w:w="3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759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779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w:t>
            </w:r>
          </w:p>
        </w:tc>
        <w:tc>
          <w:tcPr>
            <w:tcW w:w="108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BC6EA">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r>
      <w:tr w14:paraId="29AB1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3" w:hRule="atLeast"/>
          <w:jc w:val="center"/>
        </w:trPr>
        <w:tc>
          <w:tcPr>
            <w:tcW w:w="100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74B5AC">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436A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拨付合规性</w:t>
            </w:r>
          </w:p>
        </w:tc>
        <w:tc>
          <w:tcPr>
            <w:tcW w:w="150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2A89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严格按照相关制度及规定支付资金，未出现违规</w:t>
            </w:r>
          </w:p>
        </w:tc>
        <w:tc>
          <w:tcPr>
            <w:tcW w:w="3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2CF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35A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w:t>
            </w:r>
          </w:p>
        </w:tc>
        <w:tc>
          <w:tcPr>
            <w:tcW w:w="108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14501">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r>
      <w:tr w14:paraId="2A5EB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3" w:hRule="atLeast"/>
          <w:jc w:val="center"/>
        </w:trPr>
        <w:tc>
          <w:tcPr>
            <w:tcW w:w="100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D706D2">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8096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使用规范性</w:t>
            </w:r>
          </w:p>
        </w:tc>
        <w:tc>
          <w:tcPr>
            <w:tcW w:w="150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2E58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严格按照下达预算的科目和项目执行，未出现违规</w:t>
            </w:r>
          </w:p>
        </w:tc>
        <w:tc>
          <w:tcPr>
            <w:tcW w:w="3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AFF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71D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w:t>
            </w:r>
          </w:p>
        </w:tc>
        <w:tc>
          <w:tcPr>
            <w:tcW w:w="108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F01FB">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r>
      <w:tr w14:paraId="65FDF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32" w:hRule="atLeast"/>
          <w:jc w:val="center"/>
        </w:trPr>
        <w:tc>
          <w:tcPr>
            <w:tcW w:w="100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B135B">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C8E9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执行准确性</w:t>
            </w:r>
          </w:p>
        </w:tc>
        <w:tc>
          <w:tcPr>
            <w:tcW w:w="150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8F21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严格按照预算安排的金额执行，不存在偏离</w:t>
            </w:r>
          </w:p>
        </w:tc>
        <w:tc>
          <w:tcPr>
            <w:tcW w:w="3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6E8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F87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4</w:t>
            </w:r>
          </w:p>
        </w:tc>
        <w:tc>
          <w:tcPr>
            <w:tcW w:w="10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ED014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存在的问题：预算执行率过低</w:t>
            </w:r>
          </w:p>
          <w:p w14:paraId="5C2125B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改进措施：1.强化前期论证，，合理测算资金需求，避免预算编制与实际执行脱节；2.建立预算执行动态监控机制，对执行偏慢、进度滞后的项目及时预警提醒，分析滞后原因并采取针对性措施；3.强化绩效约束与考核问责，对执行不力、长期滞后的责任主体予以督促整改，压实预算执行责任。</w:t>
            </w:r>
          </w:p>
        </w:tc>
      </w:tr>
      <w:tr w14:paraId="44F70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92" w:hRule="atLeast"/>
          <w:jc w:val="center"/>
        </w:trPr>
        <w:tc>
          <w:tcPr>
            <w:tcW w:w="100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7D4AD1">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E85E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预算绩效管理情况</w:t>
            </w:r>
          </w:p>
        </w:tc>
        <w:tc>
          <w:tcPr>
            <w:tcW w:w="150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AC38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细化绩效目标，开展绩效监控和绩效评价</w:t>
            </w:r>
          </w:p>
        </w:tc>
        <w:tc>
          <w:tcPr>
            <w:tcW w:w="3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3F9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501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4</w:t>
            </w:r>
          </w:p>
        </w:tc>
        <w:tc>
          <w:tcPr>
            <w:tcW w:w="10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88FEC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存在问题：绩效目标不明确，项目监管不到位</w:t>
            </w:r>
          </w:p>
          <w:p w14:paraId="2B89F2B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改进措施：强化绩效管理，强化监管，提高资金使用效率</w:t>
            </w:r>
          </w:p>
        </w:tc>
      </w:tr>
      <w:tr w14:paraId="59DC1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3" w:hRule="atLeast"/>
          <w:jc w:val="center"/>
        </w:trPr>
        <w:tc>
          <w:tcPr>
            <w:tcW w:w="100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5A1238">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42F7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支出责任履行情况</w:t>
            </w:r>
          </w:p>
        </w:tc>
        <w:tc>
          <w:tcPr>
            <w:tcW w:w="150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E223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足额安排资金履行本级支出责任</w:t>
            </w:r>
          </w:p>
        </w:tc>
        <w:tc>
          <w:tcPr>
            <w:tcW w:w="3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394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AF5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w:t>
            </w:r>
          </w:p>
        </w:tc>
        <w:tc>
          <w:tcPr>
            <w:tcW w:w="108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3121D">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r>
      <w:tr w14:paraId="6414C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6" w:hRule="atLeast"/>
          <w:jc w:val="center"/>
        </w:trPr>
        <w:tc>
          <w:tcPr>
            <w:tcW w:w="100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C6B5BF">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DE84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政策目标实现情况</w:t>
            </w:r>
          </w:p>
        </w:tc>
        <w:tc>
          <w:tcPr>
            <w:tcW w:w="150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DC1D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严格按照项目计划实施，达到预期效果</w:t>
            </w:r>
          </w:p>
        </w:tc>
        <w:tc>
          <w:tcPr>
            <w:tcW w:w="3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A43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B53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4</w:t>
            </w:r>
          </w:p>
        </w:tc>
        <w:tc>
          <w:tcPr>
            <w:tcW w:w="10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DC32B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存在问题：项目跨年度，未能达到预期效果</w:t>
            </w:r>
          </w:p>
          <w:p w14:paraId="65D3B73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改进措施：按计划完成项目</w:t>
            </w:r>
          </w:p>
        </w:tc>
      </w:tr>
      <w:tr w14:paraId="24388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3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8081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总体目标完成情况</w:t>
            </w:r>
          </w:p>
        </w:tc>
        <w:tc>
          <w:tcPr>
            <w:tcW w:w="2254"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924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总体目标</w:t>
            </w:r>
          </w:p>
        </w:tc>
        <w:tc>
          <w:tcPr>
            <w:tcW w:w="2406"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3BC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全年实际完成情况</w:t>
            </w:r>
          </w:p>
        </w:tc>
      </w:tr>
      <w:tr w14:paraId="7C84E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61" w:hRule="atLeast"/>
          <w:jc w:val="center"/>
        </w:trPr>
        <w:tc>
          <w:tcPr>
            <w:tcW w:w="3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4E401E">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2254"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98578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支持地方提升旅游公共服务水平，加强旅游宣传推广，推进旅游业转型升级融合发展，促进文化和旅游消费，推动旅游业高质量发展。</w:t>
            </w:r>
          </w:p>
        </w:tc>
        <w:tc>
          <w:tcPr>
            <w:tcW w:w="240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ABDC3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围绕</w:t>
            </w:r>
            <w:r>
              <w:rPr>
                <w:rFonts w:hint="eastAsia" w:ascii="仿宋_GB2312" w:hAnsi="仿宋_GB2312" w:eastAsia="仿宋_GB2312" w:cs="仿宋_GB2312"/>
                <w:i w:val="0"/>
                <w:iCs w:val="0"/>
                <w:color w:val="000000"/>
                <w:kern w:val="0"/>
                <w:sz w:val="21"/>
                <w:szCs w:val="21"/>
                <w:u w:val="none"/>
                <w:lang w:val="en-US" w:eastAsia="zh-CN" w:bidi="ar"/>
              </w:rPr>
              <w:t>“支持地方提升旅游公共服务水平、加强旅游宣传推广、推进旅游业转型升级融合发展、促进文化和旅游消费、推动旅游业高质量发展”</w:t>
            </w:r>
            <w:r>
              <w:rPr>
                <w:rFonts w:hint="default" w:ascii="Times New Roman" w:hAnsi="Times New Roman" w:eastAsia="仿宋_GB2312" w:cs="Times New Roman"/>
                <w:i w:val="0"/>
                <w:iCs w:val="0"/>
                <w:color w:val="000000"/>
                <w:kern w:val="0"/>
                <w:sz w:val="21"/>
                <w:szCs w:val="21"/>
                <w:u w:val="none"/>
                <w:lang w:val="en-US" w:eastAsia="zh-CN" w:bidi="ar"/>
              </w:rPr>
              <w:t>的总体目标，各项工作稳步推进：产出指标方面，旅游公共服务水平提升的 A 级旅游景区、宣传推广重点文旅资源数量均达标，宣传品制作、旅游消费促进活动场次超额完成，受地方财政资金未下达、部分景区监测设备老化及资金下达滞后影响，旅游业转型升级融合发展项目、A 级旅游景区数据监测覆盖率未完全达标；效益指标方面，乡村旅游、红色旅游接待人次增长率达标，国内旅游收入增长率受消费偏好及高基数效应影响略低于预期；满意度指标方面，旅游公共服务群众满意度超额完成目标。整体来看，年度核心任务基本完成，未达标项主要受客观因素制约，后续将针对性优化改进，持续推动旅游业高质量发展。</w:t>
            </w:r>
          </w:p>
        </w:tc>
      </w:tr>
      <w:tr w14:paraId="5F0D4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jc w:val="center"/>
        </w:trPr>
        <w:tc>
          <w:tcPr>
            <w:tcW w:w="339" w:type="pct"/>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F460B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绩效指标</w:t>
            </w:r>
          </w:p>
        </w:tc>
        <w:tc>
          <w:tcPr>
            <w:tcW w:w="3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BAB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一级</w:t>
            </w:r>
          </w:p>
          <w:p w14:paraId="351424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指标</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AC9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二级指标</w:t>
            </w:r>
          </w:p>
        </w:tc>
        <w:tc>
          <w:tcPr>
            <w:tcW w:w="10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9B6A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三级指标</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30F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指标值</w:t>
            </w:r>
          </w:p>
        </w:tc>
        <w:tc>
          <w:tcPr>
            <w:tcW w:w="522" w:type="pct"/>
            <w:tcBorders>
              <w:top w:val="nil"/>
              <w:left w:val="single" w:color="000000" w:sz="4" w:space="0"/>
              <w:bottom w:val="single" w:color="000000" w:sz="4" w:space="0"/>
              <w:right w:val="single" w:color="000000" w:sz="4" w:space="0"/>
            </w:tcBorders>
            <w:shd w:val="clear" w:color="auto" w:fill="auto"/>
            <w:vAlign w:val="center"/>
          </w:tcPr>
          <w:p w14:paraId="39E390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全年实际完成值</w:t>
            </w:r>
          </w:p>
        </w:tc>
        <w:tc>
          <w:tcPr>
            <w:tcW w:w="398" w:type="pct"/>
            <w:tcBorders>
              <w:top w:val="nil"/>
              <w:left w:val="single" w:color="000000" w:sz="4" w:space="0"/>
              <w:bottom w:val="single" w:color="000000" w:sz="4" w:space="0"/>
              <w:right w:val="single" w:color="000000" w:sz="4" w:space="0"/>
            </w:tcBorders>
            <w:shd w:val="clear" w:color="auto" w:fill="auto"/>
            <w:vAlign w:val="center"/>
          </w:tcPr>
          <w:p w14:paraId="764275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分值</w:t>
            </w:r>
          </w:p>
        </w:tc>
        <w:tc>
          <w:tcPr>
            <w:tcW w:w="403" w:type="pct"/>
            <w:tcBorders>
              <w:top w:val="nil"/>
              <w:left w:val="single" w:color="000000" w:sz="4" w:space="0"/>
              <w:bottom w:val="single" w:color="000000" w:sz="4" w:space="0"/>
              <w:right w:val="single" w:color="000000" w:sz="4" w:space="0"/>
            </w:tcBorders>
            <w:shd w:val="clear" w:color="auto" w:fill="auto"/>
            <w:vAlign w:val="center"/>
          </w:tcPr>
          <w:p w14:paraId="7FC92D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得分</w:t>
            </w:r>
          </w:p>
        </w:tc>
        <w:tc>
          <w:tcPr>
            <w:tcW w:w="108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93C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未完成原因和改进</w:t>
            </w:r>
          </w:p>
          <w:p w14:paraId="457C51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措施</w:t>
            </w:r>
          </w:p>
        </w:tc>
      </w:tr>
      <w:tr w14:paraId="26B7A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9" w:hRule="atLeast"/>
          <w:jc w:val="center"/>
        </w:trPr>
        <w:tc>
          <w:tcPr>
            <w:tcW w:w="339"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53FD7AD">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30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8C9C6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产</w:t>
            </w:r>
          </w:p>
          <w:p w14:paraId="55F5DB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出</w:t>
            </w:r>
          </w:p>
          <w:p w14:paraId="75BC32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指</w:t>
            </w:r>
          </w:p>
          <w:p w14:paraId="5C4CB6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标</w:t>
            </w: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8F2C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数量指标</w:t>
            </w:r>
          </w:p>
        </w:tc>
        <w:tc>
          <w:tcPr>
            <w:tcW w:w="10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E2B8B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旅游公共服务水平提升的A级旅游景区个数</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4A2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≥14个</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0E2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14个</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072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4</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177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4</w:t>
            </w:r>
          </w:p>
        </w:tc>
        <w:tc>
          <w:tcPr>
            <w:tcW w:w="10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AF5723">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仿宋_GB2312" w:cs="Times New Roman"/>
                <w:i w:val="0"/>
                <w:iCs w:val="0"/>
                <w:color w:val="000000"/>
                <w:sz w:val="21"/>
                <w:szCs w:val="21"/>
                <w:u w:val="none"/>
              </w:rPr>
            </w:pPr>
          </w:p>
        </w:tc>
      </w:tr>
      <w:tr w14:paraId="4544E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1" w:hRule="atLeast"/>
          <w:jc w:val="center"/>
        </w:trPr>
        <w:tc>
          <w:tcPr>
            <w:tcW w:w="339"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9C358F3">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67E27C">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815240">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10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9FABF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宣传推广旅游景区、旅游度假区、旅游休闲城市和街区个数</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B0C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≥5个</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A01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E93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4</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A48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4</w:t>
            </w:r>
          </w:p>
        </w:tc>
        <w:tc>
          <w:tcPr>
            <w:tcW w:w="10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8C55A7">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仿宋_GB2312" w:cs="Times New Roman"/>
                <w:i w:val="0"/>
                <w:iCs w:val="0"/>
                <w:color w:val="000000"/>
                <w:sz w:val="21"/>
                <w:szCs w:val="21"/>
                <w:u w:val="none"/>
              </w:rPr>
            </w:pPr>
          </w:p>
        </w:tc>
      </w:tr>
      <w:tr w14:paraId="07DB0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jc w:val="center"/>
        </w:trPr>
        <w:tc>
          <w:tcPr>
            <w:tcW w:w="339"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EC94AF3">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78433C">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FC759C">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10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2E0CB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宣传品制作数量</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264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≥4900件（册）</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4AE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≥8000件（册）</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EA7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4</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F53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4</w:t>
            </w:r>
          </w:p>
        </w:tc>
        <w:tc>
          <w:tcPr>
            <w:tcW w:w="10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D262A4">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仿宋_GB2312" w:cs="Times New Roman"/>
                <w:i w:val="0"/>
                <w:iCs w:val="0"/>
                <w:color w:val="000000"/>
                <w:sz w:val="21"/>
                <w:szCs w:val="21"/>
                <w:u w:val="none"/>
              </w:rPr>
            </w:pPr>
          </w:p>
        </w:tc>
      </w:tr>
      <w:tr w14:paraId="28BB7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36" w:hRule="atLeast"/>
          <w:jc w:val="center"/>
        </w:trPr>
        <w:tc>
          <w:tcPr>
            <w:tcW w:w="339"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D232193">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A704EB">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3D6286">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10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D9275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支持旅游业转型升级融合发展和旅游业产品创新的项目个数</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DF2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≥5个</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7CA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4个</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853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4</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22C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3.2</w:t>
            </w:r>
          </w:p>
        </w:tc>
        <w:tc>
          <w:tcPr>
            <w:tcW w:w="10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63382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原因：项目储备与论证不足：前期对符合条件的优质项目挖掘、储备不够充分，部分申报项目在论证阶段未能通过评审，导致可落地项目数量未达预期。</w:t>
            </w:r>
          </w:p>
          <w:p w14:paraId="63F7065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改进措施：优化项目储备与培育：建立旅游业转型升级与产品创新项目库，提前开展项目调研、策划与论证，储备一批优质、成熟的备选项目，确保在资金到位后可快速落地实施。</w:t>
            </w:r>
          </w:p>
        </w:tc>
      </w:tr>
      <w:tr w14:paraId="5D74F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4" w:hRule="atLeast"/>
          <w:jc w:val="center"/>
        </w:trPr>
        <w:tc>
          <w:tcPr>
            <w:tcW w:w="339"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18B8839">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F690E">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F40B9">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10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913D4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举办旅游消费促进活动场次</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7A1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≥20场</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35F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25场</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AEA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4</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EE9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4</w:t>
            </w:r>
          </w:p>
        </w:tc>
        <w:tc>
          <w:tcPr>
            <w:tcW w:w="10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CA1B5B">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仿宋_GB2312" w:cs="Times New Roman"/>
                <w:i w:val="0"/>
                <w:iCs w:val="0"/>
                <w:color w:val="000000"/>
                <w:sz w:val="21"/>
                <w:szCs w:val="21"/>
                <w:u w:val="none"/>
              </w:rPr>
            </w:pPr>
          </w:p>
        </w:tc>
      </w:tr>
      <w:tr w14:paraId="3F807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0" w:hRule="atLeast"/>
          <w:jc w:val="center"/>
        </w:trPr>
        <w:tc>
          <w:tcPr>
            <w:tcW w:w="339"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FA12210">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B54BC6">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D25261">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10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30683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A级旅游景区数据监测覆盖率</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EBA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≥90%</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1F8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84%</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C14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4</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E88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 xml:space="preserve">3.73 </w:t>
            </w:r>
          </w:p>
        </w:tc>
        <w:tc>
          <w:tcPr>
            <w:tcW w:w="10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C6081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原因：部分景区原有监测设备老化，存在故障尚未修复；部分监测相关项目资金下达时间较晚，导致项目开展滞后，难以在规定周期内完成设备部署与调试。</w:t>
            </w:r>
          </w:p>
          <w:p w14:paraId="2B20E39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改进措施：聚焦</w:t>
            </w:r>
            <w:r>
              <w:rPr>
                <w:rFonts w:hint="eastAsia" w:ascii="仿宋_GB2312" w:hAnsi="仿宋_GB2312" w:eastAsia="仿宋_GB2312" w:cs="仿宋_GB2312"/>
                <w:i w:val="0"/>
                <w:iCs w:val="0"/>
                <w:color w:val="000000"/>
                <w:kern w:val="0"/>
                <w:sz w:val="21"/>
                <w:szCs w:val="21"/>
                <w:u w:val="none"/>
                <w:lang w:val="en-US" w:eastAsia="zh-CN" w:bidi="ar"/>
              </w:rPr>
              <w:t>“补短板、强保障、建机制、提能力”，</w:t>
            </w:r>
            <w:r>
              <w:rPr>
                <w:rFonts w:hint="default" w:ascii="Times New Roman" w:hAnsi="Times New Roman" w:eastAsia="仿宋_GB2312" w:cs="Times New Roman"/>
                <w:i w:val="0"/>
                <w:iCs w:val="0"/>
                <w:color w:val="000000"/>
                <w:kern w:val="0"/>
                <w:sz w:val="21"/>
                <w:szCs w:val="21"/>
                <w:u w:val="none"/>
                <w:lang w:val="en-US" w:eastAsia="zh-CN" w:bidi="ar"/>
              </w:rPr>
              <w:t>制定针对性改进措施，确保短期内将覆盖率提升至90%以上，长期实现稳定达标、提质增效</w:t>
            </w:r>
          </w:p>
        </w:tc>
      </w:tr>
      <w:tr w14:paraId="45ECD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4" w:hRule="atLeast"/>
          <w:jc w:val="center"/>
        </w:trPr>
        <w:tc>
          <w:tcPr>
            <w:tcW w:w="339"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13B2D9E">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0B65A8">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E4E4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质量指标</w:t>
            </w:r>
          </w:p>
        </w:tc>
        <w:tc>
          <w:tcPr>
            <w:tcW w:w="10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1B71B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全国大中城市旅游集散中心覆盖率</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2AC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≥95%</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D1C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95%</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C95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3</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601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3</w:t>
            </w:r>
          </w:p>
        </w:tc>
        <w:tc>
          <w:tcPr>
            <w:tcW w:w="10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EA7ABF">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r>
      <w:tr w14:paraId="2C7AC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jc w:val="center"/>
        </w:trPr>
        <w:tc>
          <w:tcPr>
            <w:tcW w:w="339"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A59460E">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731FDB">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148E35">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10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FBEA7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景区公共信息服务、</w:t>
            </w:r>
            <w:r>
              <w:rPr>
                <w:rFonts w:hint="default" w:ascii="Times New Roman" w:hAnsi="Times New Roman" w:eastAsia="仿宋_GB2312" w:cs="Times New Roman"/>
                <w:i w:val="0"/>
                <w:iCs w:val="0"/>
                <w:color w:val="000000"/>
                <w:spacing w:val="-11"/>
                <w:kern w:val="0"/>
                <w:sz w:val="21"/>
                <w:szCs w:val="21"/>
                <w:u w:val="none"/>
                <w:lang w:val="en-US" w:eastAsia="zh-CN" w:bidi="ar"/>
              </w:rPr>
              <w:t>引导标识服务覆盖率</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F32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≥95%</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165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98%</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6C1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3</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395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3</w:t>
            </w:r>
          </w:p>
        </w:tc>
        <w:tc>
          <w:tcPr>
            <w:tcW w:w="10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772CD7">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r>
      <w:tr w14:paraId="73F53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6" w:hRule="atLeast"/>
          <w:jc w:val="center"/>
        </w:trPr>
        <w:tc>
          <w:tcPr>
            <w:tcW w:w="339"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56113A5">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306" w:type="pct"/>
            <w:vMerge w:val="restart"/>
            <w:tcBorders>
              <w:top w:val="single" w:color="000000" w:sz="4" w:space="0"/>
              <w:left w:val="single" w:color="000000" w:sz="4" w:space="0"/>
              <w:bottom w:val="nil"/>
              <w:right w:val="single" w:color="000000" w:sz="4" w:space="0"/>
            </w:tcBorders>
            <w:shd w:val="clear" w:color="auto" w:fill="auto"/>
            <w:vAlign w:val="center"/>
          </w:tcPr>
          <w:p w14:paraId="0791B2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效</w:t>
            </w:r>
          </w:p>
          <w:p w14:paraId="4534BB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益</w:t>
            </w:r>
          </w:p>
          <w:p w14:paraId="3CB5A4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指</w:t>
            </w:r>
          </w:p>
          <w:p w14:paraId="45FAEB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标</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39E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经济效益</w:t>
            </w:r>
          </w:p>
          <w:p w14:paraId="45FA4B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指标</w:t>
            </w:r>
          </w:p>
        </w:tc>
        <w:tc>
          <w:tcPr>
            <w:tcW w:w="10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12B7A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国内旅游收入增长率</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B62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≥10%</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D69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9.02%</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05E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A99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4.51</w:t>
            </w:r>
          </w:p>
        </w:tc>
        <w:tc>
          <w:tcPr>
            <w:tcW w:w="10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06C20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原因：1.在整体消费市场复苏的背景下，游客更倾向于选择性价比高的旅游产品和服务，或在行程中减少非必要开支，从而影响了总收入的整体增速.</w:t>
            </w:r>
          </w:p>
          <w:p w14:paraId="53D1045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Style w:val="14"/>
                <w:rFonts w:hint="default" w:ascii="Times New Roman" w:hAnsi="Times New Roman" w:eastAsia="仿宋_GB2312" w:cs="Times New Roman"/>
                <w:sz w:val="21"/>
                <w:szCs w:val="21"/>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2.2024年湖南旅游总收入已突破万亿元大关，成为全省六大万亿级产业之一。</w:t>
            </w:r>
            <w:r>
              <w:rPr>
                <w:rStyle w:val="13"/>
                <w:rFonts w:hint="default" w:ascii="Times New Roman" w:hAnsi="Times New Roman" w:eastAsia="仿宋_GB2312" w:cs="Times New Roman"/>
                <w:sz w:val="21"/>
                <w:szCs w:val="21"/>
                <w:lang w:val="en-US" w:eastAsia="zh-CN" w:bidi="ar"/>
              </w:rPr>
              <w:t>‌</w:t>
            </w:r>
            <w:r>
              <w:rPr>
                <w:rStyle w:val="14"/>
                <w:rFonts w:hint="default" w:ascii="Times New Roman" w:hAnsi="Times New Roman" w:eastAsia="仿宋_GB2312" w:cs="Times New Roman"/>
                <w:sz w:val="21"/>
                <w:szCs w:val="21"/>
                <w:lang w:val="en-US" w:eastAsia="zh-CN" w:bidi="ar"/>
              </w:rPr>
              <w:t>这意味着产业规模已达到一个较高的基数平台。在此背景下，维持高速增长的难度自然增加。</w:t>
            </w:r>
          </w:p>
          <w:p w14:paraId="1D859A8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Style w:val="14"/>
                <w:rFonts w:hint="default" w:ascii="Times New Roman" w:hAnsi="Times New Roman" w:eastAsia="仿宋_GB2312" w:cs="Times New Roman"/>
                <w:sz w:val="21"/>
                <w:szCs w:val="21"/>
                <w:lang w:val="en-US" w:eastAsia="zh-CN" w:bidi="ar"/>
              </w:rPr>
              <w:t>改进措施：依托万亿级产业规模基础，从规模扩张转向质量提升，大力发展文旅融合新业态，如研学旅游、康养旅游、夜间经济、乡村度假、文创消费等，开辟新增收渠道，破解高基数下增长乏力问题。</w:t>
            </w:r>
          </w:p>
        </w:tc>
      </w:tr>
      <w:tr w14:paraId="101A4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9" w:hRule="atLeast"/>
          <w:jc w:val="center"/>
        </w:trPr>
        <w:tc>
          <w:tcPr>
            <w:tcW w:w="339"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39BBF33">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306" w:type="pct"/>
            <w:vMerge w:val="continue"/>
            <w:tcBorders>
              <w:top w:val="single" w:color="000000" w:sz="4" w:space="0"/>
              <w:left w:val="single" w:color="000000" w:sz="4" w:space="0"/>
              <w:bottom w:val="nil"/>
              <w:right w:val="single" w:color="000000" w:sz="4" w:space="0"/>
            </w:tcBorders>
            <w:shd w:val="clear" w:color="auto" w:fill="auto"/>
            <w:vAlign w:val="center"/>
          </w:tcPr>
          <w:p w14:paraId="509436D7">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69D4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社会效益</w:t>
            </w:r>
          </w:p>
          <w:p w14:paraId="618B8C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指标</w:t>
            </w:r>
          </w:p>
        </w:tc>
        <w:tc>
          <w:tcPr>
            <w:tcW w:w="10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66EFA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乡村旅游接待人次增长率</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E11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BA9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5.3%</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C26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44C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w:t>
            </w:r>
          </w:p>
        </w:tc>
        <w:tc>
          <w:tcPr>
            <w:tcW w:w="10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67BCAC">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r>
      <w:tr w14:paraId="3E392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339"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A3BD6D2">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306" w:type="pct"/>
            <w:vMerge w:val="continue"/>
            <w:tcBorders>
              <w:top w:val="single" w:color="000000" w:sz="4" w:space="0"/>
              <w:left w:val="single" w:color="000000" w:sz="4" w:space="0"/>
              <w:bottom w:val="nil"/>
              <w:right w:val="single" w:color="000000" w:sz="4" w:space="0"/>
            </w:tcBorders>
            <w:shd w:val="clear" w:color="auto" w:fill="auto"/>
            <w:vAlign w:val="center"/>
          </w:tcPr>
          <w:p w14:paraId="5F900AF4">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1573C0">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10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6B2E0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红色旅游接待人次增长率</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265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8B4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9A7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2CC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w:t>
            </w:r>
          </w:p>
        </w:tc>
        <w:tc>
          <w:tcPr>
            <w:tcW w:w="10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7A7A0B">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r>
      <w:tr w14:paraId="1CFFE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1" w:hRule="atLeast"/>
          <w:jc w:val="center"/>
        </w:trPr>
        <w:tc>
          <w:tcPr>
            <w:tcW w:w="339"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1B12E42">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3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E55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满意度指标</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6E9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服务对象</w:t>
            </w:r>
          </w:p>
          <w:p w14:paraId="7BD8BD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满意度指标</w:t>
            </w:r>
          </w:p>
        </w:tc>
        <w:tc>
          <w:tcPr>
            <w:tcW w:w="105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FE50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旅游公共服务群众满意度</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DC8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≥90%</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D75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92.40%</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72C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235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w:t>
            </w:r>
          </w:p>
        </w:tc>
        <w:tc>
          <w:tcPr>
            <w:tcW w:w="10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4BDE7D">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r>
      <w:tr w14:paraId="0343B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3115"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E43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总分</w:t>
            </w:r>
          </w:p>
        </w:tc>
        <w:tc>
          <w:tcPr>
            <w:tcW w:w="3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1D6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100</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A65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 xml:space="preserve">89.67 </w:t>
            </w:r>
          </w:p>
        </w:tc>
        <w:tc>
          <w:tcPr>
            <w:tcW w:w="10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558ACF">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r>
      <w:tr w14:paraId="15572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7" w:hRule="atLeast"/>
          <w:jc w:val="center"/>
        </w:trPr>
        <w:tc>
          <w:tcPr>
            <w:tcW w:w="100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C6E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说明</w:t>
            </w:r>
          </w:p>
        </w:tc>
        <w:tc>
          <w:tcPr>
            <w:tcW w:w="3991"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D8F4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无</w:t>
            </w:r>
          </w:p>
        </w:tc>
      </w:tr>
    </w:tbl>
    <w:p w14:paraId="07E6FDAC">
      <w:pPr>
        <w:rPr>
          <w:rFonts w:hint="default"/>
        </w:rPr>
      </w:pPr>
      <w:r>
        <w:rPr>
          <w:rFonts w:hint="default"/>
        </w:rPr>
        <w:br w:type="page"/>
      </w:r>
    </w:p>
    <w:p w14:paraId="06652EC6">
      <w:pPr>
        <w:rPr>
          <w:rFonts w:hint="default"/>
        </w:rPr>
        <w:sectPr>
          <w:type w:val="continuous"/>
          <w:pgSz w:w="11906" w:h="16838"/>
          <w:pgMar w:top="1417" w:right="1531" w:bottom="1417" w:left="1531" w:header="720" w:footer="992" w:gutter="0"/>
          <w:pgBorders>
            <w:top w:val="none" w:sz="0" w:space="0"/>
            <w:left w:val="none" w:sz="0" w:space="0"/>
            <w:bottom w:val="none" w:sz="0" w:space="0"/>
            <w:right w:val="none" w:sz="0" w:space="0"/>
          </w:pgBorders>
          <w:lnNumType w:countBy="0" w:distance="360"/>
          <w:pgNumType w:fmt="numberInDash"/>
          <w:cols w:space="720" w:num="1"/>
          <w:docGrid w:type="lines" w:linePitch="312" w:charSpace="0"/>
        </w:sectPr>
      </w:pPr>
    </w:p>
    <w:p w14:paraId="022DB2C3">
      <w:pPr>
        <w:pStyle w:val="2"/>
        <w:rPr>
          <w:rFonts w:hint="default"/>
        </w:rPr>
      </w:pPr>
      <w:bookmarkStart w:id="5" w:name="_GoBack"/>
      <w:bookmarkEnd w:id="5"/>
    </w:p>
    <w:sectPr>
      <w:type w:val="continuous"/>
      <w:pgSz w:w="11906" w:h="16838"/>
      <w:pgMar w:top="2098" w:right="1531" w:bottom="1531" w:left="1531" w:header="720" w:footer="992" w:gutter="0"/>
      <w:pgBorders>
        <w:top w:val="none" w:sz="0" w:space="0"/>
        <w:left w:val="none" w:sz="0" w:space="0"/>
        <w:bottom w:val="none" w:sz="0" w:space="0"/>
        <w:right w:val="none" w:sz="0" w:space="0"/>
      </w:pgBorders>
      <w:lnNumType w:countBy="0" w:distance="360"/>
      <w:pgNumType w:fmt="numberInDash" w:start="2"/>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Nimbus Roman No9 L"/>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 w:name="DejaVu Math TeX Gyre">
    <w:panose1 w:val="02000503000000000000"/>
    <w:charset w:val="00"/>
    <w:family w:val="auto"/>
    <w:pitch w:val="default"/>
    <w:sig w:usb0="A10000EF" w:usb1="4201F9EE" w:usb2="02000000" w:usb3="00000000" w:csb0="60000193" w:csb1="0DD4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D0E73F">
    <w:pPr>
      <w:pStyle w:val="7"/>
      <w:ind w:right="360" w:firstLine="360"/>
      <w:jc w:val="center"/>
      <w:rPr>
        <w:rFonts w:ascii="宋体" w:hAnsi="宋体"/>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57081A">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- 10 -</w:t>
                          </w:r>
                          <w:r>
                            <w:rPr>
                              <w:rFonts w:hint="eastAsia" w:asciiTheme="minorEastAsia" w:hAnsiTheme="minorEastAsia" w:eastAsiaTheme="minorEastAsia" w:cstheme="minorEastAsia"/>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D57081A">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- 10 -</w:t>
                    </w:r>
                    <w:r>
                      <w:rPr>
                        <w:rFonts w:hint="eastAsia" w:asciiTheme="minorEastAsia" w:hAnsiTheme="minorEastAsia" w:eastAsiaTheme="minorEastAsia" w:cstheme="minorEastAsia"/>
                        <w:sz w:val="24"/>
                        <w:szCs w:val="24"/>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31BE11"/>
    <w:multiLevelType w:val="singleLevel"/>
    <w:tmpl w:val="AD31BE11"/>
    <w:lvl w:ilvl="0" w:tentative="0">
      <w:start w:val="1"/>
      <w:numFmt w:val="decimal"/>
      <w:suff w:val="nothing"/>
      <w:lvlText w:val="%1."/>
      <w:lvlJc w:val="left"/>
      <w:pPr>
        <w:tabs>
          <w:tab w:val="left" w:pos="420"/>
        </w:tabs>
      </w:pPr>
      <w:rPr>
        <w:rFonts w:hint="default"/>
      </w:rPr>
    </w:lvl>
  </w:abstractNum>
  <w:abstractNum w:abstractNumId="1">
    <w:nsid w:val="B6971EB9"/>
    <w:multiLevelType w:val="singleLevel"/>
    <w:tmpl w:val="B6971EB9"/>
    <w:lvl w:ilvl="0" w:tentative="0">
      <w:start w:val="1"/>
      <w:numFmt w:val="decimal"/>
      <w:suff w:val="nothing"/>
      <w:lvlText w:val="（%1）"/>
      <w:lvlJc w:val="left"/>
    </w:lvl>
  </w:abstractNum>
  <w:abstractNum w:abstractNumId="2">
    <w:nsid w:val="FBCD7858"/>
    <w:multiLevelType w:val="singleLevel"/>
    <w:tmpl w:val="FBCD7858"/>
    <w:lvl w:ilvl="0" w:tentative="0">
      <w:start w:val="1"/>
      <w:numFmt w:val="decimal"/>
      <w:suff w:val="nothing"/>
      <w:lvlText w:val="%1．"/>
      <w:lvlJc w:val="left"/>
      <w:pPr>
        <w:ind w:left="0" w:firstLine="40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E1Zjg3ZTAzOTEzNGFmODlkYWU3ZmQ2NmQwOGZhMjQifQ=="/>
  </w:docVars>
  <w:rsids>
    <w:rsidRoot w:val="00000000"/>
    <w:rsid w:val="0FC637F3"/>
    <w:rsid w:val="19287CE8"/>
    <w:rsid w:val="1A0B045B"/>
    <w:rsid w:val="268B4EB3"/>
    <w:rsid w:val="2BC61B59"/>
    <w:rsid w:val="2C11611D"/>
    <w:rsid w:val="317C32EC"/>
    <w:rsid w:val="3A7C118A"/>
    <w:rsid w:val="4246777C"/>
    <w:rsid w:val="45E2004C"/>
    <w:rsid w:val="47DFECD1"/>
    <w:rsid w:val="4C72455F"/>
    <w:rsid w:val="4E4055F2"/>
    <w:rsid w:val="524C0700"/>
    <w:rsid w:val="554B293A"/>
    <w:rsid w:val="55B993BA"/>
    <w:rsid w:val="5A3E3CD2"/>
    <w:rsid w:val="5FD23343"/>
    <w:rsid w:val="67BA634C"/>
    <w:rsid w:val="72D24413"/>
    <w:rsid w:val="771F4B11"/>
    <w:rsid w:val="77BD0ACC"/>
    <w:rsid w:val="77FBFB6A"/>
    <w:rsid w:val="7B0462D3"/>
    <w:rsid w:val="7DE1316F"/>
    <w:rsid w:val="7E004FE3"/>
    <w:rsid w:val="7F9972A9"/>
    <w:rsid w:val="9FBF9FB5"/>
    <w:rsid w:val="FDDC3B2B"/>
    <w:rsid w:val="FFFF41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pBdr>
        <w:top w:val="none" w:color="auto" w:sz="0" w:space="1"/>
        <w:left w:val="none" w:color="auto" w:sz="0" w:space="4"/>
        <w:bottom w:val="none" w:color="auto" w:sz="0" w:space="1"/>
        <w:right w:val="none" w:color="auto" w:sz="0" w:space="4"/>
      </w:pBdr>
      <w:jc w:val="both"/>
    </w:pPr>
    <w:rPr>
      <w:rFonts w:asciiTheme="minorAscii" w:hAnsiTheme="minorAscii" w:eastAsiaTheme="minorEastAsia" w:cstheme="minorBidi"/>
      <w:kern w:val="2"/>
      <w:sz w:val="21"/>
      <w:szCs w:val="22"/>
      <w:lang w:val="en-US" w:eastAsia="zh-CN" w:bidi="ar-SA"/>
    </w:rPr>
  </w:style>
  <w:style w:type="paragraph" w:styleId="3">
    <w:name w:val="heading 1"/>
    <w:basedOn w:val="1"/>
    <w:next w:val="1"/>
    <w:qFormat/>
    <w:uiPriority w:val="0"/>
    <w:pPr>
      <w:keepNext/>
      <w:keepLines/>
      <w:widowControl w:val="0"/>
      <w:suppressLineNumbers w:val="0"/>
      <w:spacing w:before="0" w:beforeLines="0" w:beforeAutospacing="0" w:after="0" w:afterLines="0" w:afterAutospacing="0" w:line="560" w:lineRule="exact"/>
      <w:ind w:firstLine="640" w:firstLineChars="200"/>
      <w:jc w:val="both"/>
      <w:outlineLvl w:val="0"/>
    </w:pPr>
    <w:rPr>
      <w:rFonts w:hint="default" w:ascii="Times New Roman" w:hAnsi="Times New Roman" w:eastAsia="黑体" w:cs="Times New Roman"/>
      <w:b/>
      <w:bCs/>
      <w:kern w:val="44"/>
      <w:sz w:val="32"/>
      <w:szCs w:val="32"/>
      <w:lang w:val="en-US" w:eastAsia="zh-CN" w:bidi="ar"/>
    </w:rPr>
  </w:style>
  <w:style w:type="paragraph" w:styleId="4">
    <w:name w:val="heading 2"/>
    <w:basedOn w:val="1"/>
    <w:next w:val="1"/>
    <w:qFormat/>
    <w:uiPriority w:val="0"/>
    <w:pPr>
      <w:pBdr>
        <w:top w:val="none" w:color="auto" w:sz="0" w:space="0"/>
        <w:left w:val="none" w:color="auto" w:sz="0" w:space="0"/>
        <w:bottom w:val="none" w:color="auto" w:sz="0" w:space="0"/>
        <w:right w:val="none" w:color="auto" w:sz="0" w:space="0"/>
      </w:pBdr>
      <w:spacing w:before="100" w:beforeAutospacing="1" w:after="100" w:afterAutospacing="1"/>
      <w:jc w:val="left"/>
      <w:outlineLvl w:val="1"/>
    </w:pPr>
    <w:rPr>
      <w:rFonts w:hint="eastAsia" w:ascii="宋体" w:hAnsi="宋体" w:eastAsia="宋体" w:cs="宋体"/>
      <w:b/>
      <w:kern w:val="0"/>
      <w:sz w:val="36"/>
      <w:szCs w:val="36"/>
      <w:lang w:val="en-US" w:eastAsia="zh-CN" w:bidi="ar"/>
    </w:rPr>
  </w:style>
  <w:style w:type="paragraph" w:styleId="5">
    <w:name w:val="heading 3"/>
    <w:basedOn w:val="1"/>
    <w:next w:val="1"/>
    <w:semiHidden/>
    <w:unhideWhenUsed/>
    <w:qFormat/>
    <w:uiPriority w:val="0"/>
    <w:pPr>
      <w:keepNext/>
      <w:keepLines/>
      <w:widowControl w:val="0"/>
      <w:suppressLineNumbers w:val="0"/>
      <w:spacing w:before="0" w:beforeLines="0" w:beforeAutospacing="0" w:after="0" w:afterLines="0" w:afterAutospacing="0" w:line="560" w:lineRule="exact"/>
      <w:ind w:firstLine="640" w:firstLineChars="200"/>
      <w:jc w:val="both"/>
      <w:outlineLvl w:val="2"/>
    </w:pPr>
    <w:rPr>
      <w:rFonts w:hint="default" w:ascii="Times New Roman" w:hAnsi="Times New Roman" w:eastAsia="仿宋_GB2312" w:cs="Times New Roman"/>
      <w:b/>
      <w:bCs/>
      <w:kern w:val="2"/>
      <w:sz w:val="32"/>
      <w:szCs w:val="32"/>
      <w:lang w:val="en-US" w:eastAsia="zh-CN" w:bidi="ar"/>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toc 1"/>
    <w:basedOn w:val="1"/>
    <w:next w:val="1"/>
    <w:qFormat/>
    <w:uiPriority w:val="0"/>
  </w:style>
  <w:style w:type="paragraph" w:styleId="6">
    <w:name w:val="Salutation"/>
    <w:basedOn w:val="1"/>
    <w:next w:val="1"/>
    <w:qFormat/>
    <w:uiPriority w:val="0"/>
    <w:pPr>
      <w:pBdr>
        <w:top w:val="none" w:color="auto" w:sz="0" w:space="0"/>
        <w:left w:val="none" w:color="auto" w:sz="0" w:space="0"/>
        <w:bottom w:val="none" w:color="auto" w:sz="0" w:space="0"/>
        <w:right w:val="none" w:color="auto" w:sz="0" w:space="0"/>
      </w:pBdr>
    </w:pPr>
    <w:rPr>
      <w:rFonts w:ascii="Calibri" w:hAnsi="Calibri" w:eastAsia="宋体" w:cs="Times New Roman"/>
      <w:sz w:val="32"/>
      <w:szCs w:val="24"/>
    </w:rPr>
  </w:style>
  <w:style w:type="paragraph" w:styleId="7">
    <w:name w:val="footer"/>
    <w:basedOn w:val="1"/>
    <w:qFormat/>
    <w:uiPriority w:val="99"/>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pBdr>
        <w:top w:val="none" w:color="auto" w:sz="0" w:space="0"/>
        <w:left w:val="none" w:color="auto" w:sz="0" w:space="0"/>
        <w:bottom w:val="none" w:color="auto" w:sz="0" w:space="0"/>
        <w:right w:val="none" w:color="auto" w:sz="0" w:space="0"/>
      </w:pBdr>
    </w:pPr>
    <w:rPr>
      <w:rFonts w:ascii="Calibri" w:hAnsi="Calibri" w:eastAsia="宋体" w:cs="Times New Roman"/>
      <w:sz w:val="24"/>
      <w:szCs w:val="24"/>
    </w:rPr>
  </w:style>
  <w:style w:type="character" w:customStyle="1" w:styleId="12">
    <w:name w:val="font01"/>
    <w:basedOn w:val="11"/>
    <w:qFormat/>
    <w:uiPriority w:val="0"/>
    <w:rPr>
      <w:rFonts w:hint="eastAsia" w:ascii="宋体" w:hAnsi="宋体" w:eastAsia="宋体" w:cs="宋体"/>
      <w:color w:val="000000"/>
      <w:sz w:val="24"/>
      <w:szCs w:val="24"/>
      <w:u w:val="none"/>
    </w:rPr>
  </w:style>
  <w:style w:type="character" w:customStyle="1" w:styleId="13">
    <w:name w:val="font81"/>
    <w:basedOn w:val="11"/>
    <w:qFormat/>
    <w:uiPriority w:val="0"/>
    <w:rPr>
      <w:rFonts w:hint="default" w:ascii="Times New Roman" w:hAnsi="Times New Roman" w:cs="Times New Roman"/>
      <w:color w:val="000000"/>
      <w:sz w:val="20"/>
      <w:szCs w:val="20"/>
      <w:u w:val="none"/>
    </w:rPr>
  </w:style>
  <w:style w:type="character" w:customStyle="1" w:styleId="14">
    <w:name w:val="font61"/>
    <w:basedOn w:val="11"/>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6060</Words>
  <Characters>6418</Characters>
  <Lines>0</Lines>
  <Paragraphs>0</Paragraphs>
  <TotalTime>22</TotalTime>
  <ScaleCrop>false</ScaleCrop>
  <LinksUpToDate>false</LinksUpToDate>
  <CharactersWithSpaces>6503</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2026-03-21T09:09:00Z</dcterms:created>
  <dc:creator>华为</dc:creator>
  <cp:lastModifiedBy>greatwall</cp:lastModifiedBy>
  <cp:lastPrinted>2026-03-31T07:21:00Z</cp:lastPrinted>
  <dcterms:modified xsi:type="dcterms:W3CDTF">2026-09-01T08:40:36Z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KSOTemplateDocerSaveRecord">
    <vt:lpwstr>eyJoZGlkIjoiNTc1OWMzYWFkMmQ1NDlhYTdjNWYwYWRjMzgwYmFjMjEiLCJ1c2VySWQiOiI3MDQyNTUxNjUifQ==</vt:lpwstr>
  </property>
  <property fmtid="{D5CDD505-2E9C-101B-9397-08002B2CF9AE}" pid="4" name="ICV">
    <vt:lpwstr>867AECAA3012CDE4041F966AACB16E5A_43</vt:lpwstr>
  </property>
</Properties>
</file>