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F25F20">
      <w:pPr>
        <w:pStyle w:val="19"/>
        <w:shd w:val="clear"/>
        <w:jc w:val="both"/>
        <w:rPr>
          <w:rFonts w:hAnsi="黑体"/>
          <w:sz w:val="36"/>
          <w:szCs w:val="36"/>
        </w:rPr>
      </w:pPr>
    </w:p>
    <w:p w14:paraId="6DE77BFF">
      <w:pPr>
        <w:pStyle w:val="19"/>
        <w:shd w:val="clear"/>
        <w:jc w:val="center"/>
        <w:rPr>
          <w:rFonts w:ascii="Times New Roman" w:hAnsi="Times New Roman" w:cs="Times New Roman"/>
          <w:sz w:val="56"/>
          <w:szCs w:val="56"/>
        </w:rPr>
      </w:pPr>
    </w:p>
    <w:p w14:paraId="1F8F55C7">
      <w:pPr>
        <w:pStyle w:val="19"/>
        <w:shd w:val="clear"/>
        <w:jc w:val="center"/>
        <w:rPr>
          <w:rFonts w:ascii="Times New Roman" w:hAnsi="Times New Roman" w:cs="Times New Roman"/>
          <w:sz w:val="84"/>
          <w:szCs w:val="84"/>
        </w:rPr>
      </w:pPr>
    </w:p>
    <w:p w14:paraId="0797F895">
      <w:pPr>
        <w:pStyle w:val="19"/>
        <w:shd w:val="clear"/>
        <w:jc w:val="center"/>
        <w:rPr>
          <w:rFonts w:ascii="Times New Roman" w:hAnsi="Times New Roman" w:cs="Times New Roman"/>
          <w:sz w:val="84"/>
          <w:szCs w:val="84"/>
        </w:rPr>
      </w:pPr>
    </w:p>
    <w:p w14:paraId="06F311BC">
      <w:pPr>
        <w:pStyle w:val="19"/>
        <w:shd w:val="clear"/>
        <w:jc w:val="center"/>
        <w:rPr>
          <w:rFonts w:hint="eastAsia"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2025年度</w:t>
      </w:r>
    </w:p>
    <w:p w14:paraId="5B40CB64">
      <w:pPr>
        <w:pStyle w:val="19"/>
        <w:shd w:val="clear"/>
        <w:jc w:val="center"/>
        <w:rPr>
          <w:rFonts w:hint="eastAsia" w:ascii="方正小标宋简体" w:hAnsi="方正小标宋简体" w:eastAsia="方正小标宋简体" w:cs="方正小标宋简体"/>
          <w:spacing w:val="20"/>
          <w:sz w:val="70"/>
          <w:szCs w:val="70"/>
        </w:rPr>
      </w:pPr>
      <w:r>
        <w:rPr>
          <w:rFonts w:hint="eastAsia" w:ascii="方正小标宋简体" w:hAnsi="方正小标宋简体" w:eastAsia="方正小标宋简体" w:cs="方正小标宋简体"/>
          <w:spacing w:val="20"/>
          <w:sz w:val="70"/>
          <w:szCs w:val="70"/>
        </w:rPr>
        <w:t>湖南省文化和旅游厅</w:t>
      </w:r>
    </w:p>
    <w:p w14:paraId="585F9623">
      <w:pPr>
        <w:pStyle w:val="19"/>
        <w:shd w:val="clear"/>
        <w:jc w:val="center"/>
        <w:rPr>
          <w:rFonts w:hint="eastAsia" w:ascii="方正小标宋简体" w:hAnsi="方正小标宋简体" w:eastAsia="方正小标宋简体" w:cs="方正小标宋简体"/>
          <w:sz w:val="56"/>
          <w:szCs w:val="56"/>
        </w:rPr>
      </w:pPr>
      <w:r>
        <w:rPr>
          <w:rFonts w:hint="eastAsia" w:ascii="方正小标宋简体" w:hAnsi="方正小标宋简体" w:eastAsia="方正小标宋简体" w:cs="方正小标宋简体"/>
          <w:spacing w:val="11"/>
          <w:sz w:val="70"/>
          <w:szCs w:val="70"/>
        </w:rPr>
        <w:t>部门决算</w:t>
      </w:r>
    </w:p>
    <w:p w14:paraId="59B07A35">
      <w:pPr>
        <w:pStyle w:val="19"/>
        <w:shd w:val="clear"/>
        <w:jc w:val="center"/>
        <w:rPr>
          <w:rFonts w:ascii="Times New Roman" w:hAnsi="Times New Roman" w:cs="Times New Roman"/>
          <w:sz w:val="56"/>
          <w:szCs w:val="56"/>
        </w:rPr>
      </w:pPr>
    </w:p>
    <w:p w14:paraId="36FBD928">
      <w:pPr>
        <w:pStyle w:val="19"/>
        <w:shd w:val="clear"/>
        <w:rPr>
          <w:rFonts w:ascii="Times New Roman" w:hAnsi="Times New Roman" w:cs="Times New Roman"/>
          <w:sz w:val="56"/>
          <w:szCs w:val="56"/>
        </w:rPr>
      </w:pPr>
    </w:p>
    <w:p w14:paraId="2A4971DF">
      <w:pPr>
        <w:pStyle w:val="19"/>
        <w:shd w:val="clear"/>
        <w:jc w:val="center"/>
        <w:rPr>
          <w:rFonts w:ascii="Times New Roman" w:hAnsi="Times New Roman" w:cs="Times New Roman"/>
          <w:sz w:val="32"/>
          <w:szCs w:val="32"/>
        </w:rPr>
      </w:pPr>
    </w:p>
    <w:p w14:paraId="6057EE19">
      <w:pPr>
        <w:pStyle w:val="19"/>
        <w:shd w:val="clear"/>
        <w:jc w:val="center"/>
        <w:rPr>
          <w:rFonts w:ascii="Times New Roman" w:hAnsi="Times New Roman" w:cs="Times New Roman"/>
          <w:sz w:val="32"/>
          <w:szCs w:val="32"/>
        </w:rPr>
      </w:pPr>
    </w:p>
    <w:p w14:paraId="45504381">
      <w:pPr>
        <w:pStyle w:val="19"/>
        <w:shd w:val="clear"/>
        <w:jc w:val="center"/>
        <w:rPr>
          <w:rFonts w:ascii="Times New Roman" w:hAnsi="Times New Roman" w:cs="Times New Roman"/>
          <w:sz w:val="32"/>
          <w:szCs w:val="32"/>
        </w:rPr>
      </w:pPr>
    </w:p>
    <w:p w14:paraId="65CCDCF7">
      <w:pPr>
        <w:pStyle w:val="19"/>
        <w:shd w:val="clear"/>
        <w:jc w:val="center"/>
        <w:rPr>
          <w:rFonts w:ascii="Times New Roman" w:hAnsi="Times New Roman" w:cs="Times New Roman"/>
          <w:sz w:val="32"/>
          <w:szCs w:val="32"/>
        </w:rPr>
      </w:pPr>
    </w:p>
    <w:p w14:paraId="067512E5">
      <w:pPr>
        <w:pStyle w:val="19"/>
        <w:shd w:val="clear"/>
        <w:jc w:val="center"/>
        <w:rPr>
          <w:rFonts w:ascii="Times New Roman" w:hAnsi="Times New Roman" w:cs="Times New Roman"/>
          <w:sz w:val="32"/>
          <w:szCs w:val="32"/>
        </w:rPr>
      </w:pPr>
    </w:p>
    <w:p w14:paraId="5C664388">
      <w:pPr>
        <w:pStyle w:val="19"/>
        <w:shd w:val="clear"/>
        <w:jc w:val="center"/>
        <w:rPr>
          <w:rFonts w:ascii="Times New Roman" w:hAnsi="Times New Roman" w:cs="Times New Roman"/>
          <w:sz w:val="32"/>
          <w:szCs w:val="32"/>
        </w:rPr>
      </w:pPr>
    </w:p>
    <w:p w14:paraId="1F862CC9">
      <w:pPr>
        <w:pStyle w:val="19"/>
        <w:shd w:val="clear"/>
        <w:spacing w:line="540" w:lineRule="exact"/>
        <w:jc w:val="center"/>
        <w:rPr>
          <w:rFonts w:ascii="Times New Roman" w:hAnsi="Times New Roman" w:cs="Times New Roman"/>
          <w:sz w:val="56"/>
          <w:szCs w:val="56"/>
        </w:rPr>
      </w:pPr>
    </w:p>
    <w:p w14:paraId="37670131">
      <w:pPr>
        <w:shd w:val="clea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0E63FEDC">
      <w:pPr>
        <w:pStyle w:val="19"/>
        <w:shd w:val="clear"/>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5446C3E9">
      <w:pPr>
        <w:pStyle w:val="19"/>
        <w:shd w:val="clear"/>
        <w:spacing w:line="600" w:lineRule="exact"/>
        <w:jc w:val="center"/>
        <w:rPr>
          <w:rFonts w:ascii="Times New Roman" w:hAnsi="Times New Roman" w:cs="Times New Roman"/>
          <w:b/>
          <w:sz w:val="36"/>
          <w:szCs w:val="28"/>
        </w:rPr>
      </w:pPr>
    </w:p>
    <w:p w14:paraId="481B76C0">
      <w:pPr>
        <w:shd w:val="clear"/>
        <w:spacing w:before="101" w:line="224" w:lineRule="auto"/>
        <w:rPr>
          <w:rFonts w:hint="eastAsia" w:ascii="黑体" w:hAnsi="黑体" w:eastAsia="黑体" w:cs="黑体"/>
          <w:sz w:val="32"/>
          <w:szCs w:val="32"/>
        </w:rPr>
      </w:pPr>
      <w:r>
        <w:rPr>
          <w:rFonts w:hint="eastAsia" w:ascii="黑体" w:hAnsi="黑体" w:eastAsia="黑体" w:cs="黑体"/>
          <w:bCs/>
          <w:sz w:val="32"/>
          <w:szCs w:val="32"/>
        </w:rPr>
        <w:t xml:space="preserve">第一部分 </w:t>
      </w:r>
      <w:r>
        <w:rPr>
          <w:rFonts w:hint="eastAsia" w:ascii="黑体" w:hAnsi="黑体" w:eastAsia="黑体" w:cs="黑体"/>
          <w:spacing w:val="9"/>
          <w:sz w:val="32"/>
          <w:szCs w:val="32"/>
        </w:rPr>
        <w:t xml:space="preserve"> 湖南省文化和旅游厅部门概况</w:t>
      </w:r>
    </w:p>
    <w:p w14:paraId="05BED6C3">
      <w:pPr>
        <w:pStyle w:val="19"/>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6E8BE1CA">
      <w:pPr>
        <w:pStyle w:val="19"/>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350D8DD9">
      <w:pPr>
        <w:pStyle w:val="19"/>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3DED6375">
      <w:pPr>
        <w:pStyle w:val="19"/>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4E4ADC53">
      <w:pPr>
        <w:pStyle w:val="19"/>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E788280">
      <w:pPr>
        <w:pStyle w:val="19"/>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4BA35D6E">
      <w:pPr>
        <w:pStyle w:val="19"/>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FF7693E">
      <w:pPr>
        <w:pStyle w:val="19"/>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062EA7B0">
      <w:pPr>
        <w:pStyle w:val="19"/>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EE45460">
      <w:pPr>
        <w:pStyle w:val="19"/>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1D83178">
      <w:pPr>
        <w:pStyle w:val="19"/>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22B407E0">
      <w:pPr>
        <w:pStyle w:val="19"/>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B639331">
      <w:pPr>
        <w:pStyle w:val="19"/>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2678DC43">
      <w:pPr>
        <w:pStyle w:val="19"/>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5541C91A">
      <w:pPr>
        <w:shd w:val="clea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494E9C2">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24E4D3C8">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A4D52FC">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2EE7651C">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166CDA7F">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2715998C">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70DE6E30">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344904A">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75CC96F3">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56D09814">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69BAFC9">
      <w:pPr>
        <w:pStyle w:val="19"/>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7CCD403D">
      <w:pPr>
        <w:pStyle w:val="19"/>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w:t>
      </w:r>
      <w:r>
        <w:rPr>
          <w:rFonts w:ascii="Times New Roman" w:hAnsi="Times New Roman" w:eastAsia="仿宋_GB2312" w:cs="Times New Roman"/>
          <w:sz w:val="32"/>
          <w:szCs w:val="32"/>
        </w:rPr>
        <w:t>预算绩效管理情况的说明</w:t>
      </w:r>
    </w:p>
    <w:p w14:paraId="4961D206">
      <w:pPr>
        <w:pStyle w:val="19"/>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4B349EEB">
      <w:pPr>
        <w:pStyle w:val="19"/>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7FF84BE5">
      <w:pPr>
        <w:pStyle w:val="19"/>
        <w:shd w:val="clear"/>
        <w:spacing w:line="600" w:lineRule="exact"/>
        <w:rPr>
          <w:rFonts w:ascii="Times New Roman" w:hAnsi="Times New Roman" w:cs="Times New Roman"/>
          <w:bCs/>
          <w:sz w:val="28"/>
          <w:szCs w:val="28"/>
        </w:rPr>
      </w:pPr>
    </w:p>
    <w:p w14:paraId="480D10B7">
      <w:pPr>
        <w:shd w:val="clear"/>
        <w:jc w:val="center"/>
        <w:rPr>
          <w:rFonts w:ascii="Times New Roman" w:hAnsi="Times New Roman" w:cs="Times New Roman"/>
          <w:sz w:val="72"/>
          <w:szCs w:val="72"/>
        </w:rPr>
      </w:pPr>
    </w:p>
    <w:p w14:paraId="6916106E">
      <w:pPr>
        <w:shd w:val="clear"/>
        <w:jc w:val="center"/>
        <w:rPr>
          <w:rFonts w:ascii="Times New Roman" w:hAnsi="Times New Roman" w:cs="Times New Roman"/>
          <w:sz w:val="72"/>
          <w:szCs w:val="72"/>
        </w:rPr>
      </w:pPr>
    </w:p>
    <w:p w14:paraId="092C8E98">
      <w:pPr>
        <w:shd w:val="clear"/>
        <w:jc w:val="center"/>
        <w:rPr>
          <w:rFonts w:ascii="Times New Roman" w:hAnsi="Times New Roman" w:cs="Times New Roman"/>
          <w:sz w:val="72"/>
          <w:szCs w:val="72"/>
        </w:rPr>
      </w:pPr>
    </w:p>
    <w:p w14:paraId="63571B5D">
      <w:pPr>
        <w:pStyle w:val="14"/>
        <w:shd w:val="clear"/>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769F3466">
      <w:pPr>
        <w:pStyle w:val="19"/>
        <w:keepNext w:val="0"/>
        <w:keepLines w:val="0"/>
        <w:pageBreakBefore w:val="0"/>
        <w:widowControl w:val="0"/>
        <w:shd w:val="clear"/>
        <w:kinsoku/>
        <w:wordWrap/>
        <w:overflowPunct/>
        <w:topLinePunct w:val="0"/>
        <w:bidi w:val="0"/>
        <w:snapToGrid/>
        <w:spacing w:line="64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第一部分</w:t>
      </w:r>
    </w:p>
    <w:p w14:paraId="54119A29">
      <w:pPr>
        <w:keepNext w:val="0"/>
        <w:keepLines w:val="0"/>
        <w:pageBreakBefore w:val="0"/>
        <w:widowControl w:val="0"/>
        <w:shd w:val="clear"/>
        <w:kinsoku/>
        <w:wordWrap/>
        <w:overflowPunct/>
        <w:topLinePunct w:val="0"/>
        <w:bidi w:val="0"/>
        <w:snapToGrid/>
        <w:spacing w:line="640" w:lineRule="exact"/>
        <w:ind w:left="0" w:leftChars="0" w:firstLine="0" w:firstLineChars="0"/>
        <w:jc w:val="center"/>
        <w:textAlignment w:val="auto"/>
        <w:rPr>
          <w:rFonts w:ascii="微软雅黑" w:hAnsi="微软雅黑" w:eastAsia="微软雅黑" w:cs="微软雅黑"/>
          <w:sz w:val="44"/>
          <w:szCs w:val="44"/>
        </w:rPr>
      </w:pPr>
      <w:r>
        <w:rPr>
          <w:rFonts w:hint="eastAsia" w:ascii="方正小标宋简体" w:hAnsi="方正小标宋简体" w:eastAsia="方正小标宋简体" w:cs="方正小标宋简体"/>
          <w:spacing w:val="-3"/>
          <w:sz w:val="44"/>
          <w:szCs w:val="44"/>
        </w:rPr>
        <w:t>湖南省文化和旅游厅部门概况</w:t>
      </w:r>
    </w:p>
    <w:p w14:paraId="16D13F9E">
      <w:pPr>
        <w:pStyle w:val="5"/>
        <w:shd w:val="clear"/>
        <w:ind w:left="0" w:leftChars="0" w:firstLine="0" w:firstLineChars="0"/>
        <w:rPr>
          <w:rFonts w:ascii="Times New Roman" w:hAnsi="Times New Roman" w:cs="Times New Roman"/>
        </w:rPr>
      </w:pPr>
    </w:p>
    <w:p w14:paraId="4968F343">
      <w:pPr>
        <w:keepNext w:val="0"/>
        <w:keepLines w:val="0"/>
        <w:pageBreakBefore w:val="0"/>
        <w:shd w:val="clear"/>
        <w:kinsoku/>
        <w:wordWrap/>
        <w:overflowPunct/>
        <w:topLinePunct w:val="0"/>
        <w:autoSpaceDE/>
        <w:autoSpaceDN/>
        <w:bidi w:val="0"/>
        <w:adjustRightInd/>
        <w:snapToGrid/>
        <w:spacing w:line="520" w:lineRule="exact"/>
        <w:ind w:left="0" w:right="0" w:firstLine="972" w:firstLineChars="300"/>
        <w:textAlignment w:val="auto"/>
        <w:rPr>
          <w:rFonts w:ascii="黑体" w:hAnsi="黑体" w:eastAsia="黑体" w:cs="黑体"/>
          <w:sz w:val="31"/>
          <w:szCs w:val="31"/>
        </w:rPr>
      </w:pPr>
      <w:r>
        <w:rPr>
          <w:rFonts w:ascii="黑体" w:hAnsi="黑体" w:eastAsia="黑体" w:cs="黑体"/>
          <w:spacing w:val="7"/>
          <w:sz w:val="31"/>
          <w:szCs w:val="31"/>
        </w:rPr>
        <w:t>一、部门职责</w:t>
      </w:r>
    </w:p>
    <w:p w14:paraId="526B3A3E">
      <w:pPr>
        <w:keepNext w:val="0"/>
        <w:keepLines w:val="0"/>
        <w:pageBreakBefore w:val="0"/>
        <w:shd w:val="clear"/>
        <w:kinsoku/>
        <w:wordWrap/>
        <w:overflowPunct/>
        <w:topLinePunct w:val="0"/>
        <w:autoSpaceDE/>
        <w:autoSpaceDN/>
        <w:bidi w:val="0"/>
        <w:adjustRightInd/>
        <w:snapToGrid/>
        <w:spacing w:line="520" w:lineRule="exact"/>
        <w:ind w:left="0" w:right="0" w:firstLine="621"/>
        <w:textAlignment w:val="auto"/>
        <w:rPr>
          <w:rFonts w:ascii="FangSong_GB2312" w:hAnsi="FangSong_GB2312" w:eastAsia="FangSong_GB2312" w:cs="FangSong_GB2312"/>
          <w:sz w:val="31"/>
          <w:szCs w:val="31"/>
        </w:rPr>
      </w:pPr>
      <w:r>
        <w:rPr>
          <w:rFonts w:ascii="FangSong_GB2312" w:hAnsi="FangSong_GB2312" w:eastAsia="FangSong_GB2312" w:cs="FangSong_GB2312"/>
          <w:spacing w:val="12"/>
          <w:sz w:val="31"/>
          <w:szCs w:val="31"/>
        </w:rPr>
        <w:t>（一）研究拟订全省文化和旅游政策措施，起草文化和旅</w:t>
      </w:r>
      <w:r>
        <w:rPr>
          <w:rFonts w:ascii="FangSong_GB2312" w:hAnsi="FangSong_GB2312" w:eastAsia="FangSong_GB2312" w:cs="FangSong_GB2312"/>
          <w:spacing w:val="7"/>
          <w:sz w:val="31"/>
          <w:szCs w:val="31"/>
        </w:rPr>
        <w:t>游地方性法规、规章草案。</w:t>
      </w:r>
    </w:p>
    <w:p w14:paraId="7DFA6188">
      <w:pPr>
        <w:keepNext w:val="0"/>
        <w:keepLines w:val="0"/>
        <w:pageBreakBefore w:val="0"/>
        <w:shd w:val="clear"/>
        <w:kinsoku/>
        <w:wordWrap/>
        <w:overflowPunct/>
        <w:topLinePunct w:val="0"/>
        <w:autoSpaceDE/>
        <w:autoSpaceDN/>
        <w:bidi w:val="0"/>
        <w:adjustRightInd/>
        <w:snapToGrid/>
        <w:spacing w:line="520" w:lineRule="exact"/>
        <w:ind w:left="0" w:right="0" w:firstLine="625"/>
        <w:textAlignment w:val="auto"/>
        <w:rPr>
          <w:rFonts w:ascii="FangSong_GB2312" w:hAnsi="FangSong_GB2312" w:eastAsia="FangSong_GB2312" w:cs="FangSong_GB2312"/>
          <w:sz w:val="31"/>
          <w:szCs w:val="31"/>
        </w:rPr>
      </w:pPr>
      <w:r>
        <w:rPr>
          <w:rFonts w:ascii="FangSong_GB2312" w:hAnsi="FangSong_GB2312" w:eastAsia="FangSong_GB2312" w:cs="FangSong_GB2312"/>
          <w:spacing w:val="12"/>
          <w:sz w:val="31"/>
          <w:szCs w:val="31"/>
        </w:rPr>
        <w:t>（二）统筹规划全省文化事业、文化产业和旅游业发展，</w:t>
      </w:r>
      <w:r>
        <w:rPr>
          <w:rFonts w:ascii="FangSong_GB2312" w:hAnsi="FangSong_GB2312" w:eastAsia="FangSong_GB2312" w:cs="FangSong_GB2312"/>
          <w:spacing w:val="6"/>
          <w:sz w:val="31"/>
          <w:szCs w:val="31"/>
        </w:rPr>
        <w:t>拟订发展规划并组织实施,推进文化和旅游融合发展，推进文化</w:t>
      </w:r>
      <w:r>
        <w:rPr>
          <w:rFonts w:ascii="FangSong_GB2312" w:hAnsi="FangSong_GB2312" w:eastAsia="FangSong_GB2312" w:cs="FangSong_GB2312"/>
          <w:spacing w:val="3"/>
          <w:sz w:val="31"/>
          <w:szCs w:val="31"/>
        </w:rPr>
        <w:t>和旅游体制机制改革。</w:t>
      </w:r>
    </w:p>
    <w:p w14:paraId="1365BF30">
      <w:pPr>
        <w:keepNext w:val="0"/>
        <w:keepLines w:val="0"/>
        <w:pageBreakBefore w:val="0"/>
        <w:shd w:val="clear"/>
        <w:kinsoku/>
        <w:wordWrap/>
        <w:overflowPunct/>
        <w:topLinePunct w:val="0"/>
        <w:autoSpaceDE/>
        <w:autoSpaceDN/>
        <w:bidi w:val="0"/>
        <w:adjustRightInd/>
        <w:snapToGrid/>
        <w:spacing w:line="520" w:lineRule="exact"/>
        <w:ind w:left="0" w:right="0" w:firstLine="636"/>
        <w:textAlignment w:val="auto"/>
        <w:rPr>
          <w:rFonts w:ascii="FangSong_GB2312" w:hAnsi="FangSong_GB2312" w:eastAsia="FangSong_GB2312" w:cs="FangSong_GB2312"/>
          <w:sz w:val="31"/>
          <w:szCs w:val="31"/>
        </w:rPr>
      </w:pPr>
      <w:r>
        <w:rPr>
          <w:rFonts w:ascii="FangSong_GB2312" w:hAnsi="FangSong_GB2312" w:eastAsia="FangSong_GB2312" w:cs="FangSong_GB2312"/>
          <w:spacing w:val="13"/>
          <w:sz w:val="31"/>
          <w:szCs w:val="31"/>
        </w:rPr>
        <w:t>（三）管理全省性重大文化和旅游活动，指导全省重点文</w:t>
      </w:r>
      <w:r>
        <w:rPr>
          <w:rFonts w:ascii="FangSong_GB2312" w:hAnsi="FangSong_GB2312" w:eastAsia="FangSong_GB2312" w:cs="FangSong_GB2312"/>
          <w:spacing w:val="12"/>
          <w:sz w:val="31"/>
          <w:szCs w:val="31"/>
        </w:rPr>
        <w:t>化和旅游设施建设，组织全省文化和旅游整体形象宣传推广，</w:t>
      </w:r>
      <w:r>
        <w:rPr>
          <w:rFonts w:ascii="FangSong_GB2312" w:hAnsi="FangSong_GB2312" w:eastAsia="FangSong_GB2312" w:cs="FangSong_GB2312"/>
          <w:spacing w:val="13"/>
          <w:sz w:val="31"/>
          <w:szCs w:val="31"/>
        </w:rPr>
        <w:t>促进文化和旅游产业对外合作和国际市场推广，制</w:t>
      </w:r>
      <w:r>
        <w:rPr>
          <w:rFonts w:ascii="FangSong_GB2312" w:hAnsi="FangSong_GB2312" w:eastAsia="FangSong_GB2312" w:cs="FangSong_GB2312"/>
          <w:spacing w:val="12"/>
          <w:sz w:val="31"/>
          <w:szCs w:val="31"/>
        </w:rPr>
        <w:t>定旅游市场</w:t>
      </w:r>
      <w:r>
        <w:rPr>
          <w:rFonts w:ascii="FangSong_GB2312" w:hAnsi="FangSong_GB2312" w:eastAsia="FangSong_GB2312" w:cs="FangSong_GB2312"/>
          <w:spacing w:val="7"/>
          <w:sz w:val="31"/>
          <w:szCs w:val="31"/>
        </w:rPr>
        <w:t>开发战略并组织实施，指导、推进全域旅游。</w:t>
      </w:r>
    </w:p>
    <w:p w14:paraId="40D022B8">
      <w:pPr>
        <w:keepNext w:val="0"/>
        <w:keepLines w:val="0"/>
        <w:pageBreakBefore w:val="0"/>
        <w:shd w:val="clear"/>
        <w:kinsoku/>
        <w:wordWrap/>
        <w:overflowPunct/>
        <w:topLinePunct w:val="0"/>
        <w:autoSpaceDE/>
        <w:autoSpaceDN/>
        <w:bidi w:val="0"/>
        <w:adjustRightInd/>
        <w:snapToGrid/>
        <w:spacing w:line="520" w:lineRule="exact"/>
        <w:ind w:left="0" w:right="0" w:firstLine="629"/>
        <w:textAlignment w:val="auto"/>
        <w:rPr>
          <w:rFonts w:ascii="FangSong_GB2312" w:hAnsi="FangSong_GB2312" w:eastAsia="FangSong_GB2312" w:cs="FangSong_GB2312"/>
          <w:sz w:val="31"/>
          <w:szCs w:val="31"/>
        </w:rPr>
      </w:pPr>
      <w:r>
        <w:rPr>
          <w:rFonts w:ascii="FangSong_GB2312" w:hAnsi="FangSong_GB2312" w:eastAsia="FangSong_GB2312" w:cs="FangSong_GB2312"/>
          <w:spacing w:val="13"/>
          <w:sz w:val="31"/>
          <w:szCs w:val="31"/>
        </w:rPr>
        <w:t>（四）指导、管理全省文艺事业，指导艺术创作生产，扶</w:t>
      </w:r>
      <w:r>
        <w:rPr>
          <w:rFonts w:ascii="FangSong_GB2312" w:hAnsi="FangSong_GB2312" w:eastAsia="FangSong_GB2312" w:cs="FangSong_GB2312"/>
          <w:spacing w:val="12"/>
          <w:sz w:val="31"/>
          <w:szCs w:val="31"/>
        </w:rPr>
        <w:t>持体现社会主义核心价值观、具有导向性代表性示范性的文艺</w:t>
      </w:r>
      <w:r>
        <w:rPr>
          <w:rFonts w:ascii="FangSong_GB2312" w:hAnsi="FangSong_GB2312" w:eastAsia="FangSong_GB2312" w:cs="FangSong_GB2312"/>
          <w:spacing w:val="8"/>
          <w:sz w:val="31"/>
          <w:szCs w:val="31"/>
        </w:rPr>
        <w:t>作品，推动各门类艺术、各艺术品种发展。</w:t>
      </w:r>
    </w:p>
    <w:p w14:paraId="1FC8BA81">
      <w:pPr>
        <w:keepNext w:val="0"/>
        <w:keepLines w:val="0"/>
        <w:pageBreakBefore w:val="0"/>
        <w:shd w:val="clear"/>
        <w:kinsoku/>
        <w:wordWrap/>
        <w:overflowPunct/>
        <w:topLinePunct w:val="0"/>
        <w:autoSpaceDE/>
        <w:autoSpaceDN/>
        <w:bidi w:val="0"/>
        <w:adjustRightInd/>
        <w:snapToGrid/>
        <w:spacing w:line="520" w:lineRule="exact"/>
        <w:ind w:left="0" w:right="0" w:firstLine="632"/>
        <w:textAlignment w:val="auto"/>
        <w:rPr>
          <w:rFonts w:ascii="FangSong_GB2312" w:hAnsi="FangSong_GB2312" w:eastAsia="FangSong_GB2312" w:cs="FangSong_GB2312"/>
          <w:sz w:val="31"/>
          <w:szCs w:val="31"/>
        </w:rPr>
      </w:pPr>
      <w:r>
        <w:rPr>
          <w:rFonts w:ascii="FangSong_GB2312" w:hAnsi="FangSong_GB2312" w:eastAsia="FangSong_GB2312" w:cs="FangSong_GB2312"/>
          <w:spacing w:val="7"/>
          <w:sz w:val="31"/>
          <w:szCs w:val="31"/>
        </w:rPr>
        <w:t>（五）负责全省公共文化事业发展,推进全省文化</w:t>
      </w:r>
      <w:r>
        <w:rPr>
          <w:rFonts w:ascii="FangSong_GB2312" w:hAnsi="FangSong_GB2312" w:eastAsia="FangSong_GB2312" w:cs="FangSong_GB2312"/>
          <w:spacing w:val="6"/>
          <w:sz w:val="31"/>
          <w:szCs w:val="31"/>
        </w:rPr>
        <w:t>和旅游公</w:t>
      </w:r>
      <w:r>
        <w:rPr>
          <w:rFonts w:ascii="FangSong_GB2312" w:hAnsi="FangSong_GB2312" w:eastAsia="FangSong_GB2312" w:cs="FangSong_GB2312"/>
          <w:spacing w:val="12"/>
          <w:sz w:val="31"/>
          <w:szCs w:val="31"/>
        </w:rPr>
        <w:t>共服务体系建设，深入实施文化和旅游惠民工程，统筹推进基</w:t>
      </w:r>
      <w:r>
        <w:rPr>
          <w:rFonts w:ascii="FangSong_GB2312" w:hAnsi="FangSong_GB2312" w:eastAsia="FangSong_GB2312" w:cs="FangSong_GB2312"/>
          <w:spacing w:val="4"/>
          <w:sz w:val="31"/>
          <w:szCs w:val="31"/>
        </w:rPr>
        <w:t>本公共文化服务标准化、均等化。</w:t>
      </w:r>
    </w:p>
    <w:p w14:paraId="0DB94352">
      <w:pPr>
        <w:keepNext w:val="0"/>
        <w:keepLines w:val="0"/>
        <w:pageBreakBefore w:val="0"/>
        <w:shd w:val="clear"/>
        <w:kinsoku/>
        <w:wordWrap/>
        <w:overflowPunct/>
        <w:topLinePunct w:val="0"/>
        <w:autoSpaceDE/>
        <w:autoSpaceDN/>
        <w:bidi w:val="0"/>
        <w:adjustRightInd/>
        <w:snapToGrid/>
        <w:spacing w:line="520" w:lineRule="exact"/>
        <w:ind w:left="0" w:right="0" w:firstLine="621"/>
        <w:textAlignment w:val="auto"/>
        <w:rPr>
          <w:rFonts w:ascii="FangSong_GB2312" w:hAnsi="FangSong_GB2312" w:eastAsia="FangSong_GB2312" w:cs="FangSong_GB2312"/>
          <w:sz w:val="31"/>
          <w:szCs w:val="31"/>
        </w:rPr>
      </w:pPr>
      <w:r>
        <w:rPr>
          <w:rFonts w:ascii="FangSong_GB2312" w:hAnsi="FangSong_GB2312" w:eastAsia="FangSong_GB2312" w:cs="FangSong_GB2312"/>
          <w:spacing w:val="12"/>
          <w:sz w:val="31"/>
          <w:szCs w:val="31"/>
        </w:rPr>
        <w:t>（六）指导、推进全省文化和旅游科技创新发展，推进文</w:t>
      </w:r>
      <w:r>
        <w:rPr>
          <w:rFonts w:ascii="FangSong_GB2312" w:hAnsi="FangSong_GB2312" w:eastAsia="FangSong_GB2312" w:cs="FangSong_GB2312"/>
          <w:spacing w:val="7"/>
          <w:sz w:val="31"/>
          <w:szCs w:val="31"/>
        </w:rPr>
        <w:t>化和旅游行业信息化、标准化建设。</w:t>
      </w:r>
    </w:p>
    <w:p w14:paraId="145C8614">
      <w:pPr>
        <w:keepNext w:val="0"/>
        <w:keepLines w:val="0"/>
        <w:pageBreakBefore w:val="0"/>
        <w:shd w:val="clear"/>
        <w:kinsoku/>
        <w:wordWrap/>
        <w:overflowPunct/>
        <w:topLinePunct w:val="0"/>
        <w:autoSpaceDE/>
        <w:autoSpaceDN/>
        <w:bidi w:val="0"/>
        <w:adjustRightInd/>
        <w:snapToGrid/>
        <w:spacing w:line="520" w:lineRule="exact"/>
        <w:ind w:left="0" w:right="0" w:firstLine="632"/>
        <w:textAlignment w:val="auto"/>
        <w:rPr>
          <w:rFonts w:ascii="FangSong_GB2312" w:hAnsi="FangSong_GB2312" w:eastAsia="FangSong_GB2312" w:cs="FangSong_GB2312"/>
          <w:sz w:val="31"/>
          <w:szCs w:val="31"/>
        </w:rPr>
      </w:pPr>
      <w:r>
        <w:rPr>
          <w:rFonts w:ascii="FangSong_GB2312" w:hAnsi="FangSong_GB2312" w:eastAsia="FangSong_GB2312" w:cs="FangSong_GB2312"/>
          <w:spacing w:val="12"/>
          <w:sz w:val="31"/>
          <w:szCs w:val="31"/>
        </w:rPr>
        <w:t>（七）负责全省非物质文化遗产保护，推动非物质文化遗</w:t>
      </w:r>
      <w:r>
        <w:rPr>
          <w:rFonts w:ascii="FangSong_GB2312" w:hAnsi="FangSong_GB2312" w:eastAsia="FangSong_GB2312" w:cs="FangSong_GB2312"/>
          <w:spacing w:val="6"/>
          <w:sz w:val="31"/>
          <w:szCs w:val="31"/>
        </w:rPr>
        <w:t>产的保护、传承、普及、弘扬和振兴。</w:t>
      </w:r>
    </w:p>
    <w:p w14:paraId="6DDB3279">
      <w:pPr>
        <w:keepNext w:val="0"/>
        <w:keepLines w:val="0"/>
        <w:pageBreakBefore w:val="0"/>
        <w:shd w:val="clear"/>
        <w:kinsoku/>
        <w:wordWrap/>
        <w:overflowPunct/>
        <w:topLinePunct w:val="0"/>
        <w:autoSpaceDE/>
        <w:autoSpaceDN/>
        <w:bidi w:val="0"/>
        <w:adjustRightInd/>
        <w:snapToGrid/>
        <w:spacing w:line="520" w:lineRule="exact"/>
        <w:ind w:left="0" w:right="0" w:firstLine="631"/>
        <w:textAlignment w:val="auto"/>
        <w:rPr>
          <w:rFonts w:ascii="FangSong_GB2312" w:hAnsi="FangSong_GB2312" w:eastAsia="FangSong_GB2312" w:cs="FangSong_GB2312"/>
          <w:sz w:val="31"/>
          <w:szCs w:val="31"/>
        </w:rPr>
      </w:pPr>
      <w:r>
        <w:rPr>
          <w:rFonts w:ascii="FangSong_GB2312" w:hAnsi="FangSong_GB2312" w:eastAsia="FangSong_GB2312" w:cs="FangSong_GB2312"/>
          <w:spacing w:val="13"/>
          <w:sz w:val="31"/>
          <w:szCs w:val="31"/>
        </w:rPr>
        <w:t>（八）统筹规划全省文化和旅游产业, 组</w:t>
      </w:r>
      <w:r>
        <w:rPr>
          <w:rFonts w:ascii="FangSong_GB2312" w:hAnsi="FangSong_GB2312" w:eastAsia="FangSong_GB2312" w:cs="FangSong_GB2312"/>
          <w:spacing w:val="12"/>
          <w:sz w:val="31"/>
          <w:szCs w:val="31"/>
        </w:rPr>
        <w:t>织实施文化和旅游资源普查、挖掘、保护和利用工作, 促进文化和旅游产业发</w:t>
      </w:r>
      <w:r>
        <w:rPr>
          <w:rFonts w:ascii="FangSong_GB2312" w:hAnsi="FangSong_GB2312" w:eastAsia="FangSong_GB2312" w:cs="FangSong_GB2312"/>
          <w:spacing w:val="-16"/>
          <w:sz w:val="31"/>
          <w:szCs w:val="31"/>
        </w:rPr>
        <w:t>展。</w:t>
      </w:r>
    </w:p>
    <w:p w14:paraId="26E3F6C7">
      <w:pPr>
        <w:keepNext w:val="0"/>
        <w:keepLines w:val="0"/>
        <w:pageBreakBefore w:val="0"/>
        <w:shd w:val="clear"/>
        <w:kinsoku/>
        <w:wordWrap/>
        <w:overflowPunct/>
        <w:topLinePunct w:val="0"/>
        <w:autoSpaceDE/>
        <w:autoSpaceDN/>
        <w:bidi w:val="0"/>
        <w:adjustRightInd/>
        <w:snapToGrid/>
        <w:spacing w:line="520" w:lineRule="exact"/>
        <w:ind w:left="0" w:right="0" w:firstLine="637"/>
        <w:textAlignment w:val="auto"/>
        <w:rPr>
          <w:rFonts w:ascii="FangSong_GB2312" w:hAnsi="FangSong_GB2312" w:eastAsia="FangSong_GB2312" w:cs="FangSong_GB2312"/>
          <w:sz w:val="31"/>
          <w:szCs w:val="31"/>
        </w:rPr>
      </w:pPr>
      <w:r>
        <w:rPr>
          <w:rFonts w:ascii="FangSong_GB2312" w:hAnsi="FangSong_GB2312" w:eastAsia="FangSong_GB2312" w:cs="FangSong_GB2312"/>
          <w:spacing w:val="12"/>
          <w:sz w:val="31"/>
          <w:szCs w:val="31"/>
        </w:rPr>
        <w:t>（九）指导全省文化和旅游市场发展，对文化和</w:t>
      </w:r>
      <w:r>
        <w:rPr>
          <w:rFonts w:ascii="FangSong_GB2312" w:hAnsi="FangSong_GB2312" w:eastAsia="FangSong_GB2312" w:cs="FangSong_GB2312"/>
          <w:spacing w:val="11"/>
          <w:sz w:val="31"/>
          <w:szCs w:val="31"/>
        </w:rPr>
        <w:t>旅游市场经营进行行业监管，推进全省文化和旅游行业信用体系建设，</w:t>
      </w:r>
      <w:r>
        <w:rPr>
          <w:rFonts w:ascii="FangSong_GB2312" w:hAnsi="FangSong_GB2312" w:eastAsia="FangSong_GB2312" w:cs="FangSong_GB2312"/>
          <w:spacing w:val="8"/>
          <w:sz w:val="31"/>
          <w:szCs w:val="31"/>
        </w:rPr>
        <w:t>依法规范文化和旅游市场。</w:t>
      </w:r>
    </w:p>
    <w:p w14:paraId="189D34D2">
      <w:pPr>
        <w:keepNext w:val="0"/>
        <w:keepLines w:val="0"/>
        <w:pageBreakBefore w:val="0"/>
        <w:shd w:val="clear"/>
        <w:kinsoku/>
        <w:wordWrap/>
        <w:overflowPunct/>
        <w:topLinePunct w:val="0"/>
        <w:autoSpaceDE/>
        <w:autoSpaceDN/>
        <w:bidi w:val="0"/>
        <w:adjustRightInd/>
        <w:snapToGrid/>
        <w:spacing w:line="520" w:lineRule="exact"/>
        <w:ind w:left="0" w:right="0" w:firstLine="632"/>
        <w:textAlignment w:val="auto"/>
        <w:rPr>
          <w:rFonts w:ascii="FangSong_GB2312" w:hAnsi="FangSong_GB2312" w:eastAsia="FangSong_GB2312" w:cs="FangSong_GB2312"/>
          <w:sz w:val="31"/>
          <w:szCs w:val="31"/>
        </w:rPr>
      </w:pPr>
      <w:r>
        <w:rPr>
          <w:rFonts w:ascii="FangSong_GB2312" w:hAnsi="FangSong_GB2312" w:eastAsia="FangSong_GB2312" w:cs="FangSong_GB2312"/>
          <w:spacing w:val="13"/>
          <w:sz w:val="31"/>
          <w:szCs w:val="31"/>
        </w:rPr>
        <w:t>（十）指导全省文化市场综合执法，组织查处全省性、跨</w:t>
      </w:r>
      <w:r>
        <w:rPr>
          <w:rFonts w:ascii="FangSong_GB2312" w:hAnsi="FangSong_GB2312" w:eastAsia="FangSong_GB2312" w:cs="FangSong_GB2312"/>
          <w:spacing w:val="12"/>
          <w:sz w:val="31"/>
          <w:szCs w:val="31"/>
        </w:rPr>
        <w:t>区域文化、文物、出版、广播电视、电影、旅游等市场的违法</w:t>
      </w:r>
      <w:r>
        <w:rPr>
          <w:rFonts w:ascii="FangSong_GB2312" w:hAnsi="FangSong_GB2312" w:eastAsia="FangSong_GB2312" w:cs="FangSong_GB2312"/>
          <w:spacing w:val="8"/>
          <w:sz w:val="31"/>
          <w:szCs w:val="31"/>
        </w:rPr>
        <w:t>行为，督查督办大案要案，维护市场秩序。</w:t>
      </w:r>
    </w:p>
    <w:p w14:paraId="78F17AA2">
      <w:pPr>
        <w:keepNext w:val="0"/>
        <w:keepLines w:val="0"/>
        <w:pageBreakBefore w:val="0"/>
        <w:shd w:val="clear"/>
        <w:kinsoku/>
        <w:wordWrap/>
        <w:overflowPunct/>
        <w:topLinePunct w:val="0"/>
        <w:autoSpaceDE/>
        <w:autoSpaceDN/>
        <w:bidi w:val="0"/>
        <w:adjustRightInd/>
        <w:snapToGrid/>
        <w:spacing w:line="520" w:lineRule="exact"/>
        <w:ind w:left="0" w:right="0" w:firstLine="625"/>
        <w:textAlignment w:val="auto"/>
        <w:rPr>
          <w:rFonts w:ascii="FangSong_GB2312" w:hAnsi="FangSong_GB2312" w:eastAsia="FangSong_GB2312" w:cs="FangSong_GB2312"/>
          <w:sz w:val="31"/>
          <w:szCs w:val="31"/>
        </w:rPr>
      </w:pPr>
      <w:r>
        <w:rPr>
          <w:rFonts w:ascii="FangSong_GB2312" w:hAnsi="FangSong_GB2312" w:eastAsia="FangSong_GB2312" w:cs="FangSong_GB2312"/>
          <w:spacing w:val="13"/>
          <w:sz w:val="31"/>
          <w:szCs w:val="31"/>
        </w:rPr>
        <w:t>（十一）指导全省文化和旅游对外及对港澳台交流、合作</w:t>
      </w:r>
      <w:r>
        <w:rPr>
          <w:rFonts w:ascii="FangSong_GB2312" w:hAnsi="FangSong_GB2312" w:eastAsia="FangSong_GB2312" w:cs="FangSong_GB2312"/>
          <w:spacing w:val="12"/>
          <w:sz w:val="31"/>
          <w:szCs w:val="31"/>
        </w:rPr>
        <w:t>和宣传、推广工作，组织大型文化和旅游对外及对港澳台交流</w:t>
      </w:r>
      <w:r>
        <w:rPr>
          <w:rFonts w:ascii="FangSong_GB2312" w:hAnsi="FangSong_GB2312" w:eastAsia="FangSong_GB2312" w:cs="FangSong_GB2312"/>
          <w:spacing w:val="4"/>
          <w:sz w:val="31"/>
          <w:szCs w:val="31"/>
        </w:rPr>
        <w:t>活动，推动湖湘文化走出去。</w:t>
      </w:r>
    </w:p>
    <w:p w14:paraId="69258775">
      <w:pPr>
        <w:keepNext w:val="0"/>
        <w:keepLines w:val="0"/>
        <w:pageBreakBefore w:val="0"/>
        <w:shd w:val="clear"/>
        <w:kinsoku/>
        <w:wordWrap/>
        <w:overflowPunct/>
        <w:topLinePunct w:val="0"/>
        <w:autoSpaceDE/>
        <w:autoSpaceDN/>
        <w:bidi w:val="0"/>
        <w:adjustRightInd/>
        <w:snapToGrid/>
        <w:spacing w:line="520" w:lineRule="exact"/>
        <w:ind w:left="0" w:right="0" w:firstLine="584" w:firstLineChars="200"/>
        <w:textAlignment w:val="auto"/>
        <w:rPr>
          <w:rFonts w:ascii="FangSong_GB2312" w:hAnsi="FangSong_GB2312" w:eastAsia="FangSong_GB2312" w:cs="FangSong_GB2312"/>
          <w:sz w:val="31"/>
          <w:szCs w:val="31"/>
        </w:rPr>
      </w:pPr>
      <w:r>
        <w:rPr>
          <w:rFonts w:ascii="FangSong_GB2312" w:hAnsi="FangSong_GB2312" w:eastAsia="FangSong_GB2312" w:cs="FangSong_GB2312"/>
          <w:spacing w:val="-9"/>
          <w:sz w:val="31"/>
          <w:szCs w:val="31"/>
        </w:rPr>
        <w:t>（十二） 管理省文物局。</w:t>
      </w:r>
    </w:p>
    <w:p w14:paraId="220ADA7A">
      <w:pPr>
        <w:keepNext w:val="0"/>
        <w:keepLines w:val="0"/>
        <w:pageBreakBefore w:val="0"/>
        <w:shd w:val="clear"/>
        <w:kinsoku/>
        <w:wordWrap/>
        <w:overflowPunct/>
        <w:topLinePunct w:val="0"/>
        <w:autoSpaceDE/>
        <w:autoSpaceDN/>
        <w:bidi w:val="0"/>
        <w:adjustRightInd/>
        <w:snapToGrid/>
        <w:spacing w:line="520" w:lineRule="exact"/>
        <w:ind w:left="0" w:right="0" w:firstLine="616" w:firstLineChars="200"/>
        <w:textAlignment w:val="auto"/>
        <w:rPr>
          <w:rFonts w:ascii="FangSong_GB2312" w:hAnsi="FangSong_GB2312" w:eastAsia="FangSong_GB2312" w:cs="FangSong_GB2312"/>
          <w:sz w:val="31"/>
          <w:szCs w:val="31"/>
        </w:rPr>
      </w:pPr>
      <w:r>
        <w:rPr>
          <w:rFonts w:ascii="FangSong_GB2312" w:hAnsi="FangSong_GB2312" w:eastAsia="FangSong_GB2312" w:cs="FangSong_GB2312"/>
          <w:spacing w:val="-1"/>
          <w:sz w:val="31"/>
          <w:szCs w:val="31"/>
        </w:rPr>
        <w:t>（十三） 完成省委、省政府交办的其他任务。</w:t>
      </w:r>
    </w:p>
    <w:p w14:paraId="7152D038">
      <w:pPr>
        <w:keepNext w:val="0"/>
        <w:keepLines w:val="0"/>
        <w:pageBreakBefore w:val="0"/>
        <w:shd w:val="clear"/>
        <w:kinsoku/>
        <w:wordWrap/>
        <w:overflowPunct/>
        <w:topLinePunct w:val="0"/>
        <w:autoSpaceDE/>
        <w:autoSpaceDN/>
        <w:bidi w:val="0"/>
        <w:adjustRightInd/>
        <w:snapToGrid/>
        <w:spacing w:line="520" w:lineRule="exact"/>
        <w:ind w:left="0" w:leftChars="0" w:right="0" w:firstLine="638" w:firstLineChars="196"/>
        <w:textAlignment w:val="auto"/>
        <w:rPr>
          <w:rFonts w:ascii="黑体" w:hAnsi="黑体" w:eastAsia="黑体" w:cs="黑体"/>
          <w:sz w:val="31"/>
          <w:szCs w:val="31"/>
        </w:rPr>
      </w:pPr>
      <w:r>
        <w:rPr>
          <w:rFonts w:ascii="黑体" w:hAnsi="黑体" w:eastAsia="黑体" w:cs="黑体"/>
          <w:spacing w:val="8"/>
          <w:sz w:val="31"/>
          <w:szCs w:val="31"/>
        </w:rPr>
        <w:t>二、机构设置及决算单位构成</w:t>
      </w:r>
    </w:p>
    <w:p w14:paraId="29285854">
      <w:pPr>
        <w:keepNext w:val="0"/>
        <w:keepLines w:val="0"/>
        <w:pageBreakBefore w:val="0"/>
        <w:shd w:val="clear"/>
        <w:kinsoku/>
        <w:wordWrap/>
        <w:overflowPunct/>
        <w:topLinePunct w:val="0"/>
        <w:autoSpaceDE/>
        <w:autoSpaceDN/>
        <w:bidi w:val="0"/>
        <w:adjustRightInd/>
        <w:snapToGrid/>
        <w:spacing w:line="520" w:lineRule="exact"/>
        <w:ind w:left="0" w:leftChars="0" w:right="0" w:firstLine="833" w:firstLineChars="251"/>
        <w:textAlignment w:val="auto"/>
        <w:rPr>
          <w:rFonts w:ascii="FangSong_GB2312" w:hAnsi="FangSong_GB2312" w:eastAsia="FangSong_GB2312" w:cs="FangSong_GB2312"/>
          <w:sz w:val="31"/>
          <w:szCs w:val="31"/>
        </w:rPr>
      </w:pPr>
      <w:r>
        <w:rPr>
          <w:rFonts w:ascii="FangSong_GB2312" w:hAnsi="FangSong_GB2312" w:eastAsia="FangSong_GB2312" w:cs="FangSong_GB2312"/>
          <w:spacing w:val="11"/>
          <w:sz w:val="31"/>
          <w:szCs w:val="31"/>
        </w:rPr>
        <w:t>（一）</w:t>
      </w:r>
      <w:r>
        <w:rPr>
          <w:rFonts w:ascii="FangSong_GB2312" w:hAnsi="FangSong_GB2312" w:eastAsia="FangSong_GB2312" w:cs="FangSong_GB2312"/>
          <w:spacing w:val="-84"/>
          <w:sz w:val="31"/>
          <w:szCs w:val="31"/>
        </w:rPr>
        <w:t xml:space="preserve"> </w:t>
      </w:r>
      <w:r>
        <w:rPr>
          <w:rFonts w:ascii="FangSong_GB2312" w:hAnsi="FangSong_GB2312" w:eastAsia="FangSong_GB2312" w:cs="FangSong_GB2312"/>
          <w:spacing w:val="11"/>
          <w:sz w:val="31"/>
          <w:szCs w:val="31"/>
        </w:rPr>
        <w:t>内设机构设置。湖南省文化和旅游厅机关内设机构</w:t>
      </w:r>
      <w:r>
        <w:rPr>
          <w:rFonts w:ascii="Times New Roman" w:hAnsi="Times New Roman" w:eastAsia="Times New Roman" w:cs="Times New Roman"/>
          <w:spacing w:val="4"/>
          <w:sz w:val="31"/>
          <w:szCs w:val="31"/>
        </w:rPr>
        <w:t>15</w:t>
      </w:r>
      <w:r>
        <w:rPr>
          <w:rFonts w:ascii="Times New Roman" w:hAnsi="Times New Roman" w:eastAsia="Times New Roman" w:cs="Times New Roman"/>
          <w:spacing w:val="27"/>
          <w:w w:val="101"/>
          <w:sz w:val="31"/>
          <w:szCs w:val="31"/>
        </w:rPr>
        <w:t xml:space="preserve"> </w:t>
      </w:r>
      <w:r>
        <w:rPr>
          <w:rFonts w:ascii="FangSong_GB2312" w:hAnsi="FangSong_GB2312" w:eastAsia="FangSong_GB2312" w:cs="FangSong_GB2312"/>
          <w:spacing w:val="4"/>
          <w:sz w:val="31"/>
          <w:szCs w:val="31"/>
        </w:rPr>
        <w:t>个，主要包括：</w:t>
      </w:r>
      <w:r>
        <w:rPr>
          <w:rFonts w:ascii="FangSong_GB2312" w:hAnsi="FangSong_GB2312" w:eastAsia="FangSong_GB2312" w:cs="FangSong_GB2312"/>
          <w:spacing w:val="-70"/>
          <w:sz w:val="31"/>
          <w:szCs w:val="31"/>
        </w:rPr>
        <w:t xml:space="preserve"> </w:t>
      </w:r>
      <w:r>
        <w:rPr>
          <w:rFonts w:ascii="FangSong_GB2312" w:hAnsi="FangSong_GB2312" w:eastAsia="FangSong_GB2312" w:cs="FangSong_GB2312"/>
          <w:spacing w:val="4"/>
          <w:sz w:val="31"/>
          <w:szCs w:val="31"/>
        </w:rPr>
        <w:t>办公室、政策法规处、人事处、财</w:t>
      </w:r>
      <w:r>
        <w:rPr>
          <w:rFonts w:ascii="FangSong_GB2312" w:hAnsi="FangSong_GB2312" w:eastAsia="FangSong_GB2312" w:cs="FangSong_GB2312"/>
          <w:spacing w:val="3"/>
          <w:sz w:val="31"/>
          <w:szCs w:val="31"/>
        </w:rPr>
        <w:t>务处、艺</w:t>
      </w:r>
      <w:r>
        <w:rPr>
          <w:rFonts w:ascii="FangSong_GB2312" w:hAnsi="FangSong_GB2312" w:eastAsia="FangSong_GB2312" w:cs="FangSong_GB2312"/>
          <w:spacing w:val="12"/>
          <w:sz w:val="31"/>
          <w:szCs w:val="31"/>
        </w:rPr>
        <w:t>术处、公共服务处、科技教育处、非物质文化遗产处、产业发展处、资源开发与全域旅游推进处（红色旅游指导处）、市场</w:t>
      </w:r>
      <w:r>
        <w:rPr>
          <w:rFonts w:ascii="FangSong_GB2312" w:hAnsi="FangSong_GB2312" w:eastAsia="FangSong_GB2312" w:cs="FangSong_GB2312"/>
          <w:spacing w:val="6"/>
          <w:sz w:val="31"/>
          <w:szCs w:val="31"/>
        </w:rPr>
        <w:t xml:space="preserve">管理处、文化市场综合执法监督处、推广传播和交流合作处 </w:t>
      </w:r>
      <w:r>
        <w:rPr>
          <w:rFonts w:ascii="Times New Roman" w:hAnsi="Times New Roman" w:eastAsia="Times New Roman" w:cs="Times New Roman"/>
          <w:spacing w:val="6"/>
          <w:sz w:val="31"/>
          <w:szCs w:val="31"/>
        </w:rPr>
        <w:t>13</w:t>
      </w:r>
      <w:r>
        <w:rPr>
          <w:rFonts w:ascii="FangSong_GB2312" w:hAnsi="FangSong_GB2312" w:eastAsia="FangSong_GB2312" w:cs="FangSong_GB2312"/>
          <w:spacing w:val="8"/>
          <w:sz w:val="31"/>
          <w:szCs w:val="31"/>
        </w:rPr>
        <w:t>个处室，机关党委、离退休人员管理服务处</w:t>
      </w:r>
      <w:r>
        <w:rPr>
          <w:rFonts w:ascii="FangSong_GB2312" w:hAnsi="FangSong_GB2312" w:eastAsia="FangSong_GB2312" w:cs="FangSong_GB2312"/>
          <w:spacing w:val="-61"/>
          <w:sz w:val="31"/>
          <w:szCs w:val="31"/>
        </w:rPr>
        <w:t xml:space="preserve"> </w:t>
      </w:r>
      <w:r>
        <w:rPr>
          <w:rFonts w:ascii="Times New Roman" w:hAnsi="Times New Roman" w:eastAsia="Times New Roman" w:cs="Times New Roman"/>
          <w:spacing w:val="8"/>
          <w:sz w:val="31"/>
          <w:szCs w:val="31"/>
        </w:rPr>
        <w:t xml:space="preserve">2 </w:t>
      </w:r>
      <w:r>
        <w:rPr>
          <w:rFonts w:ascii="FangSong_GB2312" w:hAnsi="FangSong_GB2312" w:eastAsia="FangSong_GB2312" w:cs="FangSong_GB2312"/>
          <w:spacing w:val="8"/>
          <w:sz w:val="31"/>
          <w:szCs w:val="31"/>
        </w:rPr>
        <w:t>个内设机构。</w:t>
      </w:r>
    </w:p>
    <w:p w14:paraId="0F894047">
      <w:pPr>
        <w:keepNext w:val="0"/>
        <w:keepLines w:val="0"/>
        <w:pageBreakBefore w:val="0"/>
        <w:widowControl/>
        <w:suppressLineNumbers w:val="0"/>
        <w:kinsoku/>
        <w:wordWrap/>
        <w:overflowPunct/>
        <w:topLinePunct w:val="0"/>
        <w:autoSpaceDE/>
        <w:autoSpaceDN/>
        <w:bidi w:val="0"/>
        <w:adjustRightInd/>
        <w:snapToGrid/>
        <w:spacing w:line="520" w:lineRule="exact"/>
        <w:ind w:left="0" w:right="0"/>
        <w:jc w:val="left"/>
        <w:textAlignment w:val="auto"/>
      </w:pPr>
      <w:r>
        <w:rPr>
          <w:rFonts w:hint="eastAsia" w:ascii="FangSong_GB2312" w:hAnsi="FangSong_GB2312" w:eastAsia="FangSong_GB2312" w:cs="FangSong_GB2312"/>
          <w:spacing w:val="6"/>
          <w:sz w:val="31"/>
          <w:szCs w:val="31"/>
          <w:lang w:val="en-US" w:eastAsia="zh-CN"/>
        </w:rPr>
        <w:t xml:space="preserve">    </w:t>
      </w:r>
      <w:r>
        <w:rPr>
          <w:rFonts w:ascii="FangSong_GB2312" w:hAnsi="FangSong_GB2312" w:eastAsia="FangSong_GB2312" w:cs="FangSong_GB2312"/>
          <w:spacing w:val="6"/>
          <w:sz w:val="31"/>
          <w:szCs w:val="31"/>
        </w:rPr>
        <w:t>（二）决算单位构成。湖南省文化和旅游厅</w:t>
      </w:r>
      <w:r>
        <w:rPr>
          <w:rFonts w:ascii="FangSong_GB2312" w:hAnsi="FangSong_GB2312" w:eastAsia="FangSong_GB2312" w:cs="FangSong_GB2312"/>
          <w:spacing w:val="-65"/>
          <w:sz w:val="31"/>
          <w:szCs w:val="31"/>
        </w:rPr>
        <w:t xml:space="preserve"> </w:t>
      </w:r>
      <w:r>
        <w:rPr>
          <w:rFonts w:ascii="Times New Roman" w:hAnsi="Times New Roman" w:eastAsia="Times New Roman" w:cs="Times New Roman"/>
          <w:spacing w:val="6"/>
          <w:sz w:val="31"/>
          <w:szCs w:val="31"/>
        </w:rPr>
        <w:t>202</w:t>
      </w:r>
      <w:r>
        <w:rPr>
          <w:rFonts w:hint="eastAsia" w:ascii="Times New Roman" w:hAnsi="Times New Roman" w:eastAsia="宋体" w:cs="Times New Roman"/>
          <w:spacing w:val="6"/>
          <w:sz w:val="31"/>
          <w:szCs w:val="31"/>
          <w:lang w:val="en-US" w:eastAsia="zh-CN"/>
        </w:rPr>
        <w:t>5</w:t>
      </w:r>
      <w:r>
        <w:rPr>
          <w:rFonts w:ascii="FangSong_GB2312" w:hAnsi="FangSong_GB2312" w:eastAsia="FangSong_GB2312" w:cs="FangSong_GB2312"/>
          <w:spacing w:val="6"/>
          <w:sz w:val="31"/>
          <w:szCs w:val="31"/>
        </w:rPr>
        <w:t>年部门决</w:t>
      </w:r>
      <w:r>
        <w:rPr>
          <w:rFonts w:ascii="FangSong_GB2312" w:hAnsi="FangSong_GB2312" w:eastAsia="FangSong_GB2312" w:cs="FangSong_GB2312"/>
          <w:spacing w:val="12"/>
          <w:sz w:val="31"/>
          <w:szCs w:val="31"/>
        </w:rPr>
        <w:t>算汇总公开单位构成包括：湖南省文化和旅游厅本级以及</w:t>
      </w:r>
      <w:r>
        <w:rPr>
          <w:rFonts w:ascii="仿宋_GB2312" w:hAnsi="宋体" w:eastAsia="仿宋_GB2312" w:cs="仿宋_GB2312"/>
          <w:color w:val="000000"/>
          <w:kern w:val="0"/>
          <w:sz w:val="32"/>
          <w:szCs w:val="32"/>
          <w:lang w:val="en-US" w:eastAsia="zh-CN" w:bidi="ar"/>
        </w:rPr>
        <w:t>省文物局、湖南图书馆、省文化馆</w:t>
      </w:r>
      <w:r>
        <w:rPr>
          <w:rFonts w:hint="eastAsia" w:ascii="仿宋_GB2312" w:hAnsi="宋体" w:eastAsia="仿宋_GB2312" w:cs="仿宋_GB2312"/>
          <w:color w:val="000000"/>
          <w:kern w:val="0"/>
          <w:sz w:val="32"/>
          <w:szCs w:val="32"/>
          <w:lang w:val="en-US" w:eastAsia="zh-CN" w:bidi="ar"/>
        </w:rPr>
        <w:t>（省非物质文化遗产保护中心）、省少年儿童图书馆、省艺术</w:t>
      </w:r>
      <w:r>
        <w:rPr>
          <w:rFonts w:hint="eastAsia" w:ascii="仿宋_GB2312" w:eastAsia="仿宋_GB2312" w:cs="仿宋_GB2312"/>
          <w:color w:val="000000"/>
          <w:sz w:val="32"/>
          <w:szCs w:val="32"/>
        </w:rPr>
        <w:t>研究院、省博物院（省文物鉴定中心）、省文物考古研究院（省文物保护利用中心）、省文化艺术中心、省旅游局信息中心、省导游服务中心、省湘剧院、省花鼓戏保护传承中心、省木偶皮影艺术保护传承中心、省京剧保护传承中心、省文旅厅艺术幼儿院。</w:t>
      </w:r>
    </w:p>
    <w:p w14:paraId="32BB4420">
      <w:pPr>
        <w:shd w:val="clear"/>
        <w:spacing w:before="195" w:line="312" w:lineRule="auto"/>
        <w:ind w:left="15" w:firstLine="622"/>
        <w:rPr>
          <w:rFonts w:ascii="Times New Roman" w:hAnsi="Times New Roman" w:eastAsia="仿宋_GB2312" w:cs="Times New Roman"/>
          <w:sz w:val="28"/>
          <w:szCs w:val="32"/>
        </w:rPr>
      </w:pPr>
    </w:p>
    <w:p w14:paraId="57D3F885">
      <w:pPr>
        <w:shd w:val="clear"/>
        <w:jc w:val="center"/>
        <w:rPr>
          <w:rFonts w:ascii="Times New Roman" w:hAnsi="Times New Roman" w:eastAsia="黑体" w:cs="Times New Roman"/>
          <w:sz w:val="28"/>
          <w:szCs w:val="28"/>
        </w:rPr>
      </w:pPr>
    </w:p>
    <w:p w14:paraId="07799A7B">
      <w:pPr>
        <w:shd w:val="clear"/>
        <w:jc w:val="center"/>
        <w:rPr>
          <w:rFonts w:ascii="Times New Roman" w:hAnsi="Times New Roman" w:eastAsia="黑体" w:cs="Times New Roman"/>
          <w:sz w:val="28"/>
          <w:szCs w:val="28"/>
        </w:rPr>
      </w:pPr>
    </w:p>
    <w:p w14:paraId="6E2BE137">
      <w:pPr>
        <w:shd w:val="clear"/>
        <w:jc w:val="center"/>
        <w:rPr>
          <w:rFonts w:ascii="Times New Roman" w:hAnsi="Times New Roman" w:eastAsia="黑体" w:cs="Times New Roman"/>
          <w:sz w:val="28"/>
          <w:szCs w:val="28"/>
        </w:rPr>
      </w:pPr>
    </w:p>
    <w:p w14:paraId="4D7A728E">
      <w:pPr>
        <w:shd w:val="clear"/>
        <w:jc w:val="center"/>
        <w:rPr>
          <w:rFonts w:ascii="Times New Roman" w:hAnsi="Times New Roman" w:eastAsia="黑体" w:cs="Times New Roman"/>
          <w:sz w:val="28"/>
          <w:szCs w:val="28"/>
        </w:rPr>
      </w:pPr>
    </w:p>
    <w:p w14:paraId="340E2E3F">
      <w:pPr>
        <w:shd w:val="clear"/>
        <w:jc w:val="center"/>
        <w:rPr>
          <w:rFonts w:ascii="Times New Roman" w:hAnsi="Times New Roman" w:eastAsia="黑体" w:cs="Times New Roman"/>
          <w:sz w:val="28"/>
          <w:szCs w:val="28"/>
        </w:rPr>
      </w:pPr>
    </w:p>
    <w:p w14:paraId="597EBB0B">
      <w:pPr>
        <w:pStyle w:val="14"/>
        <w:shd w:val="clear"/>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49C67EC9">
      <w:pPr>
        <w:pStyle w:val="19"/>
        <w:shd w:val="clea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第二部分    部门决算表</w:t>
      </w:r>
    </w:p>
    <w:p w14:paraId="54D45821">
      <w:pPr>
        <w:widowControl/>
        <w:shd w:val="clear"/>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15F5682A">
      <w:pPr>
        <w:widowControl/>
        <w:shd w:val="clear"/>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4D9A44A4">
      <w:pPr>
        <w:widowControl/>
        <w:shd w:val="clear"/>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湖南省文化和旅游厅</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10"/>
        <w:tblW w:w="4999" w:type="pct"/>
        <w:jc w:val="center"/>
        <w:tblLayout w:type="autofit"/>
        <w:tblCellMar>
          <w:top w:w="0" w:type="dxa"/>
          <w:left w:w="108" w:type="dxa"/>
          <w:bottom w:w="0" w:type="dxa"/>
          <w:right w:w="108" w:type="dxa"/>
        </w:tblCellMar>
      </w:tblPr>
      <w:tblGrid>
        <w:gridCol w:w="5148"/>
        <w:gridCol w:w="779"/>
        <w:gridCol w:w="1530"/>
        <w:gridCol w:w="4451"/>
        <w:gridCol w:w="779"/>
        <w:gridCol w:w="1530"/>
      </w:tblGrid>
      <w:tr w14:paraId="3E3CC35A">
        <w:tblPrEx>
          <w:tblCellMar>
            <w:top w:w="0" w:type="dxa"/>
            <w:left w:w="108" w:type="dxa"/>
            <w:bottom w:w="0" w:type="dxa"/>
            <w:right w:w="108" w:type="dxa"/>
          </w:tblCellMar>
        </w:tblPrEx>
        <w:trPr>
          <w:trHeight w:val="624" w:hRule="atLeast"/>
          <w:jc w:val="center"/>
        </w:trPr>
        <w:tc>
          <w:tcPr>
            <w:tcW w:w="2622" w:type="pct"/>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6C995D5">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2377" w:type="pct"/>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BF3D8C9">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3559DF1C">
        <w:tblPrEx>
          <w:tblCellMar>
            <w:top w:w="0" w:type="dxa"/>
            <w:left w:w="108" w:type="dxa"/>
            <w:bottom w:w="0" w:type="dxa"/>
            <w:right w:w="108" w:type="dxa"/>
          </w:tblCellMar>
        </w:tblPrEx>
        <w:trPr>
          <w:trHeight w:val="624" w:hRule="atLeast"/>
          <w:jc w:val="center"/>
        </w:trPr>
        <w:tc>
          <w:tcPr>
            <w:tcW w:w="18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644722">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3158390">
            <w:pPr>
              <w:widowControl/>
              <w:shd w:val="clear"/>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F1CDE49">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15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F30A4D">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DC3379">
            <w:pPr>
              <w:widowControl/>
              <w:shd w:val="clear"/>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43AA28A">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07F6FDE2">
        <w:tblPrEx>
          <w:tblCellMar>
            <w:top w:w="0" w:type="dxa"/>
            <w:left w:w="108" w:type="dxa"/>
            <w:bottom w:w="0" w:type="dxa"/>
            <w:right w:w="108" w:type="dxa"/>
          </w:tblCellMar>
        </w:tblPrEx>
        <w:trPr>
          <w:trHeight w:val="624" w:hRule="atLeast"/>
          <w:jc w:val="center"/>
        </w:trPr>
        <w:tc>
          <w:tcPr>
            <w:tcW w:w="18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605F03">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AB4AC81">
            <w:pPr>
              <w:shd w:val="clear"/>
              <w:jc w:val="center"/>
              <w:rPr>
                <w:rFonts w:ascii="Times New Roman" w:hAnsi="Times New Roman" w:eastAsia="仿宋_GB2312" w:cs="Times New Roman"/>
                <w:color w:val="000000"/>
                <w:sz w:val="24"/>
                <w:szCs w:val="24"/>
              </w:rPr>
            </w:pP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47F637">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5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1F2496">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A8B8717">
            <w:pPr>
              <w:shd w:val="clear"/>
              <w:jc w:val="center"/>
              <w:rPr>
                <w:rFonts w:ascii="Times New Roman" w:hAnsi="Times New Roman" w:eastAsia="仿宋_GB2312" w:cs="Times New Roman"/>
                <w:color w:val="000000"/>
                <w:sz w:val="24"/>
                <w:szCs w:val="24"/>
              </w:rPr>
            </w:pP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B0520A5">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4D9E1F82">
        <w:tblPrEx>
          <w:tblCellMar>
            <w:top w:w="0" w:type="dxa"/>
            <w:left w:w="108" w:type="dxa"/>
            <w:bottom w:w="0" w:type="dxa"/>
            <w:right w:w="108" w:type="dxa"/>
          </w:tblCellMar>
        </w:tblPrEx>
        <w:trPr>
          <w:trHeight w:val="624" w:hRule="atLeast"/>
          <w:jc w:val="center"/>
        </w:trPr>
        <w:tc>
          <w:tcPr>
            <w:tcW w:w="18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8DF914">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1E6A651">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1B3816">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113,780.26</w:t>
            </w:r>
          </w:p>
        </w:tc>
        <w:tc>
          <w:tcPr>
            <w:tcW w:w="15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F2F4C46">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9CF14C">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4323CD9">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194.24</w:t>
            </w:r>
          </w:p>
        </w:tc>
      </w:tr>
      <w:tr w14:paraId="51A7C2FD">
        <w:tblPrEx>
          <w:tblCellMar>
            <w:top w:w="0" w:type="dxa"/>
            <w:left w:w="108" w:type="dxa"/>
            <w:bottom w:w="0" w:type="dxa"/>
            <w:right w:w="108" w:type="dxa"/>
          </w:tblCellMar>
        </w:tblPrEx>
        <w:trPr>
          <w:trHeight w:val="624" w:hRule="atLeast"/>
          <w:jc w:val="center"/>
        </w:trPr>
        <w:tc>
          <w:tcPr>
            <w:tcW w:w="18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E91C8BD">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C5055CA">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775B002">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986.00</w:t>
            </w:r>
          </w:p>
        </w:tc>
        <w:tc>
          <w:tcPr>
            <w:tcW w:w="15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B74BC2D">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二、外交支出</w:t>
            </w: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2B3475">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1C4D043">
            <w:pPr>
              <w:shd w:val="clear"/>
              <w:jc w:val="center"/>
              <w:rPr>
                <w:rFonts w:hint="eastAsia" w:ascii="宋体" w:hAnsi="宋体" w:eastAsia="宋体" w:cs="宋体"/>
                <w:i w:val="0"/>
                <w:iCs w:val="0"/>
                <w:color w:val="000000"/>
                <w:sz w:val="22"/>
                <w:szCs w:val="22"/>
                <w:u w:val="none"/>
              </w:rPr>
            </w:pPr>
          </w:p>
        </w:tc>
      </w:tr>
      <w:tr w14:paraId="18668DDD">
        <w:tblPrEx>
          <w:tblCellMar>
            <w:top w:w="0" w:type="dxa"/>
            <w:left w:w="108" w:type="dxa"/>
            <w:bottom w:w="0" w:type="dxa"/>
            <w:right w:w="108" w:type="dxa"/>
          </w:tblCellMar>
        </w:tblPrEx>
        <w:trPr>
          <w:trHeight w:val="624" w:hRule="atLeast"/>
          <w:jc w:val="center"/>
        </w:trPr>
        <w:tc>
          <w:tcPr>
            <w:tcW w:w="18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374BFD8">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6440F79">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21362F">
            <w:pPr>
              <w:shd w:val="clear"/>
              <w:jc w:val="center"/>
              <w:rPr>
                <w:rFonts w:hint="eastAsia" w:ascii="宋体" w:hAnsi="宋体" w:eastAsia="宋体" w:cs="宋体"/>
                <w:i w:val="0"/>
                <w:iCs w:val="0"/>
                <w:color w:val="000000"/>
                <w:sz w:val="22"/>
                <w:szCs w:val="22"/>
                <w:u w:val="none"/>
              </w:rPr>
            </w:pPr>
          </w:p>
        </w:tc>
        <w:tc>
          <w:tcPr>
            <w:tcW w:w="15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98AFD2">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三、国防支出</w:t>
            </w: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D1A12B1">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33</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20DC72">
            <w:pPr>
              <w:shd w:val="clear"/>
              <w:jc w:val="center"/>
              <w:rPr>
                <w:rFonts w:hint="eastAsia" w:ascii="宋体" w:hAnsi="宋体" w:eastAsia="宋体" w:cs="宋体"/>
                <w:i w:val="0"/>
                <w:iCs w:val="0"/>
                <w:color w:val="000000"/>
                <w:sz w:val="22"/>
                <w:szCs w:val="22"/>
                <w:u w:val="none"/>
              </w:rPr>
            </w:pPr>
          </w:p>
        </w:tc>
      </w:tr>
      <w:tr w14:paraId="359B2E3D">
        <w:tblPrEx>
          <w:tblCellMar>
            <w:top w:w="0" w:type="dxa"/>
            <w:left w:w="108" w:type="dxa"/>
            <w:bottom w:w="0" w:type="dxa"/>
            <w:right w:w="108" w:type="dxa"/>
          </w:tblCellMar>
        </w:tblPrEx>
        <w:trPr>
          <w:trHeight w:val="624" w:hRule="atLeast"/>
          <w:jc w:val="center"/>
        </w:trPr>
        <w:tc>
          <w:tcPr>
            <w:tcW w:w="18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11847F8">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四、上级补助收入</w:t>
            </w: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48BE8F8">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A719233">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5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0814A05">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四、公共安全支出</w:t>
            </w: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5D7E97A">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34</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429F776">
            <w:pPr>
              <w:shd w:val="clear"/>
              <w:jc w:val="center"/>
              <w:rPr>
                <w:rFonts w:hint="eastAsia" w:ascii="宋体" w:hAnsi="宋体" w:eastAsia="宋体" w:cs="宋体"/>
                <w:i w:val="0"/>
                <w:iCs w:val="0"/>
                <w:color w:val="000000"/>
                <w:sz w:val="22"/>
                <w:szCs w:val="22"/>
                <w:u w:val="none"/>
              </w:rPr>
            </w:pPr>
          </w:p>
        </w:tc>
      </w:tr>
      <w:tr w14:paraId="7AFF078C">
        <w:tblPrEx>
          <w:tblCellMar>
            <w:top w:w="0" w:type="dxa"/>
            <w:left w:w="108" w:type="dxa"/>
            <w:bottom w:w="0" w:type="dxa"/>
            <w:right w:w="108" w:type="dxa"/>
          </w:tblCellMar>
        </w:tblPrEx>
        <w:trPr>
          <w:trHeight w:val="624" w:hRule="atLeast"/>
          <w:jc w:val="center"/>
        </w:trPr>
        <w:tc>
          <w:tcPr>
            <w:tcW w:w="18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50F341B">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五、事业收入</w:t>
            </w: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097783">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D4EAE7">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7,752.01</w:t>
            </w:r>
          </w:p>
        </w:tc>
        <w:tc>
          <w:tcPr>
            <w:tcW w:w="15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3F6982A">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五、教育支出</w:t>
            </w: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18CCAD0">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410F9BD">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515.70</w:t>
            </w:r>
          </w:p>
        </w:tc>
      </w:tr>
      <w:tr w14:paraId="5412104B">
        <w:tblPrEx>
          <w:tblCellMar>
            <w:top w:w="0" w:type="dxa"/>
            <w:left w:w="108" w:type="dxa"/>
            <w:bottom w:w="0" w:type="dxa"/>
            <w:right w:w="108" w:type="dxa"/>
          </w:tblCellMar>
        </w:tblPrEx>
        <w:trPr>
          <w:trHeight w:val="624" w:hRule="atLeast"/>
          <w:jc w:val="center"/>
        </w:trPr>
        <w:tc>
          <w:tcPr>
            <w:tcW w:w="18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E7D484F">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六、经营收入</w:t>
            </w: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254388">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592E48C">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5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8168C5">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六、科学技术支出</w:t>
            </w: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957609B">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36</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512BC4">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35.41</w:t>
            </w:r>
          </w:p>
        </w:tc>
      </w:tr>
      <w:tr w14:paraId="5FCF3FA3">
        <w:tblPrEx>
          <w:tblCellMar>
            <w:top w:w="0" w:type="dxa"/>
            <w:left w:w="108" w:type="dxa"/>
            <w:bottom w:w="0" w:type="dxa"/>
            <w:right w:w="108" w:type="dxa"/>
          </w:tblCellMar>
        </w:tblPrEx>
        <w:trPr>
          <w:trHeight w:val="624" w:hRule="atLeast"/>
          <w:jc w:val="center"/>
        </w:trPr>
        <w:tc>
          <w:tcPr>
            <w:tcW w:w="18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3A5A11">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298862">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705D2E">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5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8FE3C7E">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1602BE">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37</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367D06F">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111,410.18</w:t>
            </w:r>
          </w:p>
        </w:tc>
      </w:tr>
      <w:tr w14:paraId="60B50A0B">
        <w:tblPrEx>
          <w:tblCellMar>
            <w:top w:w="0" w:type="dxa"/>
            <w:left w:w="108" w:type="dxa"/>
            <w:bottom w:w="0" w:type="dxa"/>
            <w:right w:w="108" w:type="dxa"/>
          </w:tblCellMar>
        </w:tblPrEx>
        <w:trPr>
          <w:trHeight w:val="624" w:hRule="atLeast"/>
          <w:jc w:val="center"/>
        </w:trPr>
        <w:tc>
          <w:tcPr>
            <w:tcW w:w="18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8D472D">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八、其他收入</w:t>
            </w: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47A38E">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9F2BD7">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779.32</w:t>
            </w:r>
          </w:p>
        </w:tc>
        <w:tc>
          <w:tcPr>
            <w:tcW w:w="15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9FBC2A">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BFA922">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38</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DC95E90">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5,569.99</w:t>
            </w:r>
          </w:p>
        </w:tc>
      </w:tr>
      <w:tr w14:paraId="04289A09">
        <w:tblPrEx>
          <w:tblCellMar>
            <w:top w:w="0" w:type="dxa"/>
            <w:left w:w="108" w:type="dxa"/>
            <w:bottom w:w="0" w:type="dxa"/>
            <w:right w:w="108" w:type="dxa"/>
          </w:tblCellMar>
        </w:tblPrEx>
        <w:trPr>
          <w:trHeight w:val="624" w:hRule="atLeast"/>
          <w:jc w:val="center"/>
        </w:trPr>
        <w:tc>
          <w:tcPr>
            <w:tcW w:w="18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FC8FE8">
            <w:pPr>
              <w:shd w:val="clear"/>
              <w:jc w:val="center"/>
              <w:rPr>
                <w:rFonts w:hint="eastAsia" w:ascii="宋体" w:hAnsi="宋体" w:eastAsia="宋体" w:cs="宋体"/>
                <w:i w:val="0"/>
                <w:iCs w:val="0"/>
                <w:color w:val="000000"/>
                <w:sz w:val="22"/>
                <w:szCs w:val="22"/>
                <w:u w:val="none"/>
              </w:rPr>
            </w:pP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C867AD">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D1ACF9">
            <w:pPr>
              <w:shd w:val="clear"/>
              <w:jc w:val="center"/>
              <w:rPr>
                <w:rFonts w:hint="eastAsia" w:ascii="宋体" w:hAnsi="宋体" w:eastAsia="宋体" w:cs="宋体"/>
                <w:i w:val="0"/>
                <w:iCs w:val="0"/>
                <w:color w:val="000000"/>
                <w:sz w:val="22"/>
                <w:szCs w:val="22"/>
                <w:u w:val="none"/>
              </w:rPr>
            </w:pPr>
          </w:p>
        </w:tc>
        <w:tc>
          <w:tcPr>
            <w:tcW w:w="15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5C8C1E">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九、卫生健康支出</w:t>
            </w: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EEDA1F">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39</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8EE58A">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357.49</w:t>
            </w:r>
          </w:p>
        </w:tc>
      </w:tr>
      <w:tr w14:paraId="69CA4D53">
        <w:tblPrEx>
          <w:tblCellMar>
            <w:top w:w="0" w:type="dxa"/>
            <w:left w:w="108" w:type="dxa"/>
            <w:bottom w:w="0" w:type="dxa"/>
            <w:right w:w="108" w:type="dxa"/>
          </w:tblCellMar>
        </w:tblPrEx>
        <w:trPr>
          <w:trHeight w:val="624" w:hRule="atLeast"/>
          <w:jc w:val="center"/>
        </w:trPr>
        <w:tc>
          <w:tcPr>
            <w:tcW w:w="18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F6C9E8">
            <w:pPr>
              <w:shd w:val="clear"/>
              <w:jc w:val="center"/>
              <w:rPr>
                <w:rFonts w:hint="eastAsia" w:ascii="宋体" w:hAnsi="宋体" w:eastAsia="宋体" w:cs="宋体"/>
                <w:i w:val="0"/>
                <w:iCs w:val="0"/>
                <w:color w:val="000000"/>
                <w:sz w:val="22"/>
                <w:szCs w:val="22"/>
                <w:u w:val="none"/>
              </w:rPr>
            </w:pP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D8D1B6A">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8196D77">
            <w:pPr>
              <w:shd w:val="clear"/>
              <w:jc w:val="center"/>
              <w:rPr>
                <w:rFonts w:hint="eastAsia" w:ascii="宋体" w:hAnsi="宋体" w:eastAsia="宋体" w:cs="宋体"/>
                <w:i w:val="0"/>
                <w:iCs w:val="0"/>
                <w:color w:val="000000"/>
                <w:sz w:val="22"/>
                <w:szCs w:val="22"/>
                <w:u w:val="none"/>
              </w:rPr>
            </w:pPr>
          </w:p>
        </w:tc>
        <w:tc>
          <w:tcPr>
            <w:tcW w:w="15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69D54D">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十、节能环保支出</w:t>
            </w: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9D89FDF">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E5159F">
            <w:pPr>
              <w:shd w:val="clear"/>
              <w:jc w:val="center"/>
              <w:rPr>
                <w:rFonts w:hint="eastAsia" w:ascii="宋体" w:hAnsi="宋体" w:eastAsia="宋体" w:cs="宋体"/>
                <w:i w:val="0"/>
                <w:iCs w:val="0"/>
                <w:color w:val="000000"/>
                <w:sz w:val="22"/>
                <w:szCs w:val="22"/>
                <w:u w:val="none"/>
              </w:rPr>
            </w:pPr>
          </w:p>
        </w:tc>
      </w:tr>
      <w:tr w14:paraId="5F40493F">
        <w:tblPrEx>
          <w:tblCellMar>
            <w:top w:w="0" w:type="dxa"/>
            <w:left w:w="108" w:type="dxa"/>
            <w:bottom w:w="0" w:type="dxa"/>
            <w:right w:w="108" w:type="dxa"/>
          </w:tblCellMar>
        </w:tblPrEx>
        <w:trPr>
          <w:trHeight w:val="624" w:hRule="atLeast"/>
          <w:jc w:val="center"/>
        </w:trPr>
        <w:tc>
          <w:tcPr>
            <w:tcW w:w="18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942331">
            <w:pPr>
              <w:shd w:val="clear"/>
              <w:jc w:val="center"/>
              <w:rPr>
                <w:rFonts w:hint="eastAsia" w:ascii="宋体" w:hAnsi="宋体" w:eastAsia="宋体" w:cs="宋体"/>
                <w:i w:val="0"/>
                <w:iCs w:val="0"/>
                <w:color w:val="000000"/>
                <w:sz w:val="22"/>
                <w:szCs w:val="22"/>
                <w:u w:val="none"/>
              </w:rPr>
            </w:pP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78C8092">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5FFA1C">
            <w:pPr>
              <w:shd w:val="clear"/>
              <w:jc w:val="center"/>
              <w:rPr>
                <w:rFonts w:hint="eastAsia" w:ascii="宋体" w:hAnsi="宋体" w:eastAsia="宋体" w:cs="宋体"/>
                <w:i w:val="0"/>
                <w:iCs w:val="0"/>
                <w:color w:val="000000"/>
                <w:sz w:val="22"/>
                <w:szCs w:val="22"/>
                <w:u w:val="none"/>
              </w:rPr>
            </w:pPr>
          </w:p>
        </w:tc>
        <w:tc>
          <w:tcPr>
            <w:tcW w:w="15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1BC332">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十一、城乡社区支出</w:t>
            </w: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7916F69">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41</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DB70962">
            <w:pPr>
              <w:shd w:val="clear"/>
              <w:jc w:val="center"/>
              <w:rPr>
                <w:rFonts w:hint="eastAsia" w:ascii="宋体" w:hAnsi="宋体" w:eastAsia="宋体" w:cs="宋体"/>
                <w:i w:val="0"/>
                <w:iCs w:val="0"/>
                <w:color w:val="000000"/>
                <w:sz w:val="22"/>
                <w:szCs w:val="22"/>
                <w:u w:val="none"/>
              </w:rPr>
            </w:pPr>
          </w:p>
        </w:tc>
      </w:tr>
      <w:tr w14:paraId="077CB611">
        <w:tblPrEx>
          <w:tblCellMar>
            <w:top w:w="0" w:type="dxa"/>
            <w:left w:w="108" w:type="dxa"/>
            <w:bottom w:w="0" w:type="dxa"/>
            <w:right w:w="108" w:type="dxa"/>
          </w:tblCellMar>
        </w:tblPrEx>
        <w:trPr>
          <w:trHeight w:val="624" w:hRule="atLeast"/>
          <w:jc w:val="center"/>
        </w:trPr>
        <w:tc>
          <w:tcPr>
            <w:tcW w:w="18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2EEF8A">
            <w:pPr>
              <w:shd w:val="clear"/>
              <w:jc w:val="center"/>
              <w:rPr>
                <w:rFonts w:hint="eastAsia" w:ascii="宋体" w:hAnsi="宋体" w:eastAsia="宋体" w:cs="宋体"/>
                <w:i w:val="0"/>
                <w:iCs w:val="0"/>
                <w:color w:val="000000"/>
                <w:sz w:val="22"/>
                <w:szCs w:val="22"/>
                <w:u w:val="none"/>
              </w:rPr>
            </w:pP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B3211DF">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482E825">
            <w:pPr>
              <w:shd w:val="clear"/>
              <w:jc w:val="center"/>
              <w:rPr>
                <w:rFonts w:hint="eastAsia" w:ascii="宋体" w:hAnsi="宋体" w:eastAsia="宋体" w:cs="宋体"/>
                <w:i w:val="0"/>
                <w:iCs w:val="0"/>
                <w:color w:val="000000"/>
                <w:sz w:val="22"/>
                <w:szCs w:val="22"/>
                <w:u w:val="none"/>
              </w:rPr>
            </w:pPr>
          </w:p>
        </w:tc>
        <w:tc>
          <w:tcPr>
            <w:tcW w:w="15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19A54B">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十二、农林水支出</w:t>
            </w: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8F249D0">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42</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D337CD">
            <w:pPr>
              <w:shd w:val="clear"/>
              <w:jc w:val="center"/>
              <w:rPr>
                <w:rFonts w:hint="eastAsia" w:ascii="宋体" w:hAnsi="宋体" w:eastAsia="宋体" w:cs="宋体"/>
                <w:i w:val="0"/>
                <w:iCs w:val="0"/>
                <w:color w:val="000000"/>
                <w:sz w:val="22"/>
                <w:szCs w:val="22"/>
                <w:u w:val="none"/>
              </w:rPr>
            </w:pPr>
          </w:p>
        </w:tc>
      </w:tr>
      <w:tr w14:paraId="61EA564D">
        <w:tblPrEx>
          <w:tblCellMar>
            <w:top w:w="0" w:type="dxa"/>
            <w:left w:w="108" w:type="dxa"/>
            <w:bottom w:w="0" w:type="dxa"/>
            <w:right w:w="108" w:type="dxa"/>
          </w:tblCellMar>
        </w:tblPrEx>
        <w:trPr>
          <w:trHeight w:val="624" w:hRule="atLeast"/>
          <w:jc w:val="center"/>
        </w:trPr>
        <w:tc>
          <w:tcPr>
            <w:tcW w:w="18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69814B3">
            <w:pPr>
              <w:shd w:val="clear"/>
              <w:jc w:val="center"/>
              <w:rPr>
                <w:rFonts w:hint="eastAsia" w:ascii="宋体" w:hAnsi="宋体" w:eastAsia="宋体" w:cs="宋体"/>
                <w:i w:val="0"/>
                <w:iCs w:val="0"/>
                <w:color w:val="000000"/>
                <w:sz w:val="22"/>
                <w:szCs w:val="22"/>
                <w:u w:val="none"/>
              </w:rPr>
            </w:pP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00C34AB">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371B915">
            <w:pPr>
              <w:shd w:val="clear"/>
              <w:jc w:val="center"/>
              <w:rPr>
                <w:rFonts w:hint="eastAsia" w:ascii="宋体" w:hAnsi="宋体" w:eastAsia="宋体" w:cs="宋体"/>
                <w:i w:val="0"/>
                <w:iCs w:val="0"/>
                <w:color w:val="000000"/>
                <w:sz w:val="22"/>
                <w:szCs w:val="22"/>
                <w:u w:val="none"/>
              </w:rPr>
            </w:pPr>
          </w:p>
        </w:tc>
        <w:tc>
          <w:tcPr>
            <w:tcW w:w="15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804B8B">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十三、交通运输支出</w:t>
            </w: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4CF69B6">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43</w:t>
            </w:r>
          </w:p>
        </w:tc>
        <w:tc>
          <w:tcPr>
            <w:tcW w:w="5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9B3A0E">
            <w:pPr>
              <w:shd w:val="clear"/>
              <w:jc w:val="center"/>
              <w:rPr>
                <w:rFonts w:hint="eastAsia" w:ascii="宋体" w:hAnsi="宋体" w:eastAsia="宋体" w:cs="宋体"/>
                <w:i w:val="0"/>
                <w:iCs w:val="0"/>
                <w:color w:val="000000"/>
                <w:sz w:val="22"/>
                <w:szCs w:val="22"/>
                <w:u w:val="none"/>
              </w:rPr>
            </w:pPr>
          </w:p>
        </w:tc>
      </w:tr>
      <w:tr w14:paraId="4C81B41B">
        <w:tblPrEx>
          <w:tblCellMar>
            <w:top w:w="0" w:type="dxa"/>
            <w:left w:w="108" w:type="dxa"/>
            <w:bottom w:w="0" w:type="dxa"/>
            <w:right w:w="108" w:type="dxa"/>
          </w:tblCellMar>
        </w:tblPrEx>
        <w:trPr>
          <w:trHeight w:val="624" w:hRule="atLeast"/>
          <w:jc w:val="center"/>
        </w:trPr>
        <w:tc>
          <w:tcPr>
            <w:tcW w:w="1810" w:type="pct"/>
            <w:tcBorders>
              <w:top w:val="single" w:color="auto" w:sz="4" w:space="0"/>
              <w:left w:val="single" w:color="auto" w:sz="4" w:space="0"/>
              <w:bottom w:val="single" w:color="auto" w:sz="4" w:space="0"/>
              <w:right w:val="single" w:color="auto" w:sz="4" w:space="0"/>
            </w:tcBorders>
            <w:shd w:val="clear" w:color="auto" w:fill="auto"/>
            <w:vAlign w:val="center"/>
          </w:tcPr>
          <w:p w14:paraId="391F5F12">
            <w:pPr>
              <w:shd w:val="clear"/>
              <w:jc w:val="center"/>
              <w:rPr>
                <w:rFonts w:hint="eastAsia" w:ascii="宋体" w:hAnsi="宋体" w:eastAsia="宋体" w:cs="宋体"/>
                <w:i w:val="0"/>
                <w:iCs w:val="0"/>
                <w:color w:val="000000"/>
                <w:sz w:val="22"/>
                <w:szCs w:val="22"/>
                <w:u w:val="none"/>
              </w:rPr>
            </w:pP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10F9DB15">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71F41D28">
            <w:pPr>
              <w:shd w:val="clear"/>
              <w:jc w:val="center"/>
              <w:rPr>
                <w:rFonts w:hint="eastAsia" w:ascii="宋体" w:hAnsi="宋体" w:eastAsia="宋体" w:cs="宋体"/>
                <w:i w:val="0"/>
                <w:iCs w:val="0"/>
                <w:color w:val="000000"/>
                <w:sz w:val="22"/>
                <w:szCs w:val="22"/>
                <w:u w:val="none"/>
              </w:rPr>
            </w:pPr>
          </w:p>
        </w:tc>
        <w:tc>
          <w:tcPr>
            <w:tcW w:w="1565" w:type="pct"/>
            <w:tcBorders>
              <w:top w:val="single" w:color="auto" w:sz="4" w:space="0"/>
              <w:left w:val="single" w:color="auto" w:sz="4" w:space="0"/>
              <w:bottom w:val="single" w:color="auto" w:sz="4" w:space="0"/>
              <w:right w:val="single" w:color="auto" w:sz="4" w:space="0"/>
            </w:tcBorders>
            <w:shd w:val="clear" w:color="auto" w:fill="auto"/>
            <w:vAlign w:val="center"/>
          </w:tcPr>
          <w:p w14:paraId="044A8D9F">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591D5573">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44</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08B5E05A">
            <w:pPr>
              <w:shd w:val="clear"/>
              <w:jc w:val="center"/>
              <w:rPr>
                <w:rFonts w:hint="eastAsia" w:ascii="宋体" w:hAnsi="宋体" w:eastAsia="宋体" w:cs="宋体"/>
                <w:i w:val="0"/>
                <w:iCs w:val="0"/>
                <w:color w:val="000000"/>
                <w:sz w:val="22"/>
                <w:szCs w:val="22"/>
                <w:u w:val="none"/>
              </w:rPr>
            </w:pPr>
          </w:p>
        </w:tc>
      </w:tr>
      <w:tr w14:paraId="25FA5C83">
        <w:tblPrEx>
          <w:tblCellMar>
            <w:top w:w="0" w:type="dxa"/>
            <w:left w:w="108" w:type="dxa"/>
            <w:bottom w:w="0" w:type="dxa"/>
            <w:right w:w="108" w:type="dxa"/>
          </w:tblCellMar>
        </w:tblPrEx>
        <w:trPr>
          <w:trHeight w:val="624" w:hRule="atLeast"/>
          <w:jc w:val="center"/>
        </w:trPr>
        <w:tc>
          <w:tcPr>
            <w:tcW w:w="1810" w:type="pct"/>
            <w:tcBorders>
              <w:top w:val="single" w:color="auto" w:sz="4" w:space="0"/>
              <w:left w:val="single" w:color="auto" w:sz="4" w:space="0"/>
              <w:bottom w:val="single" w:color="auto" w:sz="4" w:space="0"/>
              <w:right w:val="single" w:color="auto" w:sz="4" w:space="0"/>
            </w:tcBorders>
            <w:shd w:val="clear" w:color="auto" w:fill="auto"/>
            <w:vAlign w:val="center"/>
          </w:tcPr>
          <w:p w14:paraId="2D9C6C80">
            <w:pPr>
              <w:shd w:val="clear"/>
              <w:jc w:val="center"/>
              <w:rPr>
                <w:rFonts w:hint="eastAsia" w:ascii="宋体" w:hAnsi="宋体" w:eastAsia="宋体" w:cs="宋体"/>
                <w:i w:val="0"/>
                <w:iCs w:val="0"/>
                <w:color w:val="000000"/>
                <w:sz w:val="22"/>
                <w:szCs w:val="22"/>
                <w:u w:val="none"/>
              </w:rPr>
            </w:pP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4DD6D0DC">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77C1090B">
            <w:pPr>
              <w:shd w:val="clear"/>
              <w:jc w:val="center"/>
              <w:rPr>
                <w:rFonts w:hint="eastAsia" w:ascii="宋体" w:hAnsi="宋体" w:eastAsia="宋体" w:cs="宋体"/>
                <w:i w:val="0"/>
                <w:iCs w:val="0"/>
                <w:color w:val="000000"/>
                <w:sz w:val="22"/>
                <w:szCs w:val="22"/>
                <w:u w:val="none"/>
              </w:rPr>
            </w:pPr>
          </w:p>
        </w:tc>
        <w:tc>
          <w:tcPr>
            <w:tcW w:w="1565" w:type="pct"/>
            <w:tcBorders>
              <w:top w:val="single" w:color="auto" w:sz="4" w:space="0"/>
              <w:left w:val="single" w:color="auto" w:sz="4" w:space="0"/>
              <w:bottom w:val="single" w:color="auto" w:sz="4" w:space="0"/>
              <w:right w:val="single" w:color="auto" w:sz="4" w:space="0"/>
            </w:tcBorders>
            <w:shd w:val="clear" w:color="auto" w:fill="auto"/>
            <w:vAlign w:val="center"/>
          </w:tcPr>
          <w:p w14:paraId="534AD5D5">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506A1F1F">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45</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3F065371">
            <w:pPr>
              <w:shd w:val="clear"/>
              <w:jc w:val="center"/>
              <w:rPr>
                <w:rFonts w:hint="eastAsia" w:ascii="宋体" w:hAnsi="宋体" w:eastAsia="宋体" w:cs="宋体"/>
                <w:i w:val="0"/>
                <w:iCs w:val="0"/>
                <w:color w:val="000000"/>
                <w:sz w:val="22"/>
                <w:szCs w:val="22"/>
                <w:u w:val="none"/>
              </w:rPr>
            </w:pPr>
          </w:p>
        </w:tc>
      </w:tr>
      <w:tr w14:paraId="014C4051">
        <w:tblPrEx>
          <w:tblCellMar>
            <w:top w:w="0" w:type="dxa"/>
            <w:left w:w="108" w:type="dxa"/>
            <w:bottom w:w="0" w:type="dxa"/>
            <w:right w:w="108" w:type="dxa"/>
          </w:tblCellMar>
        </w:tblPrEx>
        <w:trPr>
          <w:trHeight w:val="624" w:hRule="atLeast"/>
          <w:jc w:val="center"/>
        </w:trPr>
        <w:tc>
          <w:tcPr>
            <w:tcW w:w="1810" w:type="pct"/>
            <w:tcBorders>
              <w:top w:val="single" w:color="auto" w:sz="4" w:space="0"/>
              <w:left w:val="single" w:color="auto" w:sz="4" w:space="0"/>
              <w:bottom w:val="single" w:color="auto" w:sz="4" w:space="0"/>
              <w:right w:val="single" w:color="auto" w:sz="4" w:space="0"/>
            </w:tcBorders>
            <w:shd w:val="clear" w:color="auto" w:fill="auto"/>
            <w:vAlign w:val="center"/>
          </w:tcPr>
          <w:p w14:paraId="655BD70E">
            <w:pPr>
              <w:shd w:val="clear"/>
              <w:jc w:val="center"/>
              <w:rPr>
                <w:rFonts w:hint="eastAsia" w:ascii="宋体" w:hAnsi="宋体" w:eastAsia="宋体" w:cs="宋体"/>
                <w:i w:val="0"/>
                <w:iCs w:val="0"/>
                <w:color w:val="000000"/>
                <w:sz w:val="22"/>
                <w:szCs w:val="22"/>
                <w:u w:val="none"/>
              </w:rPr>
            </w:pP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19D2589F">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22A57097">
            <w:pPr>
              <w:shd w:val="clear"/>
              <w:jc w:val="center"/>
              <w:rPr>
                <w:rFonts w:hint="eastAsia" w:ascii="宋体" w:hAnsi="宋体" w:eastAsia="宋体" w:cs="宋体"/>
                <w:i w:val="0"/>
                <w:iCs w:val="0"/>
                <w:color w:val="000000"/>
                <w:sz w:val="22"/>
                <w:szCs w:val="22"/>
                <w:u w:val="none"/>
              </w:rPr>
            </w:pPr>
          </w:p>
        </w:tc>
        <w:tc>
          <w:tcPr>
            <w:tcW w:w="1565" w:type="pct"/>
            <w:tcBorders>
              <w:top w:val="single" w:color="auto" w:sz="4" w:space="0"/>
              <w:left w:val="single" w:color="auto" w:sz="4" w:space="0"/>
              <w:bottom w:val="single" w:color="auto" w:sz="4" w:space="0"/>
              <w:right w:val="single" w:color="auto" w:sz="4" w:space="0"/>
            </w:tcBorders>
            <w:shd w:val="clear" w:color="auto" w:fill="auto"/>
            <w:vAlign w:val="center"/>
          </w:tcPr>
          <w:p w14:paraId="732BD86C">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十六、金融支出</w:t>
            </w: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7CD0EAE0">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46</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5E8CFB82">
            <w:pPr>
              <w:shd w:val="clear"/>
              <w:jc w:val="center"/>
              <w:rPr>
                <w:rFonts w:hint="eastAsia" w:ascii="宋体" w:hAnsi="宋体" w:eastAsia="宋体" w:cs="宋体"/>
                <w:i w:val="0"/>
                <w:iCs w:val="0"/>
                <w:color w:val="000000"/>
                <w:sz w:val="22"/>
                <w:szCs w:val="22"/>
                <w:u w:val="none"/>
              </w:rPr>
            </w:pPr>
          </w:p>
        </w:tc>
      </w:tr>
      <w:tr w14:paraId="18AA0CA1">
        <w:tblPrEx>
          <w:tblCellMar>
            <w:top w:w="0" w:type="dxa"/>
            <w:left w:w="108" w:type="dxa"/>
            <w:bottom w:w="0" w:type="dxa"/>
            <w:right w:w="108" w:type="dxa"/>
          </w:tblCellMar>
        </w:tblPrEx>
        <w:trPr>
          <w:trHeight w:val="624" w:hRule="atLeast"/>
          <w:jc w:val="center"/>
        </w:trPr>
        <w:tc>
          <w:tcPr>
            <w:tcW w:w="1810" w:type="pct"/>
            <w:tcBorders>
              <w:top w:val="single" w:color="auto" w:sz="4" w:space="0"/>
              <w:left w:val="single" w:color="auto" w:sz="4" w:space="0"/>
              <w:bottom w:val="single" w:color="auto" w:sz="4" w:space="0"/>
              <w:right w:val="single" w:color="auto" w:sz="4" w:space="0"/>
            </w:tcBorders>
            <w:shd w:val="clear" w:color="auto" w:fill="auto"/>
            <w:vAlign w:val="center"/>
          </w:tcPr>
          <w:p w14:paraId="0FE7A60E">
            <w:pPr>
              <w:shd w:val="clear"/>
              <w:jc w:val="center"/>
              <w:rPr>
                <w:rFonts w:hint="eastAsia" w:ascii="宋体" w:hAnsi="宋体" w:eastAsia="宋体" w:cs="宋体"/>
                <w:i w:val="0"/>
                <w:iCs w:val="0"/>
                <w:color w:val="000000"/>
                <w:sz w:val="22"/>
                <w:szCs w:val="22"/>
                <w:u w:val="none"/>
              </w:rPr>
            </w:pP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5BA198F1">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75DC101E">
            <w:pPr>
              <w:shd w:val="clear"/>
              <w:jc w:val="center"/>
              <w:rPr>
                <w:rFonts w:hint="eastAsia" w:ascii="宋体" w:hAnsi="宋体" w:eastAsia="宋体" w:cs="宋体"/>
                <w:i w:val="0"/>
                <w:iCs w:val="0"/>
                <w:color w:val="000000"/>
                <w:sz w:val="22"/>
                <w:szCs w:val="22"/>
                <w:u w:val="none"/>
              </w:rPr>
            </w:pPr>
          </w:p>
        </w:tc>
        <w:tc>
          <w:tcPr>
            <w:tcW w:w="1565" w:type="pct"/>
            <w:tcBorders>
              <w:top w:val="single" w:color="auto" w:sz="4" w:space="0"/>
              <w:left w:val="single" w:color="auto" w:sz="4" w:space="0"/>
              <w:bottom w:val="single" w:color="auto" w:sz="4" w:space="0"/>
              <w:right w:val="single" w:color="auto" w:sz="4" w:space="0"/>
            </w:tcBorders>
            <w:shd w:val="clear" w:color="auto" w:fill="auto"/>
            <w:vAlign w:val="center"/>
          </w:tcPr>
          <w:p w14:paraId="75EE8363">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2194B00F">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47</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7F1F9DAE">
            <w:pPr>
              <w:shd w:val="clear"/>
              <w:jc w:val="center"/>
              <w:rPr>
                <w:rFonts w:hint="eastAsia" w:ascii="宋体" w:hAnsi="宋体" w:eastAsia="宋体" w:cs="宋体"/>
                <w:i w:val="0"/>
                <w:iCs w:val="0"/>
                <w:color w:val="000000"/>
                <w:sz w:val="22"/>
                <w:szCs w:val="22"/>
                <w:u w:val="none"/>
              </w:rPr>
            </w:pPr>
          </w:p>
        </w:tc>
      </w:tr>
      <w:tr w14:paraId="68F953B5">
        <w:tblPrEx>
          <w:tblCellMar>
            <w:top w:w="0" w:type="dxa"/>
            <w:left w:w="108" w:type="dxa"/>
            <w:bottom w:w="0" w:type="dxa"/>
            <w:right w:w="108" w:type="dxa"/>
          </w:tblCellMar>
        </w:tblPrEx>
        <w:trPr>
          <w:trHeight w:val="624" w:hRule="atLeast"/>
          <w:jc w:val="center"/>
        </w:trPr>
        <w:tc>
          <w:tcPr>
            <w:tcW w:w="1810" w:type="pct"/>
            <w:tcBorders>
              <w:top w:val="single" w:color="auto" w:sz="4" w:space="0"/>
              <w:left w:val="single" w:color="auto" w:sz="4" w:space="0"/>
              <w:bottom w:val="single" w:color="auto" w:sz="4" w:space="0"/>
              <w:right w:val="single" w:color="auto" w:sz="4" w:space="0"/>
            </w:tcBorders>
            <w:shd w:val="clear" w:color="auto" w:fill="auto"/>
            <w:vAlign w:val="center"/>
          </w:tcPr>
          <w:p w14:paraId="42A4C34D">
            <w:pPr>
              <w:shd w:val="clear"/>
              <w:jc w:val="center"/>
              <w:rPr>
                <w:rFonts w:hint="eastAsia" w:ascii="宋体" w:hAnsi="宋体" w:eastAsia="宋体" w:cs="宋体"/>
                <w:i w:val="0"/>
                <w:iCs w:val="0"/>
                <w:color w:val="000000"/>
                <w:sz w:val="22"/>
                <w:szCs w:val="22"/>
                <w:u w:val="none"/>
              </w:rPr>
            </w:pP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333693E7">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15F880E5">
            <w:pPr>
              <w:shd w:val="clear"/>
              <w:jc w:val="center"/>
              <w:rPr>
                <w:rFonts w:hint="eastAsia" w:ascii="宋体" w:hAnsi="宋体" w:eastAsia="宋体" w:cs="宋体"/>
                <w:i w:val="0"/>
                <w:iCs w:val="0"/>
                <w:color w:val="000000"/>
                <w:sz w:val="22"/>
                <w:szCs w:val="22"/>
                <w:u w:val="none"/>
              </w:rPr>
            </w:pPr>
          </w:p>
        </w:tc>
        <w:tc>
          <w:tcPr>
            <w:tcW w:w="1565" w:type="pct"/>
            <w:tcBorders>
              <w:top w:val="single" w:color="auto" w:sz="4" w:space="0"/>
              <w:left w:val="single" w:color="auto" w:sz="4" w:space="0"/>
              <w:bottom w:val="single" w:color="auto" w:sz="4" w:space="0"/>
              <w:right w:val="single" w:color="auto" w:sz="4" w:space="0"/>
            </w:tcBorders>
            <w:shd w:val="clear" w:color="auto" w:fill="auto"/>
            <w:vAlign w:val="center"/>
          </w:tcPr>
          <w:p w14:paraId="348929A9">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439D28C2">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48</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4AFAD921">
            <w:pPr>
              <w:shd w:val="clear"/>
              <w:jc w:val="center"/>
              <w:rPr>
                <w:rFonts w:hint="eastAsia" w:ascii="宋体" w:hAnsi="宋体" w:eastAsia="宋体" w:cs="宋体"/>
                <w:i w:val="0"/>
                <w:iCs w:val="0"/>
                <w:color w:val="000000"/>
                <w:sz w:val="22"/>
                <w:szCs w:val="22"/>
                <w:u w:val="none"/>
              </w:rPr>
            </w:pPr>
          </w:p>
        </w:tc>
      </w:tr>
      <w:tr w14:paraId="4686AEE9">
        <w:tblPrEx>
          <w:tblCellMar>
            <w:top w:w="0" w:type="dxa"/>
            <w:left w:w="108" w:type="dxa"/>
            <w:bottom w:w="0" w:type="dxa"/>
            <w:right w:w="108" w:type="dxa"/>
          </w:tblCellMar>
        </w:tblPrEx>
        <w:trPr>
          <w:trHeight w:val="624" w:hRule="atLeast"/>
          <w:jc w:val="center"/>
        </w:trPr>
        <w:tc>
          <w:tcPr>
            <w:tcW w:w="1810" w:type="pct"/>
            <w:tcBorders>
              <w:top w:val="single" w:color="auto" w:sz="4" w:space="0"/>
              <w:left w:val="single" w:color="auto" w:sz="4" w:space="0"/>
              <w:bottom w:val="single" w:color="auto" w:sz="4" w:space="0"/>
              <w:right w:val="single" w:color="auto" w:sz="4" w:space="0"/>
            </w:tcBorders>
            <w:shd w:val="clear" w:color="auto" w:fill="auto"/>
            <w:vAlign w:val="center"/>
          </w:tcPr>
          <w:p w14:paraId="1F7B60A4">
            <w:pPr>
              <w:shd w:val="clear"/>
              <w:jc w:val="left"/>
              <w:rPr>
                <w:rFonts w:hint="eastAsia" w:ascii="宋体" w:hAnsi="宋体" w:eastAsia="宋体" w:cs="宋体"/>
                <w:i w:val="0"/>
                <w:iCs w:val="0"/>
                <w:color w:val="000000"/>
                <w:sz w:val="22"/>
                <w:szCs w:val="22"/>
                <w:u w:val="none"/>
              </w:rPr>
            </w:pP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01E9B0A6">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0A0C0046">
            <w:pPr>
              <w:shd w:val="clear"/>
              <w:jc w:val="right"/>
              <w:rPr>
                <w:rFonts w:hint="eastAsia" w:ascii="宋体" w:hAnsi="宋体" w:eastAsia="宋体" w:cs="宋体"/>
                <w:i w:val="0"/>
                <w:iCs w:val="0"/>
                <w:color w:val="000000"/>
                <w:sz w:val="22"/>
                <w:szCs w:val="22"/>
                <w:u w:val="none"/>
              </w:rPr>
            </w:pPr>
          </w:p>
        </w:tc>
        <w:tc>
          <w:tcPr>
            <w:tcW w:w="1565" w:type="pct"/>
            <w:tcBorders>
              <w:top w:val="single" w:color="auto" w:sz="4" w:space="0"/>
              <w:left w:val="single" w:color="auto" w:sz="4" w:space="0"/>
              <w:bottom w:val="single" w:color="auto" w:sz="4" w:space="0"/>
              <w:right w:val="single" w:color="auto" w:sz="4" w:space="0"/>
            </w:tcBorders>
            <w:shd w:val="clear" w:color="auto" w:fill="auto"/>
            <w:vAlign w:val="center"/>
          </w:tcPr>
          <w:p w14:paraId="6F3CBC88">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十九、住房保障支出</w:t>
            </w: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622004D2">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49</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07D5EE9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3,181.86 </w:t>
            </w:r>
          </w:p>
        </w:tc>
      </w:tr>
      <w:tr w14:paraId="5682F406">
        <w:tblPrEx>
          <w:tblCellMar>
            <w:top w:w="0" w:type="dxa"/>
            <w:left w:w="108" w:type="dxa"/>
            <w:bottom w:w="0" w:type="dxa"/>
            <w:right w:w="108" w:type="dxa"/>
          </w:tblCellMar>
        </w:tblPrEx>
        <w:trPr>
          <w:trHeight w:val="624" w:hRule="atLeast"/>
          <w:jc w:val="center"/>
        </w:trPr>
        <w:tc>
          <w:tcPr>
            <w:tcW w:w="1810" w:type="pct"/>
            <w:tcBorders>
              <w:top w:val="single" w:color="auto" w:sz="4" w:space="0"/>
              <w:left w:val="single" w:color="auto" w:sz="4" w:space="0"/>
              <w:bottom w:val="single" w:color="auto" w:sz="4" w:space="0"/>
              <w:right w:val="single" w:color="auto" w:sz="4" w:space="0"/>
            </w:tcBorders>
            <w:shd w:val="clear" w:color="auto" w:fill="auto"/>
            <w:vAlign w:val="center"/>
          </w:tcPr>
          <w:p w14:paraId="01B550C2">
            <w:pPr>
              <w:shd w:val="clear"/>
              <w:jc w:val="left"/>
              <w:rPr>
                <w:rFonts w:hint="eastAsia" w:ascii="宋体" w:hAnsi="宋体" w:eastAsia="宋体" w:cs="宋体"/>
                <w:i w:val="0"/>
                <w:iCs w:val="0"/>
                <w:color w:val="000000"/>
                <w:sz w:val="22"/>
                <w:szCs w:val="22"/>
                <w:u w:val="none"/>
              </w:rPr>
            </w:pP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52148E21">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371E43F1">
            <w:pPr>
              <w:shd w:val="clear"/>
              <w:jc w:val="right"/>
              <w:rPr>
                <w:rFonts w:hint="eastAsia" w:ascii="宋体" w:hAnsi="宋体" w:eastAsia="宋体" w:cs="宋体"/>
                <w:i w:val="0"/>
                <w:iCs w:val="0"/>
                <w:color w:val="000000"/>
                <w:sz w:val="22"/>
                <w:szCs w:val="22"/>
                <w:u w:val="none"/>
              </w:rPr>
            </w:pPr>
          </w:p>
        </w:tc>
        <w:tc>
          <w:tcPr>
            <w:tcW w:w="1565" w:type="pct"/>
            <w:tcBorders>
              <w:top w:val="single" w:color="auto" w:sz="4" w:space="0"/>
              <w:left w:val="single" w:color="auto" w:sz="4" w:space="0"/>
              <w:bottom w:val="single" w:color="auto" w:sz="4" w:space="0"/>
              <w:right w:val="single" w:color="auto" w:sz="4" w:space="0"/>
            </w:tcBorders>
            <w:shd w:val="clear" w:color="auto" w:fill="auto"/>
            <w:vAlign w:val="center"/>
          </w:tcPr>
          <w:p w14:paraId="27088FCE">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5D3BE0A7">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50</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5F6A3B47">
            <w:pPr>
              <w:shd w:val="clear"/>
              <w:jc w:val="right"/>
              <w:rPr>
                <w:rFonts w:hint="eastAsia" w:ascii="宋体" w:hAnsi="宋体" w:eastAsia="宋体" w:cs="宋体"/>
                <w:i w:val="0"/>
                <w:iCs w:val="0"/>
                <w:color w:val="000000"/>
                <w:sz w:val="22"/>
                <w:szCs w:val="22"/>
                <w:u w:val="none"/>
              </w:rPr>
            </w:pPr>
          </w:p>
        </w:tc>
      </w:tr>
      <w:tr w14:paraId="059746EE">
        <w:tblPrEx>
          <w:tblCellMar>
            <w:top w:w="0" w:type="dxa"/>
            <w:left w:w="108" w:type="dxa"/>
            <w:bottom w:w="0" w:type="dxa"/>
            <w:right w:w="108" w:type="dxa"/>
          </w:tblCellMar>
        </w:tblPrEx>
        <w:trPr>
          <w:trHeight w:val="624" w:hRule="atLeast"/>
          <w:jc w:val="center"/>
        </w:trPr>
        <w:tc>
          <w:tcPr>
            <w:tcW w:w="1810" w:type="pct"/>
            <w:tcBorders>
              <w:top w:val="single" w:color="auto" w:sz="4" w:space="0"/>
              <w:left w:val="single" w:color="auto" w:sz="4" w:space="0"/>
              <w:bottom w:val="single" w:color="auto" w:sz="4" w:space="0"/>
              <w:right w:val="single" w:color="auto" w:sz="4" w:space="0"/>
            </w:tcBorders>
            <w:shd w:val="clear" w:color="auto" w:fill="auto"/>
            <w:vAlign w:val="center"/>
          </w:tcPr>
          <w:p w14:paraId="40DD2927">
            <w:pPr>
              <w:shd w:val="clear"/>
              <w:jc w:val="left"/>
              <w:rPr>
                <w:rFonts w:hint="eastAsia" w:ascii="宋体" w:hAnsi="宋体" w:eastAsia="宋体" w:cs="宋体"/>
                <w:i w:val="0"/>
                <w:iCs w:val="0"/>
                <w:color w:val="000000"/>
                <w:sz w:val="22"/>
                <w:szCs w:val="22"/>
                <w:u w:val="none"/>
              </w:rPr>
            </w:pP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21E49FAB">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6A9EECF2">
            <w:pPr>
              <w:shd w:val="clear"/>
              <w:jc w:val="right"/>
              <w:rPr>
                <w:rFonts w:hint="eastAsia" w:ascii="宋体" w:hAnsi="宋体" w:eastAsia="宋体" w:cs="宋体"/>
                <w:i w:val="0"/>
                <w:iCs w:val="0"/>
                <w:color w:val="000000"/>
                <w:sz w:val="22"/>
                <w:szCs w:val="22"/>
                <w:u w:val="none"/>
              </w:rPr>
            </w:pPr>
          </w:p>
        </w:tc>
        <w:tc>
          <w:tcPr>
            <w:tcW w:w="1565" w:type="pct"/>
            <w:tcBorders>
              <w:top w:val="single" w:color="auto" w:sz="4" w:space="0"/>
              <w:left w:val="single" w:color="auto" w:sz="4" w:space="0"/>
              <w:bottom w:val="single" w:color="auto" w:sz="4" w:space="0"/>
              <w:right w:val="single" w:color="auto" w:sz="4" w:space="0"/>
            </w:tcBorders>
            <w:shd w:val="clear" w:color="auto" w:fill="auto"/>
            <w:vAlign w:val="center"/>
          </w:tcPr>
          <w:p w14:paraId="7D34DC23">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6EB24092">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51</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3E437045">
            <w:pPr>
              <w:shd w:val="clear"/>
              <w:jc w:val="right"/>
              <w:rPr>
                <w:rFonts w:hint="eastAsia" w:ascii="宋体" w:hAnsi="宋体" w:eastAsia="宋体" w:cs="宋体"/>
                <w:i w:val="0"/>
                <w:iCs w:val="0"/>
                <w:color w:val="000000"/>
                <w:sz w:val="22"/>
                <w:szCs w:val="22"/>
                <w:u w:val="none"/>
              </w:rPr>
            </w:pPr>
          </w:p>
        </w:tc>
      </w:tr>
      <w:tr w14:paraId="45AE06CD">
        <w:tblPrEx>
          <w:tblCellMar>
            <w:top w:w="0" w:type="dxa"/>
            <w:left w:w="108" w:type="dxa"/>
            <w:bottom w:w="0" w:type="dxa"/>
            <w:right w:w="108" w:type="dxa"/>
          </w:tblCellMar>
        </w:tblPrEx>
        <w:trPr>
          <w:trHeight w:val="624" w:hRule="atLeast"/>
          <w:jc w:val="center"/>
        </w:trPr>
        <w:tc>
          <w:tcPr>
            <w:tcW w:w="1810" w:type="pct"/>
            <w:tcBorders>
              <w:top w:val="single" w:color="auto" w:sz="4" w:space="0"/>
              <w:left w:val="single" w:color="auto" w:sz="4" w:space="0"/>
              <w:bottom w:val="single" w:color="auto" w:sz="4" w:space="0"/>
              <w:right w:val="single" w:color="auto" w:sz="4" w:space="0"/>
            </w:tcBorders>
            <w:shd w:val="clear" w:color="auto" w:fill="auto"/>
            <w:vAlign w:val="center"/>
          </w:tcPr>
          <w:p w14:paraId="41CEEAD7">
            <w:pPr>
              <w:shd w:val="clear"/>
              <w:jc w:val="left"/>
              <w:rPr>
                <w:rFonts w:hint="eastAsia" w:ascii="宋体" w:hAnsi="宋体" w:eastAsia="宋体" w:cs="宋体"/>
                <w:i w:val="0"/>
                <w:iCs w:val="0"/>
                <w:color w:val="000000"/>
                <w:sz w:val="22"/>
                <w:szCs w:val="22"/>
                <w:u w:val="none"/>
              </w:rPr>
            </w:pP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085E71C7">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698CE82F">
            <w:pPr>
              <w:shd w:val="clear"/>
              <w:jc w:val="right"/>
              <w:rPr>
                <w:rFonts w:hint="eastAsia" w:ascii="宋体" w:hAnsi="宋体" w:eastAsia="宋体" w:cs="宋体"/>
                <w:i w:val="0"/>
                <w:iCs w:val="0"/>
                <w:color w:val="000000"/>
                <w:sz w:val="22"/>
                <w:szCs w:val="22"/>
                <w:u w:val="none"/>
              </w:rPr>
            </w:pPr>
          </w:p>
        </w:tc>
        <w:tc>
          <w:tcPr>
            <w:tcW w:w="1565" w:type="pct"/>
            <w:tcBorders>
              <w:top w:val="single" w:color="auto" w:sz="4" w:space="0"/>
              <w:left w:val="single" w:color="auto" w:sz="4" w:space="0"/>
              <w:bottom w:val="single" w:color="auto" w:sz="4" w:space="0"/>
              <w:right w:val="single" w:color="auto" w:sz="4" w:space="0"/>
            </w:tcBorders>
            <w:shd w:val="clear" w:color="auto" w:fill="auto"/>
            <w:vAlign w:val="center"/>
          </w:tcPr>
          <w:p w14:paraId="4DD72A43">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4125F5F6">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52</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5E7C6452">
            <w:pPr>
              <w:shd w:val="clear"/>
              <w:jc w:val="right"/>
              <w:rPr>
                <w:rFonts w:hint="eastAsia" w:ascii="宋体" w:hAnsi="宋体" w:eastAsia="宋体" w:cs="宋体"/>
                <w:i w:val="0"/>
                <w:iCs w:val="0"/>
                <w:color w:val="000000"/>
                <w:sz w:val="22"/>
                <w:szCs w:val="22"/>
                <w:u w:val="none"/>
              </w:rPr>
            </w:pPr>
          </w:p>
        </w:tc>
      </w:tr>
      <w:tr w14:paraId="58E3CAAF">
        <w:tblPrEx>
          <w:tblCellMar>
            <w:top w:w="0" w:type="dxa"/>
            <w:left w:w="108" w:type="dxa"/>
            <w:bottom w:w="0" w:type="dxa"/>
            <w:right w:w="108" w:type="dxa"/>
          </w:tblCellMar>
        </w:tblPrEx>
        <w:trPr>
          <w:trHeight w:val="624" w:hRule="atLeast"/>
          <w:jc w:val="center"/>
        </w:trPr>
        <w:tc>
          <w:tcPr>
            <w:tcW w:w="1810" w:type="pct"/>
            <w:tcBorders>
              <w:top w:val="single" w:color="auto" w:sz="4" w:space="0"/>
              <w:left w:val="single" w:color="auto" w:sz="4" w:space="0"/>
              <w:bottom w:val="single" w:color="auto" w:sz="4" w:space="0"/>
              <w:right w:val="single" w:color="auto" w:sz="4" w:space="0"/>
            </w:tcBorders>
            <w:shd w:val="clear" w:color="auto" w:fill="auto"/>
            <w:vAlign w:val="center"/>
          </w:tcPr>
          <w:p w14:paraId="4CB04AC9">
            <w:pPr>
              <w:shd w:val="clear"/>
              <w:jc w:val="left"/>
              <w:rPr>
                <w:rFonts w:hint="eastAsia" w:ascii="宋体" w:hAnsi="宋体" w:eastAsia="宋体" w:cs="宋体"/>
                <w:i w:val="0"/>
                <w:iCs w:val="0"/>
                <w:color w:val="000000"/>
                <w:sz w:val="22"/>
                <w:szCs w:val="22"/>
                <w:u w:val="none"/>
              </w:rPr>
            </w:pP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7F7E532A">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05607E55">
            <w:pPr>
              <w:shd w:val="clear"/>
              <w:jc w:val="right"/>
              <w:rPr>
                <w:rFonts w:hint="eastAsia" w:ascii="宋体" w:hAnsi="宋体" w:eastAsia="宋体" w:cs="宋体"/>
                <w:i w:val="0"/>
                <w:iCs w:val="0"/>
                <w:color w:val="000000"/>
                <w:sz w:val="22"/>
                <w:szCs w:val="22"/>
                <w:u w:val="none"/>
              </w:rPr>
            </w:pPr>
          </w:p>
        </w:tc>
        <w:tc>
          <w:tcPr>
            <w:tcW w:w="1565" w:type="pct"/>
            <w:tcBorders>
              <w:top w:val="single" w:color="auto" w:sz="4" w:space="0"/>
              <w:left w:val="single" w:color="auto" w:sz="4" w:space="0"/>
              <w:bottom w:val="single" w:color="auto" w:sz="4" w:space="0"/>
              <w:right w:val="single" w:color="auto" w:sz="4" w:space="0"/>
            </w:tcBorders>
            <w:shd w:val="clear" w:color="auto" w:fill="auto"/>
            <w:vAlign w:val="center"/>
          </w:tcPr>
          <w:p w14:paraId="2C328653">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二十三、其他支出</w:t>
            </w: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5963CC89">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53</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2335832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4,724.37 </w:t>
            </w:r>
          </w:p>
        </w:tc>
      </w:tr>
      <w:tr w14:paraId="60B91EB1">
        <w:tblPrEx>
          <w:tblCellMar>
            <w:top w:w="0" w:type="dxa"/>
            <w:left w:w="108" w:type="dxa"/>
            <w:bottom w:w="0" w:type="dxa"/>
            <w:right w:w="108" w:type="dxa"/>
          </w:tblCellMar>
        </w:tblPrEx>
        <w:trPr>
          <w:trHeight w:val="624" w:hRule="atLeast"/>
          <w:jc w:val="center"/>
        </w:trPr>
        <w:tc>
          <w:tcPr>
            <w:tcW w:w="1810" w:type="pct"/>
            <w:tcBorders>
              <w:top w:val="single" w:color="auto" w:sz="4" w:space="0"/>
              <w:left w:val="single" w:color="auto" w:sz="4" w:space="0"/>
              <w:bottom w:val="single" w:color="auto" w:sz="4" w:space="0"/>
              <w:right w:val="single" w:color="auto" w:sz="4" w:space="0"/>
            </w:tcBorders>
            <w:shd w:val="clear" w:color="auto" w:fill="auto"/>
            <w:vAlign w:val="center"/>
          </w:tcPr>
          <w:p w14:paraId="2996369D">
            <w:pPr>
              <w:shd w:val="clear"/>
              <w:jc w:val="center"/>
              <w:rPr>
                <w:rFonts w:hint="eastAsia" w:ascii="宋体" w:hAnsi="宋体" w:eastAsia="宋体" w:cs="宋体"/>
                <w:b/>
                <w:bCs/>
                <w:i w:val="0"/>
                <w:iCs w:val="0"/>
                <w:color w:val="000000"/>
                <w:sz w:val="20"/>
                <w:szCs w:val="20"/>
                <w:u w:val="none"/>
              </w:rPr>
            </w:pP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146C7FC3">
            <w:pPr>
              <w:keepNext w:val="0"/>
              <w:keepLines w:val="0"/>
              <w:widowControl/>
              <w:suppressLineNumbers w:val="0"/>
              <w:shd w:val="clear"/>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24</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611D98F6">
            <w:pPr>
              <w:shd w:val="clear"/>
              <w:jc w:val="right"/>
              <w:rPr>
                <w:rFonts w:hint="eastAsia" w:ascii="宋体" w:hAnsi="宋体" w:eastAsia="宋体" w:cs="宋体"/>
                <w:i w:val="0"/>
                <w:iCs w:val="0"/>
                <w:color w:val="000000"/>
                <w:sz w:val="20"/>
                <w:szCs w:val="20"/>
                <w:u w:val="none"/>
              </w:rPr>
            </w:pPr>
          </w:p>
        </w:tc>
        <w:tc>
          <w:tcPr>
            <w:tcW w:w="1565" w:type="pct"/>
            <w:tcBorders>
              <w:top w:val="single" w:color="auto" w:sz="4" w:space="0"/>
              <w:left w:val="single" w:color="auto" w:sz="4" w:space="0"/>
              <w:bottom w:val="single" w:color="auto" w:sz="4" w:space="0"/>
              <w:right w:val="single" w:color="auto" w:sz="4" w:space="0"/>
            </w:tcBorders>
            <w:shd w:val="clear" w:color="auto" w:fill="auto"/>
            <w:vAlign w:val="center"/>
          </w:tcPr>
          <w:p w14:paraId="39D4847B">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517F2982">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54</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275084D4">
            <w:pPr>
              <w:shd w:val="clear"/>
              <w:jc w:val="right"/>
              <w:rPr>
                <w:rFonts w:hint="eastAsia" w:ascii="宋体" w:hAnsi="宋体" w:eastAsia="宋体" w:cs="宋体"/>
                <w:i w:val="0"/>
                <w:iCs w:val="0"/>
                <w:color w:val="000000"/>
                <w:sz w:val="22"/>
                <w:szCs w:val="22"/>
                <w:u w:val="none"/>
              </w:rPr>
            </w:pPr>
          </w:p>
        </w:tc>
      </w:tr>
      <w:tr w14:paraId="1956B5AE">
        <w:tblPrEx>
          <w:tblCellMar>
            <w:top w:w="0" w:type="dxa"/>
            <w:left w:w="108" w:type="dxa"/>
            <w:bottom w:w="0" w:type="dxa"/>
            <w:right w:w="108" w:type="dxa"/>
          </w:tblCellMar>
        </w:tblPrEx>
        <w:trPr>
          <w:trHeight w:val="624" w:hRule="atLeast"/>
          <w:jc w:val="center"/>
        </w:trPr>
        <w:tc>
          <w:tcPr>
            <w:tcW w:w="1810" w:type="pct"/>
            <w:tcBorders>
              <w:top w:val="single" w:color="auto" w:sz="4" w:space="0"/>
              <w:left w:val="single" w:color="auto" w:sz="4" w:space="0"/>
              <w:bottom w:val="single" w:color="auto" w:sz="4" w:space="0"/>
              <w:right w:val="single" w:color="auto" w:sz="4" w:space="0"/>
            </w:tcBorders>
            <w:shd w:val="clear" w:color="auto" w:fill="auto"/>
            <w:vAlign w:val="center"/>
          </w:tcPr>
          <w:p w14:paraId="2ABEB104">
            <w:pPr>
              <w:shd w:val="clear"/>
              <w:jc w:val="left"/>
              <w:rPr>
                <w:rFonts w:hint="eastAsia" w:ascii="宋体" w:hAnsi="宋体" w:eastAsia="宋体" w:cs="宋体"/>
                <w:i w:val="0"/>
                <w:iCs w:val="0"/>
                <w:color w:val="000000"/>
                <w:sz w:val="20"/>
                <w:szCs w:val="20"/>
                <w:u w:val="none"/>
              </w:rPr>
            </w:pP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38B368AB">
            <w:pPr>
              <w:keepNext w:val="0"/>
              <w:keepLines w:val="0"/>
              <w:widowControl/>
              <w:suppressLineNumbers w:val="0"/>
              <w:shd w:val="clear"/>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25</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622E157E">
            <w:pPr>
              <w:shd w:val="clear"/>
              <w:jc w:val="right"/>
              <w:rPr>
                <w:rFonts w:hint="eastAsia" w:ascii="宋体" w:hAnsi="宋体" w:eastAsia="宋体" w:cs="宋体"/>
                <w:i w:val="0"/>
                <w:iCs w:val="0"/>
                <w:color w:val="000000"/>
                <w:sz w:val="20"/>
                <w:szCs w:val="20"/>
                <w:u w:val="none"/>
              </w:rPr>
            </w:pPr>
          </w:p>
        </w:tc>
        <w:tc>
          <w:tcPr>
            <w:tcW w:w="1565" w:type="pct"/>
            <w:tcBorders>
              <w:top w:val="single" w:color="auto" w:sz="4" w:space="0"/>
              <w:left w:val="single" w:color="auto" w:sz="4" w:space="0"/>
              <w:bottom w:val="single" w:color="auto" w:sz="4" w:space="0"/>
              <w:right w:val="single" w:color="auto" w:sz="4" w:space="0"/>
            </w:tcBorders>
            <w:shd w:val="clear" w:color="auto" w:fill="auto"/>
            <w:vAlign w:val="center"/>
          </w:tcPr>
          <w:p w14:paraId="0456E5F0">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7B1A0440">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55</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3F0DB376">
            <w:pPr>
              <w:shd w:val="clear"/>
              <w:jc w:val="right"/>
              <w:rPr>
                <w:rFonts w:hint="eastAsia" w:ascii="宋体" w:hAnsi="宋体" w:eastAsia="宋体" w:cs="宋体"/>
                <w:i w:val="0"/>
                <w:iCs w:val="0"/>
                <w:color w:val="000000"/>
                <w:sz w:val="22"/>
                <w:szCs w:val="22"/>
                <w:u w:val="none"/>
              </w:rPr>
            </w:pPr>
          </w:p>
        </w:tc>
      </w:tr>
      <w:tr w14:paraId="416A8265">
        <w:tblPrEx>
          <w:tblCellMar>
            <w:top w:w="0" w:type="dxa"/>
            <w:left w:w="108" w:type="dxa"/>
            <w:bottom w:w="0" w:type="dxa"/>
            <w:right w:w="108" w:type="dxa"/>
          </w:tblCellMar>
        </w:tblPrEx>
        <w:trPr>
          <w:trHeight w:val="624" w:hRule="atLeast"/>
          <w:jc w:val="center"/>
        </w:trPr>
        <w:tc>
          <w:tcPr>
            <w:tcW w:w="1810" w:type="pct"/>
            <w:tcBorders>
              <w:top w:val="single" w:color="auto" w:sz="4" w:space="0"/>
              <w:left w:val="single" w:color="auto" w:sz="4" w:space="0"/>
              <w:bottom w:val="single" w:color="auto" w:sz="4" w:space="0"/>
              <w:right w:val="single" w:color="auto" w:sz="4" w:space="0"/>
            </w:tcBorders>
            <w:shd w:val="clear" w:color="auto" w:fill="auto"/>
            <w:vAlign w:val="center"/>
          </w:tcPr>
          <w:p w14:paraId="572A6395">
            <w:pPr>
              <w:shd w:val="clear"/>
              <w:jc w:val="left"/>
              <w:rPr>
                <w:rFonts w:hint="eastAsia" w:ascii="宋体" w:hAnsi="宋体" w:eastAsia="宋体" w:cs="宋体"/>
                <w:i w:val="0"/>
                <w:iCs w:val="0"/>
                <w:color w:val="000000"/>
                <w:sz w:val="20"/>
                <w:szCs w:val="20"/>
                <w:u w:val="none"/>
              </w:rPr>
            </w:pP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4DE37B30">
            <w:pPr>
              <w:keepNext w:val="0"/>
              <w:keepLines w:val="0"/>
              <w:widowControl/>
              <w:suppressLineNumbers w:val="0"/>
              <w:shd w:val="clear"/>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26</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652F78E9">
            <w:pPr>
              <w:shd w:val="clear"/>
              <w:jc w:val="right"/>
              <w:rPr>
                <w:rFonts w:hint="eastAsia" w:ascii="宋体" w:hAnsi="宋体" w:eastAsia="宋体" w:cs="宋体"/>
                <w:i w:val="0"/>
                <w:iCs w:val="0"/>
                <w:color w:val="000000"/>
                <w:sz w:val="20"/>
                <w:szCs w:val="20"/>
                <w:u w:val="none"/>
              </w:rPr>
            </w:pPr>
          </w:p>
        </w:tc>
        <w:tc>
          <w:tcPr>
            <w:tcW w:w="1565" w:type="pct"/>
            <w:tcBorders>
              <w:top w:val="single" w:color="auto" w:sz="4" w:space="0"/>
              <w:left w:val="single" w:color="auto" w:sz="4" w:space="0"/>
              <w:bottom w:val="single" w:color="auto" w:sz="4" w:space="0"/>
              <w:right w:val="single" w:color="auto" w:sz="4" w:space="0"/>
            </w:tcBorders>
            <w:shd w:val="clear" w:color="auto" w:fill="auto"/>
            <w:vAlign w:val="center"/>
          </w:tcPr>
          <w:p w14:paraId="3B971C82">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600F5D18">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56</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1D3AE3B8">
            <w:pPr>
              <w:shd w:val="clear"/>
              <w:jc w:val="right"/>
              <w:rPr>
                <w:rFonts w:hint="eastAsia" w:ascii="宋体" w:hAnsi="宋体" w:eastAsia="宋体" w:cs="宋体"/>
                <w:i w:val="0"/>
                <w:iCs w:val="0"/>
                <w:color w:val="000000"/>
                <w:sz w:val="22"/>
                <w:szCs w:val="22"/>
                <w:u w:val="none"/>
              </w:rPr>
            </w:pPr>
          </w:p>
        </w:tc>
      </w:tr>
      <w:tr w14:paraId="1BBD2319">
        <w:tblPrEx>
          <w:tblCellMar>
            <w:top w:w="0" w:type="dxa"/>
            <w:left w:w="108" w:type="dxa"/>
            <w:bottom w:w="0" w:type="dxa"/>
            <w:right w:w="108" w:type="dxa"/>
          </w:tblCellMar>
        </w:tblPrEx>
        <w:trPr>
          <w:trHeight w:val="624" w:hRule="atLeast"/>
          <w:jc w:val="center"/>
        </w:trPr>
        <w:tc>
          <w:tcPr>
            <w:tcW w:w="1810" w:type="pct"/>
            <w:tcBorders>
              <w:top w:val="single" w:color="auto" w:sz="4" w:space="0"/>
              <w:left w:val="single" w:color="auto" w:sz="4" w:space="0"/>
              <w:bottom w:val="single" w:color="auto" w:sz="4" w:space="0"/>
              <w:right w:val="single" w:color="auto" w:sz="4" w:space="0"/>
            </w:tcBorders>
            <w:shd w:val="clear" w:color="auto" w:fill="auto"/>
            <w:vAlign w:val="center"/>
          </w:tcPr>
          <w:p w14:paraId="7A06867C">
            <w:pPr>
              <w:keepNext w:val="0"/>
              <w:keepLines w:val="0"/>
              <w:widowControl/>
              <w:suppressLineNumbers w:val="0"/>
              <w:shd w:val="clear"/>
              <w:jc w:val="center"/>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本年收入合计</w:t>
            </w: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47DDFB56">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27</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0B83407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123,297.59 </w:t>
            </w:r>
          </w:p>
        </w:tc>
        <w:tc>
          <w:tcPr>
            <w:tcW w:w="1565" w:type="pct"/>
            <w:tcBorders>
              <w:top w:val="single" w:color="auto" w:sz="4" w:space="0"/>
              <w:left w:val="single" w:color="auto" w:sz="4" w:space="0"/>
              <w:bottom w:val="single" w:color="auto" w:sz="4" w:space="0"/>
              <w:right w:val="single" w:color="auto" w:sz="4" w:space="0"/>
            </w:tcBorders>
            <w:shd w:val="clear" w:color="auto" w:fill="auto"/>
            <w:vAlign w:val="center"/>
          </w:tcPr>
          <w:p w14:paraId="342D3AE3">
            <w:pPr>
              <w:keepNext w:val="0"/>
              <w:keepLines w:val="0"/>
              <w:widowControl/>
              <w:suppressLineNumbers w:val="0"/>
              <w:shd w:val="clear"/>
              <w:jc w:val="center"/>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本年支出合计</w:t>
            </w: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6E8A7C0B">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57</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5A145CDF">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125,989.25 </w:t>
            </w:r>
          </w:p>
        </w:tc>
      </w:tr>
      <w:tr w14:paraId="5A3254E4">
        <w:tblPrEx>
          <w:tblCellMar>
            <w:top w:w="0" w:type="dxa"/>
            <w:left w:w="108" w:type="dxa"/>
            <w:bottom w:w="0" w:type="dxa"/>
            <w:right w:w="108" w:type="dxa"/>
          </w:tblCellMar>
        </w:tblPrEx>
        <w:trPr>
          <w:trHeight w:val="624" w:hRule="atLeast"/>
          <w:jc w:val="center"/>
        </w:trPr>
        <w:tc>
          <w:tcPr>
            <w:tcW w:w="1810" w:type="pct"/>
            <w:tcBorders>
              <w:top w:val="single" w:color="auto" w:sz="4" w:space="0"/>
              <w:left w:val="single" w:color="auto" w:sz="4" w:space="0"/>
              <w:bottom w:val="single" w:color="auto" w:sz="4" w:space="0"/>
              <w:right w:val="single" w:color="auto" w:sz="4" w:space="0"/>
            </w:tcBorders>
            <w:shd w:val="clear" w:color="auto" w:fill="auto"/>
            <w:vAlign w:val="center"/>
          </w:tcPr>
          <w:p w14:paraId="1CF6E962">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使用非财政拨款结余（含专用结余）</w:t>
            </w: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2E7B2EE0">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28</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45B85F8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367.14 </w:t>
            </w:r>
          </w:p>
        </w:tc>
        <w:tc>
          <w:tcPr>
            <w:tcW w:w="1565" w:type="pct"/>
            <w:tcBorders>
              <w:top w:val="single" w:color="auto" w:sz="4" w:space="0"/>
              <w:left w:val="single" w:color="auto" w:sz="4" w:space="0"/>
              <w:bottom w:val="single" w:color="auto" w:sz="4" w:space="0"/>
              <w:right w:val="single" w:color="auto" w:sz="4" w:space="0"/>
            </w:tcBorders>
            <w:shd w:val="clear" w:color="auto" w:fill="auto"/>
            <w:vAlign w:val="center"/>
          </w:tcPr>
          <w:p w14:paraId="32B431F8">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结余分配</w:t>
            </w: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08085E68">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58</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361E7C1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2,799.40 </w:t>
            </w:r>
          </w:p>
        </w:tc>
      </w:tr>
      <w:tr w14:paraId="525C0076">
        <w:tblPrEx>
          <w:tblCellMar>
            <w:top w:w="0" w:type="dxa"/>
            <w:left w:w="108" w:type="dxa"/>
            <w:bottom w:w="0" w:type="dxa"/>
            <w:right w:w="108" w:type="dxa"/>
          </w:tblCellMar>
        </w:tblPrEx>
        <w:trPr>
          <w:trHeight w:val="624" w:hRule="atLeast"/>
          <w:jc w:val="center"/>
        </w:trPr>
        <w:tc>
          <w:tcPr>
            <w:tcW w:w="1810" w:type="pct"/>
            <w:tcBorders>
              <w:top w:val="single" w:color="auto" w:sz="4" w:space="0"/>
              <w:left w:val="single" w:color="auto" w:sz="4" w:space="0"/>
              <w:bottom w:val="single" w:color="auto" w:sz="4" w:space="0"/>
              <w:right w:val="single" w:color="auto" w:sz="4" w:space="0"/>
            </w:tcBorders>
            <w:shd w:val="clear" w:color="auto" w:fill="auto"/>
            <w:vAlign w:val="center"/>
          </w:tcPr>
          <w:p w14:paraId="4BE856E3">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年初结转和结余</w:t>
            </w: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45084045">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29</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15348009">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27,662.44 </w:t>
            </w:r>
          </w:p>
        </w:tc>
        <w:tc>
          <w:tcPr>
            <w:tcW w:w="1565" w:type="pct"/>
            <w:tcBorders>
              <w:top w:val="single" w:color="auto" w:sz="4" w:space="0"/>
              <w:left w:val="single" w:color="auto" w:sz="4" w:space="0"/>
              <w:bottom w:val="single" w:color="auto" w:sz="4" w:space="0"/>
              <w:right w:val="single" w:color="auto" w:sz="4" w:space="0"/>
            </w:tcBorders>
            <w:shd w:val="clear" w:color="auto" w:fill="auto"/>
            <w:vAlign w:val="center"/>
          </w:tcPr>
          <w:p w14:paraId="5B0D2890">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年末结转和结余</w:t>
            </w: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0E460546">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59</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6C75B50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22,538.52 </w:t>
            </w:r>
          </w:p>
        </w:tc>
      </w:tr>
      <w:tr w14:paraId="134F9DAA">
        <w:tblPrEx>
          <w:tblCellMar>
            <w:top w:w="0" w:type="dxa"/>
            <w:left w:w="108" w:type="dxa"/>
            <w:bottom w:w="0" w:type="dxa"/>
            <w:right w:w="108" w:type="dxa"/>
          </w:tblCellMar>
        </w:tblPrEx>
        <w:trPr>
          <w:trHeight w:val="624" w:hRule="atLeast"/>
          <w:jc w:val="center"/>
        </w:trPr>
        <w:tc>
          <w:tcPr>
            <w:tcW w:w="1810" w:type="pct"/>
            <w:tcBorders>
              <w:top w:val="single" w:color="auto" w:sz="4" w:space="0"/>
              <w:left w:val="single" w:color="auto" w:sz="4" w:space="0"/>
              <w:bottom w:val="single" w:color="auto" w:sz="4" w:space="0"/>
              <w:right w:val="single" w:color="auto" w:sz="4" w:space="0"/>
            </w:tcBorders>
            <w:shd w:val="clear" w:color="auto" w:fill="auto"/>
            <w:vAlign w:val="center"/>
          </w:tcPr>
          <w:p w14:paraId="122D6832">
            <w:pPr>
              <w:keepNext w:val="0"/>
              <w:keepLines w:val="0"/>
              <w:widowControl/>
              <w:suppressLineNumbers w:val="0"/>
              <w:shd w:val="clear"/>
              <w:jc w:val="center"/>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总计</w:t>
            </w: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38CBE3D9">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4E69D80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151,327.17 </w:t>
            </w:r>
          </w:p>
        </w:tc>
        <w:tc>
          <w:tcPr>
            <w:tcW w:w="1565" w:type="pct"/>
            <w:tcBorders>
              <w:top w:val="single" w:color="auto" w:sz="4" w:space="0"/>
              <w:left w:val="single" w:color="auto" w:sz="4" w:space="0"/>
              <w:bottom w:val="single" w:color="auto" w:sz="4" w:space="0"/>
              <w:right w:val="single" w:color="auto" w:sz="4" w:space="0"/>
            </w:tcBorders>
            <w:shd w:val="clear" w:color="auto" w:fill="auto"/>
            <w:vAlign w:val="center"/>
          </w:tcPr>
          <w:p w14:paraId="16A872C7">
            <w:pPr>
              <w:keepNext w:val="0"/>
              <w:keepLines w:val="0"/>
              <w:widowControl/>
              <w:suppressLineNumbers w:val="0"/>
              <w:shd w:val="clear"/>
              <w:jc w:val="center"/>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总计</w:t>
            </w: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40C54037">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2ED8A9E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151,327.17 </w:t>
            </w:r>
          </w:p>
        </w:tc>
      </w:tr>
    </w:tbl>
    <w:p w14:paraId="7CC7B7A2">
      <w:pPr>
        <w:widowControl/>
        <w:shd w:val="clear"/>
        <w:jc w:val="left"/>
        <w:textAlignment w:val="center"/>
        <w:rPr>
          <w:rFonts w:ascii="Times New Roman" w:hAnsi="Times New Roman" w:eastAsia="宋体" w:cs="Times New Roman"/>
          <w:color w:val="000000"/>
          <w:kern w:val="0"/>
          <w:sz w:val="24"/>
          <w:szCs w:val="24"/>
        </w:rPr>
      </w:pPr>
    </w:p>
    <w:p w14:paraId="46A7ED7C">
      <w:pPr>
        <w:widowControl/>
        <w:shd w:val="clear"/>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0B67FD8E">
      <w:pPr>
        <w:shd w:val="clear"/>
        <w:rPr>
          <w:rFonts w:ascii="Times New Roman" w:hAnsi="Times New Roman" w:eastAsia="华文中宋" w:cs="Times New Roman"/>
          <w:color w:val="000000"/>
          <w:sz w:val="32"/>
          <w:szCs w:val="32"/>
        </w:rPr>
      </w:pPr>
      <w:r>
        <w:br w:type="page"/>
      </w:r>
    </w:p>
    <w:p w14:paraId="01A3DBB6">
      <w:pPr>
        <w:widowControl/>
        <w:shd w:val="clear"/>
        <w:spacing w:line="400" w:lineRule="exact"/>
        <w:jc w:val="center"/>
        <w:textAlignment w:val="center"/>
        <w:rPr>
          <w:rFonts w:ascii="Times New Roman" w:hAnsi="Times New Roman" w:eastAsia="黑体" w:cs="Times New Roman"/>
          <w:color w:val="000000"/>
          <w:kern w:val="0"/>
          <w:sz w:val="32"/>
          <w:szCs w:val="32"/>
        </w:rPr>
      </w:pPr>
    </w:p>
    <w:p w14:paraId="69BD378F">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1C0D86C5">
      <w:pPr>
        <w:shd w:val="clea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33C1F2F9">
      <w:pPr>
        <w:shd w:val="clea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rPr>
        <w:t>湖南省文化和旅游厅</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10"/>
        <w:tblW w:w="14666" w:type="dxa"/>
        <w:jc w:val="center"/>
        <w:tblLayout w:type="fixed"/>
        <w:tblCellMar>
          <w:top w:w="0" w:type="dxa"/>
          <w:left w:w="0" w:type="dxa"/>
          <w:bottom w:w="0" w:type="dxa"/>
          <w:right w:w="0" w:type="dxa"/>
        </w:tblCellMar>
      </w:tblPr>
      <w:tblGrid>
        <w:gridCol w:w="1886"/>
        <w:gridCol w:w="2087"/>
        <w:gridCol w:w="1140"/>
        <w:gridCol w:w="1353"/>
        <w:gridCol w:w="1640"/>
        <w:gridCol w:w="1640"/>
        <w:gridCol w:w="1640"/>
        <w:gridCol w:w="1897"/>
        <w:gridCol w:w="1383"/>
      </w:tblGrid>
      <w:tr w14:paraId="6F7EDC26">
        <w:tblPrEx>
          <w:tblCellMar>
            <w:top w:w="0" w:type="dxa"/>
            <w:left w:w="0" w:type="dxa"/>
            <w:bottom w:w="0" w:type="dxa"/>
            <w:right w:w="0" w:type="dxa"/>
          </w:tblCellMar>
        </w:tblPrEx>
        <w:trPr>
          <w:trHeight w:val="450" w:hRule="atLeast"/>
          <w:jc w:val="center"/>
        </w:trPr>
        <w:tc>
          <w:tcPr>
            <w:tcW w:w="3973"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48B50C7">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1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4BCFC4F">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353"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26E73D9">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AAEC1EB">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77E9A6A">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CECB28A">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DB01323">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C0D8048">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2A8C0436">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68FAA5B">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087"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382075C">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140" w:type="dxa"/>
            <w:vMerge w:val="continue"/>
            <w:tcBorders>
              <w:top w:val="single" w:color="auto" w:sz="4" w:space="0"/>
              <w:left w:val="single" w:color="auto" w:sz="4" w:space="0"/>
              <w:bottom w:val="single" w:color="auto" w:sz="4" w:space="0"/>
              <w:right w:val="single" w:color="auto" w:sz="4" w:space="0"/>
            </w:tcBorders>
            <w:vAlign w:val="center"/>
          </w:tcPr>
          <w:p w14:paraId="30B80D41">
            <w:pPr>
              <w:shd w:val="clear"/>
              <w:rPr>
                <w:rFonts w:ascii="Times New Roman" w:hAnsi="Times New Roman" w:eastAsia="仿宋_GB2312" w:cs="Times New Roman"/>
                <w:sz w:val="24"/>
                <w:szCs w:val="24"/>
              </w:rPr>
            </w:pPr>
          </w:p>
        </w:tc>
        <w:tc>
          <w:tcPr>
            <w:tcW w:w="1353" w:type="dxa"/>
            <w:vMerge w:val="continue"/>
            <w:tcBorders>
              <w:top w:val="single" w:color="auto" w:sz="4" w:space="0"/>
              <w:left w:val="single" w:color="auto" w:sz="4" w:space="0"/>
              <w:bottom w:val="single" w:color="auto" w:sz="4" w:space="0"/>
              <w:right w:val="single" w:color="auto" w:sz="4" w:space="0"/>
            </w:tcBorders>
            <w:vAlign w:val="center"/>
          </w:tcPr>
          <w:p w14:paraId="090C9671">
            <w:pPr>
              <w:shd w:val="clea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B3CB056">
            <w:pPr>
              <w:shd w:val="clea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F01A9EE">
            <w:pPr>
              <w:shd w:val="clea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94CF0FA">
            <w:pPr>
              <w:shd w:val="clea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690C4715">
            <w:pPr>
              <w:shd w:val="clea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4A9A950">
            <w:pPr>
              <w:shd w:val="clear"/>
              <w:rPr>
                <w:rFonts w:ascii="Times New Roman" w:hAnsi="Times New Roman" w:eastAsia="仿宋_GB2312" w:cs="Times New Roman"/>
                <w:sz w:val="24"/>
                <w:szCs w:val="24"/>
              </w:rPr>
            </w:pPr>
          </w:p>
        </w:tc>
      </w:tr>
      <w:tr w14:paraId="2FFB1452">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226533EF">
            <w:pPr>
              <w:shd w:val="clear"/>
              <w:rPr>
                <w:rFonts w:ascii="Times New Roman" w:hAnsi="Times New Roman" w:eastAsia="仿宋_GB2312" w:cs="Times New Roman"/>
                <w:sz w:val="24"/>
                <w:szCs w:val="24"/>
              </w:rPr>
            </w:pPr>
          </w:p>
        </w:tc>
        <w:tc>
          <w:tcPr>
            <w:tcW w:w="2087" w:type="dxa"/>
            <w:vMerge w:val="continue"/>
            <w:tcBorders>
              <w:top w:val="nil"/>
              <w:left w:val="single" w:color="auto" w:sz="4" w:space="0"/>
              <w:bottom w:val="single" w:color="auto" w:sz="4" w:space="0"/>
              <w:right w:val="single" w:color="auto" w:sz="4" w:space="0"/>
            </w:tcBorders>
            <w:vAlign w:val="center"/>
          </w:tcPr>
          <w:p w14:paraId="553B5276">
            <w:pPr>
              <w:shd w:val="clear"/>
              <w:rPr>
                <w:rFonts w:ascii="Times New Roman" w:hAnsi="Times New Roman" w:eastAsia="仿宋_GB2312" w:cs="Times New Roman"/>
                <w:sz w:val="24"/>
                <w:szCs w:val="24"/>
              </w:rPr>
            </w:pPr>
          </w:p>
        </w:tc>
        <w:tc>
          <w:tcPr>
            <w:tcW w:w="1140" w:type="dxa"/>
            <w:vMerge w:val="continue"/>
            <w:tcBorders>
              <w:top w:val="single" w:color="auto" w:sz="4" w:space="0"/>
              <w:left w:val="single" w:color="auto" w:sz="4" w:space="0"/>
              <w:bottom w:val="single" w:color="auto" w:sz="4" w:space="0"/>
              <w:right w:val="single" w:color="auto" w:sz="4" w:space="0"/>
            </w:tcBorders>
            <w:vAlign w:val="center"/>
          </w:tcPr>
          <w:p w14:paraId="747798CC">
            <w:pPr>
              <w:shd w:val="clear"/>
              <w:rPr>
                <w:rFonts w:ascii="Times New Roman" w:hAnsi="Times New Roman" w:eastAsia="仿宋_GB2312" w:cs="Times New Roman"/>
                <w:sz w:val="24"/>
                <w:szCs w:val="24"/>
              </w:rPr>
            </w:pPr>
          </w:p>
        </w:tc>
        <w:tc>
          <w:tcPr>
            <w:tcW w:w="1353" w:type="dxa"/>
            <w:vMerge w:val="continue"/>
            <w:tcBorders>
              <w:top w:val="single" w:color="auto" w:sz="4" w:space="0"/>
              <w:left w:val="single" w:color="auto" w:sz="4" w:space="0"/>
              <w:bottom w:val="single" w:color="auto" w:sz="4" w:space="0"/>
              <w:right w:val="single" w:color="auto" w:sz="4" w:space="0"/>
            </w:tcBorders>
            <w:vAlign w:val="center"/>
          </w:tcPr>
          <w:p w14:paraId="65FE9A89">
            <w:pPr>
              <w:shd w:val="clea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4A05867">
            <w:pPr>
              <w:shd w:val="clea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47BBC95">
            <w:pPr>
              <w:shd w:val="clea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E816112">
            <w:pPr>
              <w:shd w:val="clea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03A06EEA">
            <w:pPr>
              <w:shd w:val="clea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E68A37F">
            <w:pPr>
              <w:shd w:val="clear"/>
              <w:rPr>
                <w:rFonts w:ascii="Times New Roman" w:hAnsi="Times New Roman" w:eastAsia="仿宋_GB2312" w:cs="Times New Roman"/>
                <w:sz w:val="24"/>
                <w:szCs w:val="24"/>
              </w:rPr>
            </w:pPr>
          </w:p>
        </w:tc>
      </w:tr>
      <w:tr w14:paraId="2FCC42BA">
        <w:tblPrEx>
          <w:tblCellMar>
            <w:top w:w="0" w:type="dxa"/>
            <w:left w:w="0" w:type="dxa"/>
            <w:bottom w:w="0" w:type="dxa"/>
            <w:right w:w="0" w:type="dxa"/>
          </w:tblCellMar>
        </w:tblPrEx>
        <w:trPr>
          <w:trHeight w:val="450" w:hRule="atLeast"/>
          <w:jc w:val="center"/>
        </w:trPr>
        <w:tc>
          <w:tcPr>
            <w:tcW w:w="39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D35D18D">
            <w:pPr>
              <w:shd w:val="clea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1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069F9A8">
            <w:pPr>
              <w:shd w:val="clea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3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F2B1355">
            <w:pPr>
              <w:shd w:val="clea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E42A1D2">
            <w:pPr>
              <w:shd w:val="clea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0B5B18D">
            <w:pPr>
              <w:shd w:val="clea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B0FCDF0">
            <w:pPr>
              <w:shd w:val="clea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9A32980">
            <w:pPr>
              <w:shd w:val="clea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C9F96CC">
            <w:pPr>
              <w:shd w:val="clea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67EC11B3">
        <w:tblPrEx>
          <w:tblCellMar>
            <w:top w:w="0" w:type="dxa"/>
            <w:left w:w="0" w:type="dxa"/>
            <w:bottom w:w="0" w:type="dxa"/>
            <w:right w:w="0" w:type="dxa"/>
          </w:tblCellMar>
        </w:tblPrEx>
        <w:trPr>
          <w:trHeight w:val="450" w:hRule="atLeast"/>
          <w:jc w:val="center"/>
        </w:trPr>
        <w:tc>
          <w:tcPr>
            <w:tcW w:w="39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1E2715D">
            <w:pPr>
              <w:shd w:val="clea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05782A">
            <w:pPr>
              <w:keepNext w:val="0"/>
              <w:keepLines w:val="0"/>
              <w:widowControl/>
              <w:suppressLineNumbers w:val="0"/>
              <w:shd w:val="clear"/>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123,297.59 </w:t>
            </w:r>
          </w:p>
        </w:tc>
        <w:tc>
          <w:tcPr>
            <w:tcW w:w="13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EBAD8B">
            <w:pPr>
              <w:keepNext w:val="0"/>
              <w:keepLines w:val="0"/>
              <w:widowControl/>
              <w:suppressLineNumbers w:val="0"/>
              <w:shd w:val="clear"/>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114,766.26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315EE3">
            <w:pPr>
              <w:keepNext w:val="0"/>
              <w:keepLines w:val="0"/>
              <w:widowControl/>
              <w:suppressLineNumbers w:val="0"/>
              <w:shd w:val="clear"/>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07986C">
            <w:pPr>
              <w:keepNext w:val="0"/>
              <w:keepLines w:val="0"/>
              <w:widowControl/>
              <w:suppressLineNumbers w:val="0"/>
              <w:shd w:val="clear"/>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7,752.01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6A43BB">
            <w:pPr>
              <w:keepNext w:val="0"/>
              <w:keepLines w:val="0"/>
              <w:widowControl/>
              <w:suppressLineNumbers w:val="0"/>
              <w:shd w:val="clear"/>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0.00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292A62">
            <w:pPr>
              <w:keepNext w:val="0"/>
              <w:keepLines w:val="0"/>
              <w:widowControl/>
              <w:suppressLineNumbers w:val="0"/>
              <w:shd w:val="clear"/>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0.00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489C66">
            <w:pPr>
              <w:keepNext w:val="0"/>
              <w:keepLines w:val="0"/>
              <w:widowControl/>
              <w:suppressLineNumbers w:val="0"/>
              <w:shd w:val="clear"/>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779.32 </w:t>
            </w:r>
          </w:p>
        </w:tc>
      </w:tr>
      <w:tr w14:paraId="1603124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8E41D6">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208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322B79">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一般公共服务支出</w:t>
            </w: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A4C5F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203.27 </w:t>
            </w:r>
          </w:p>
        </w:tc>
        <w:tc>
          <w:tcPr>
            <w:tcW w:w="13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2DA9C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203.27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2D55E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8BED1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627D4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D0B2A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F5DD8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r>
      <w:tr w14:paraId="5294C5D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B199A3">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20123</w:t>
            </w:r>
          </w:p>
        </w:tc>
        <w:tc>
          <w:tcPr>
            <w:tcW w:w="208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7E410E">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民族事务</w:t>
            </w: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E9998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10.00 </w:t>
            </w:r>
          </w:p>
        </w:tc>
        <w:tc>
          <w:tcPr>
            <w:tcW w:w="13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FEAC6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8C20E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D63ECF">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1F5A49">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B4770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80D3B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r>
      <w:tr w14:paraId="1739CAF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4F15D8">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2012304</w:t>
            </w:r>
          </w:p>
        </w:tc>
        <w:tc>
          <w:tcPr>
            <w:tcW w:w="208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642505">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民族工作专项</w:t>
            </w: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A1824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10.00 </w:t>
            </w:r>
          </w:p>
        </w:tc>
        <w:tc>
          <w:tcPr>
            <w:tcW w:w="13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E5C71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E4841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6E7E6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CDE34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8E8B8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FC7EE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r>
      <w:tr w14:paraId="65F691C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521351">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20133</w:t>
            </w:r>
          </w:p>
        </w:tc>
        <w:tc>
          <w:tcPr>
            <w:tcW w:w="208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F2E584">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宣传事务</w:t>
            </w: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9CB77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193.27 </w:t>
            </w:r>
          </w:p>
        </w:tc>
        <w:tc>
          <w:tcPr>
            <w:tcW w:w="13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4018E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193.27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1F7C2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24E89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04CB1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DAC1F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1578D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r>
      <w:tr w14:paraId="7C590A7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11F755">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2013301</w:t>
            </w:r>
          </w:p>
        </w:tc>
        <w:tc>
          <w:tcPr>
            <w:tcW w:w="208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2DDDFD">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5334BF">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193.27 </w:t>
            </w:r>
          </w:p>
        </w:tc>
        <w:tc>
          <w:tcPr>
            <w:tcW w:w="13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169B6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193.27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A3BC1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DDA9D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31611F">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AAEAA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FA784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r>
      <w:tr w14:paraId="6CE7D61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AF8DCB">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w:t>
            </w:r>
          </w:p>
        </w:tc>
        <w:tc>
          <w:tcPr>
            <w:tcW w:w="208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3B700F">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教育支出</w:t>
            </w: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2B265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897.56 </w:t>
            </w:r>
          </w:p>
        </w:tc>
        <w:tc>
          <w:tcPr>
            <w:tcW w:w="13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2D499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894.34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81AF1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B4B14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3.22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56CBE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1708B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C545F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r>
      <w:tr w14:paraId="63B05230">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19ACB5A">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20502</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0158859A">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普通教育</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47D2715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800.00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02646FF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800.00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C52D52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B18EC7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B876D2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0168A0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FA9242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r>
      <w:tr w14:paraId="1D530126">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1267DA0">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2050201</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2CF95E6A">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学前教育</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778CFED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600.00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6E11EA4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600.00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13B66C9">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5C21C4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C27C33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D843FE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954291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r>
      <w:tr w14:paraId="713D1381">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C75266E">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2050205</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19F70A74">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高等教育</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023EED1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200.00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5F403F0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200.00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28D9595">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B075291">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5885E57">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0A91170">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A1074C9">
            <w:pPr>
              <w:shd w:val="clear"/>
              <w:jc w:val="right"/>
              <w:rPr>
                <w:rFonts w:hint="eastAsia" w:ascii="宋体" w:hAnsi="宋体" w:eastAsia="宋体" w:cs="宋体"/>
                <w:i w:val="0"/>
                <w:iCs w:val="0"/>
                <w:color w:val="000000"/>
                <w:sz w:val="22"/>
                <w:szCs w:val="22"/>
                <w:u w:val="none"/>
              </w:rPr>
            </w:pPr>
          </w:p>
        </w:tc>
      </w:tr>
      <w:tr w14:paraId="3B9254A8">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2727C37">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20508</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428EA4EC">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进修及培训</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01A71EF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97.56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677C91E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94.34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97EE50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41B660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3.22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150882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C06DC6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BD1620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r>
      <w:tr w14:paraId="58486B6F">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872424F">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2050803</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4B398A73">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培训支出</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24714EC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97.56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01FCF46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94.34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F0F894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24BE49F">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3.22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8B6943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E1D86D9">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33A4FD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r>
      <w:tr w14:paraId="551DD1F1">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C8029EC">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206</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4B0CE386">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科学技术支出</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3BEFF26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34.80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1FE2C35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34.80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DF20AA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43DFFF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CCC6AF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115F3E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876594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r>
      <w:tr w14:paraId="49F8F516">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939E94F">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20606</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7432D2B8">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社会科学</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14E73BF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13.80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1E5529C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13.80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3824E91">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967509E">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70138C5">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4E62864">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2095841">
            <w:pPr>
              <w:shd w:val="clear"/>
              <w:jc w:val="right"/>
              <w:rPr>
                <w:rFonts w:hint="eastAsia" w:ascii="宋体" w:hAnsi="宋体" w:eastAsia="宋体" w:cs="宋体"/>
                <w:i w:val="0"/>
                <w:iCs w:val="0"/>
                <w:color w:val="000000"/>
                <w:sz w:val="22"/>
                <w:szCs w:val="22"/>
                <w:u w:val="none"/>
              </w:rPr>
            </w:pPr>
          </w:p>
        </w:tc>
      </w:tr>
      <w:tr w14:paraId="0BA41123">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BBFE09D">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2060602</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6B163E0F">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社会科学研究</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723CC89F">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6.00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4DC6FA1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9637054">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4D70A68">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113D6BC">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97A8B54">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4E3AAE3">
            <w:pPr>
              <w:shd w:val="clear"/>
              <w:jc w:val="right"/>
              <w:rPr>
                <w:rFonts w:hint="eastAsia" w:ascii="宋体" w:hAnsi="宋体" w:eastAsia="宋体" w:cs="宋体"/>
                <w:i w:val="0"/>
                <w:iCs w:val="0"/>
                <w:color w:val="000000"/>
                <w:sz w:val="22"/>
                <w:szCs w:val="22"/>
                <w:u w:val="none"/>
              </w:rPr>
            </w:pPr>
          </w:p>
        </w:tc>
      </w:tr>
      <w:tr w14:paraId="416C3F52">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AFC436F">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2060603</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65BDEC47">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社科基金支出</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7CDA4B6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7.80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0EF2994F">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7.80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8663B71">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67170D6">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B0B7969">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1629602">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B85A1A4">
            <w:pPr>
              <w:shd w:val="clear"/>
              <w:jc w:val="right"/>
              <w:rPr>
                <w:rFonts w:hint="eastAsia" w:ascii="宋体" w:hAnsi="宋体" w:eastAsia="宋体" w:cs="宋体"/>
                <w:i w:val="0"/>
                <w:iCs w:val="0"/>
                <w:color w:val="000000"/>
                <w:sz w:val="22"/>
                <w:szCs w:val="22"/>
                <w:u w:val="none"/>
              </w:rPr>
            </w:pPr>
          </w:p>
        </w:tc>
      </w:tr>
      <w:tr w14:paraId="6A218CF9">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1E829AA">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20607</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6EBB65FE">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科学技术普及</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30BFDDF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1.00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617C1DB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A3DAE22">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91AECB9">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E264CB1">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EDDA37B">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B96E145">
            <w:pPr>
              <w:shd w:val="clear"/>
              <w:jc w:val="right"/>
              <w:rPr>
                <w:rFonts w:hint="eastAsia" w:ascii="宋体" w:hAnsi="宋体" w:eastAsia="宋体" w:cs="宋体"/>
                <w:i w:val="0"/>
                <w:iCs w:val="0"/>
                <w:color w:val="000000"/>
                <w:sz w:val="22"/>
                <w:szCs w:val="22"/>
                <w:u w:val="none"/>
              </w:rPr>
            </w:pPr>
          </w:p>
        </w:tc>
      </w:tr>
      <w:tr w14:paraId="15E3D153">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F0BDA1E">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2060702</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1D6C16B7">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科普活动</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0012B05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1.00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3BDC4B4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9A43E6F">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D7A141B">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6B3F353">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F9258ED">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A3E671E">
            <w:pPr>
              <w:shd w:val="clear"/>
              <w:jc w:val="right"/>
              <w:rPr>
                <w:rFonts w:hint="eastAsia" w:ascii="宋体" w:hAnsi="宋体" w:eastAsia="宋体" w:cs="宋体"/>
                <w:i w:val="0"/>
                <w:iCs w:val="0"/>
                <w:color w:val="000000"/>
                <w:sz w:val="22"/>
                <w:szCs w:val="22"/>
                <w:u w:val="none"/>
              </w:rPr>
            </w:pPr>
          </w:p>
        </w:tc>
      </w:tr>
      <w:tr w14:paraId="6D9505F5">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3AFB671">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20699</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56CEF172">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其他科学技术支出</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1353648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20.00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640707F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25C51F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3E34C2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4B8D4C9">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5E4BCD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E7B9FC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r>
      <w:tr w14:paraId="705CF35C">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27213B0">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2069999</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6EFB6E02">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其他科学技术支出</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75C7074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20.00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13202349">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5A4783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AEE3E5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7FF342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4FC238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D94597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r>
      <w:tr w14:paraId="527EBE03">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C740049">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275E6FD1">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195293DF">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113,054.79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36A4A15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104,899.21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686742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C4F27B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7,487.70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EC9CCAF">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B9F305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F2A336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667.88 </w:t>
            </w:r>
          </w:p>
        </w:tc>
      </w:tr>
      <w:tr w14:paraId="1B74469B">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113D530">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20701</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4B706647">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文化和旅游</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455AA5BF">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73,323.55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11E1920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71,577.33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2DCC9C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F4D8C0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1,080.93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F47798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FEC50C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127A0E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665.29 </w:t>
            </w:r>
          </w:p>
        </w:tc>
      </w:tr>
      <w:tr w14:paraId="363833B5">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AEE4B9F">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2070101</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71D7B09F">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23843B9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3,439.01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691200C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3,437.10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43F0E3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D5D931F">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73A045F">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411881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FE69C2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1.91 </w:t>
            </w:r>
          </w:p>
        </w:tc>
      </w:tr>
      <w:tr w14:paraId="1A5AF668">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8B41568">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2070102</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49DEB44A">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一般行政管理事务</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44A3B2E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75.00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492E007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75.00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A628CB9">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1F2EB7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B04D2C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DF2687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31A8EC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r>
      <w:tr w14:paraId="7B299682">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E720CB1">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2070104</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04D92523">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图书馆</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6FBEDFA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8,709.79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4DF671F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8,678.10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0FDD76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54CF58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441D6E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906A469">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486764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31.69 </w:t>
            </w:r>
          </w:p>
        </w:tc>
      </w:tr>
      <w:tr w14:paraId="35B9DEED">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2CEAFB5">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2070107</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2AED5358">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艺术表演团体</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2FD44D1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7,455.43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21925199">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6,401.97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131B9D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5C9669F">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511.28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34ECF39">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151E6E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581DFA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542.18 </w:t>
            </w:r>
          </w:p>
        </w:tc>
      </w:tr>
      <w:tr w14:paraId="562F271E">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CA4DEB6">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2070109</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22D1F1F1">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群众文化</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0F661F5F">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2,314.49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2B1BD85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1,911.41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A44E62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E99EF9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400.55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188072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D22767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0397E6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2.53 </w:t>
            </w:r>
          </w:p>
        </w:tc>
      </w:tr>
      <w:tr w14:paraId="4A2C54B4">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3EE3067">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2070110</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722FCCD9">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文化和旅游交流与合作</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0B06ED4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75.00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17ACB35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75.00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0EC2FB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021B3F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CC0814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3B536F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0B570A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r>
      <w:tr w14:paraId="66DB5839">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FC54C6F">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2070111</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0252BE3C">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文化创作与保护</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416AEEE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1,347.15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7085195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1,341.84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78319C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E7327C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5.28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E422ED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523C93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32B5B4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0.03 </w:t>
            </w:r>
          </w:p>
        </w:tc>
      </w:tr>
      <w:tr w14:paraId="37E85D25">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58EDC6F">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2070112</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6ECF57C5">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文化和旅游市场管理</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4F18E07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250.00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6E59EDA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250.00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C02BAF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80B2CD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7FAAFD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E3EEF5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60036B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r>
      <w:tr w14:paraId="54C13113">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36CBA1B">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2070113</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0B3243C9">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旅游宣传</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29CEE02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4,120.00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14A58B3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4,120.00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8E9646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D997B2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EC673F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FA05A2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A80C11F">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r>
      <w:tr w14:paraId="763A7595">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0C1B2F3">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2070114</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4CC18FA7">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文化和旅游管理事务</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65EABEE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654.06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309D64B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489.70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D9247C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1E6CB6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163.82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6FFE4D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3B0108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C60FCF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0.54 </w:t>
            </w:r>
          </w:p>
        </w:tc>
      </w:tr>
      <w:tr w14:paraId="7059E180">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CD1AB5E">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2070199</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694F787A">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其他文化和旅游支出</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1DDA2E4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44,883.60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7F08C76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44,797.21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395229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538DB9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762061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937A1C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21A9E8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86.39 </w:t>
            </w:r>
          </w:p>
        </w:tc>
      </w:tr>
      <w:tr w14:paraId="3BEB4DB0">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1788E17">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20702</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3C73F542">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文物</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053EDBA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35,051.55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2E6D921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28,642.19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0FEEB4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C3B114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6,406.77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54E373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B10958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902FE4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2.59 </w:t>
            </w:r>
          </w:p>
        </w:tc>
      </w:tr>
      <w:tr w14:paraId="15654C76">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43666D9">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2070201</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3DA0D386">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4284793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763.06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29F03D0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763.06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EA3797B">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86EB3C3">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4F4A9C4">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A5FF15D">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12F7995">
            <w:pPr>
              <w:shd w:val="clear"/>
              <w:jc w:val="right"/>
              <w:rPr>
                <w:rFonts w:hint="eastAsia" w:ascii="宋体" w:hAnsi="宋体" w:eastAsia="宋体" w:cs="宋体"/>
                <w:i w:val="0"/>
                <w:iCs w:val="0"/>
                <w:color w:val="000000"/>
                <w:sz w:val="22"/>
                <w:szCs w:val="22"/>
                <w:u w:val="none"/>
              </w:rPr>
            </w:pPr>
          </w:p>
        </w:tc>
      </w:tr>
      <w:tr w14:paraId="2EBD8CA2">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D7B4AAA">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2070204</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37276CFB">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文物保护</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4047F28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10,476.68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0D7D031F">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5,320.33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730004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660536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5,156.35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274B9E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1A54CF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6CF70F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r>
      <w:tr w14:paraId="41632ED4">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BD93A01">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2070205</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2D0EF6CF">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博物馆</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0A63E12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21,402.81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6B462CA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20,149.80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A996E6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438EA2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1,250.42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4F3C22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7C25CF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E65D93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2.59 </w:t>
            </w:r>
          </w:p>
        </w:tc>
      </w:tr>
      <w:tr w14:paraId="52D14AEC">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DBF96E4">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2070299</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62E6C233">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其他文物支出</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377CF94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2,409.00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5D5C3CE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2,409.00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411EC8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5C275C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8B340D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DBBC22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DD36DC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r>
      <w:tr w14:paraId="0D016BC1">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B2BF8A7">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20709</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767B9AA6">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旅游发展基金支出</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61DAF04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986.00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279CE06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986.00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943385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94EEDD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CEA41F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D8857D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5F6220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r>
      <w:tr w14:paraId="3AE7402B">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001DE6C">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2070904</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20449FA8">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地方旅游开发项目补助</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337670A9">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986.00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3788CD9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986.00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26439C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E57CD1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1D6B8B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2C3DF5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7894DB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r>
      <w:tr w14:paraId="60B078A4">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04693D5">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20799</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5683445F">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0223D52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3,693.69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652EB8D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3,693.69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EDAB54F">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22BD7F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AB7E8A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AF55C0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ABCF0E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r>
      <w:tr w14:paraId="69BFECE4">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D10207A">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2079999</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5572C8AB">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222E66E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3,693.69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11775B1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3,693.69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C006FF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B0F51F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01BF6B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CA3316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D82206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r>
      <w:tr w14:paraId="0F46BBF3">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1FCAB0B">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4D10FD8E">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3AEC2AB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5,570.57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553D3E5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5,248.49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4BC0FD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9175C2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233.38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ACEDC6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9E2C8BF">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2019B3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88.69 </w:t>
            </w:r>
          </w:p>
        </w:tc>
      </w:tr>
      <w:tr w14:paraId="6E3A59B1">
        <w:tblPrEx>
          <w:tblCellMar>
            <w:top w:w="0" w:type="dxa"/>
            <w:left w:w="0" w:type="dxa"/>
            <w:bottom w:w="0" w:type="dxa"/>
            <w:right w:w="0" w:type="dxa"/>
          </w:tblCellMar>
        </w:tblPrEx>
        <w:trPr>
          <w:trHeight w:val="9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9008375">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20805</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28168985">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3A4FFD6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5,441.35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43F803D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5,150.12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31495E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D99404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210.13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2BC7CF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1680C5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611338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81.10 </w:t>
            </w:r>
          </w:p>
        </w:tc>
      </w:tr>
      <w:tr w14:paraId="55E17448">
        <w:tblPrEx>
          <w:tblCellMar>
            <w:top w:w="0" w:type="dxa"/>
            <w:left w:w="0" w:type="dxa"/>
            <w:bottom w:w="0" w:type="dxa"/>
            <w:right w:w="0" w:type="dxa"/>
          </w:tblCellMar>
        </w:tblPrEx>
        <w:trPr>
          <w:trHeight w:val="38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54C4B25">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2080501</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782CCE00">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行政单位离退休</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1B045AF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673.70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55A7A1B9">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673.70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71C07C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8AC12C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84C972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DDBB259">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AA0212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r>
      <w:tr w14:paraId="26511906">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F428F85">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2080502</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15FBFD86">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事业单位离退休</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662FD57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1,753.84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56D2207F">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1,618.13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BB8467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C17922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78.13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936A2F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BD3FC3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3D6C1D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57.58 </w:t>
            </w:r>
          </w:p>
        </w:tc>
      </w:tr>
      <w:tr w14:paraId="31B01A75">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51C2C58">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2080505</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56C3761D">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72106AA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2,618.04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0E3167E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2,469.46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F0622C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9B5189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132.00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6075EA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F007D3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4B4E01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16.58 </w:t>
            </w:r>
          </w:p>
        </w:tc>
      </w:tr>
      <w:tr w14:paraId="094A65C5">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D166585">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2080506</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5E2901DD">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机关事业单位职业年金缴费支出</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596577E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395.76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721CEC0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388.83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71DC8B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C8E636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1DD68A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6E8627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7EC7B7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6.93 </w:t>
            </w:r>
          </w:p>
        </w:tc>
      </w:tr>
      <w:tr w14:paraId="354CF334">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C4F4FDB">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20808</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537BC06A">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抚恤</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1E5ACD2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129.22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4E3231E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98.37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B5D5CC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22A3ED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23.25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4124419">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70B886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FB72F6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7.60 </w:t>
            </w:r>
          </w:p>
        </w:tc>
      </w:tr>
      <w:tr w14:paraId="1D00D8D5">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D8C322A">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2080801</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1B3D5F7F">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死亡抚恤</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4840F27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129.22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70CE2D7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98.37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B17B49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152C13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23.25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5C0694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426C5E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5B84F6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7.60 </w:t>
            </w:r>
          </w:p>
        </w:tc>
      </w:tr>
      <w:tr w14:paraId="728D6CB8">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A61074E">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62E1E3E0">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卫生健康支出</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23D5CD0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349.96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0FDBF53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347.03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6B5E90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DE2A64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81E57E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BB523B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56103C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2.93 </w:t>
            </w:r>
          </w:p>
        </w:tc>
      </w:tr>
      <w:tr w14:paraId="4B480071">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33B3F0E">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21001</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700AE13D">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卫生健康管理事务</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1374F38F">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4.49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32643E5F">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4.49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75C3296">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C5A702F">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2CF5A87">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6AF9072">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0F23DA8">
            <w:pPr>
              <w:shd w:val="clear"/>
              <w:jc w:val="right"/>
              <w:rPr>
                <w:rFonts w:hint="eastAsia" w:ascii="宋体" w:hAnsi="宋体" w:eastAsia="宋体" w:cs="宋体"/>
                <w:i w:val="0"/>
                <w:iCs w:val="0"/>
                <w:color w:val="000000"/>
                <w:sz w:val="22"/>
                <w:szCs w:val="22"/>
                <w:u w:val="none"/>
              </w:rPr>
            </w:pPr>
          </w:p>
        </w:tc>
      </w:tr>
      <w:tr w14:paraId="0BBD1AD8">
        <w:tblPrEx>
          <w:tblCellMar>
            <w:top w:w="0" w:type="dxa"/>
            <w:left w:w="0" w:type="dxa"/>
            <w:bottom w:w="0" w:type="dxa"/>
            <w:right w:w="0" w:type="dxa"/>
          </w:tblCellMar>
        </w:tblPrEx>
        <w:trPr>
          <w:trHeight w:val="9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C6E5DAA">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2100102</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5A365790">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一般行政管理事务</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40337E0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4.49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6C05443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4.49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5567D1C">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21651DA">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0B477D0">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BB4FA2F">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71B35A7">
            <w:pPr>
              <w:shd w:val="clear"/>
              <w:jc w:val="right"/>
              <w:rPr>
                <w:rFonts w:hint="eastAsia" w:ascii="宋体" w:hAnsi="宋体" w:eastAsia="宋体" w:cs="宋体"/>
                <w:i w:val="0"/>
                <w:iCs w:val="0"/>
                <w:color w:val="000000"/>
                <w:sz w:val="22"/>
                <w:szCs w:val="22"/>
                <w:u w:val="none"/>
              </w:rPr>
            </w:pPr>
          </w:p>
        </w:tc>
      </w:tr>
      <w:tr w14:paraId="42B614DA">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2238076">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21011</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59B65B58">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行政事业单位医疗</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5914701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345.47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1E1C16E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342.54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A9AACC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3C038D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9CD3F8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E15E03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A5064F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2.93 </w:t>
            </w:r>
          </w:p>
        </w:tc>
      </w:tr>
      <w:tr w14:paraId="4BEA6B48">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7A12B8C">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2101101</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2835EF80">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行政单位医疗</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526E45F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18.00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12C9561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18.00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1030B0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589480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8351D1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0CC5D0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EEDE97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r>
      <w:tr w14:paraId="7B33FB12">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8504F0B">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2101102</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33266BD6">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事业单位医疗</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241C2E3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100.65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16848E2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97.72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1DA7D4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7381A9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66BEF9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B22775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132EE19">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2.93 </w:t>
            </w:r>
          </w:p>
        </w:tc>
      </w:tr>
      <w:tr w14:paraId="1077AB64">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BB9EB95">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2101103</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259CD4B3">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公务员医疗补助</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2D938519">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226.82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3D1740F9">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226.82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ACE845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3B594E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E83E5E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395874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156305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r>
      <w:tr w14:paraId="782EC0E4">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E46DA6A">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221</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6A5FD5B8">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住房保障支出</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0103E83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3,186.65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62474BD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3,139.12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5552FB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B6B6B6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27.71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7ABA22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C99A5F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2A5087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19.82 </w:t>
            </w:r>
          </w:p>
        </w:tc>
      </w:tr>
      <w:tr w14:paraId="5951BF55">
        <w:tblPrEx>
          <w:tblCellMar>
            <w:top w:w="0" w:type="dxa"/>
            <w:left w:w="0" w:type="dxa"/>
            <w:bottom w:w="0" w:type="dxa"/>
            <w:right w:w="0" w:type="dxa"/>
          </w:tblCellMar>
        </w:tblPrEx>
        <w:trPr>
          <w:trHeight w:val="36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8006D98">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22102</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5E53D516">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住房改革支出</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3F6CC4E9">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3,186.65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47F6703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3,139.12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D34689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3B6AB2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27.71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6790E6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2BBBDB9">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2AAD4D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19.82 </w:t>
            </w:r>
          </w:p>
        </w:tc>
      </w:tr>
      <w:tr w14:paraId="0DF50B7A">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76C6D0F">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2210201</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1DDA8260">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住房公积金</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33E3FEC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2,432.49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0E11FB2F">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2,413.87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40AA9A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206953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A1CC5F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1DEF5E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F23A4C9">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18.62 </w:t>
            </w:r>
          </w:p>
        </w:tc>
      </w:tr>
      <w:tr w14:paraId="36671D50">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6D9A773">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2210203</w:t>
            </w:r>
          </w:p>
        </w:tc>
        <w:tc>
          <w:tcPr>
            <w:tcW w:w="2087" w:type="dxa"/>
            <w:tcBorders>
              <w:top w:val="single" w:color="auto" w:sz="4" w:space="0"/>
              <w:left w:val="single" w:color="auto" w:sz="4" w:space="0"/>
              <w:bottom w:val="single" w:color="auto" w:sz="4" w:space="0"/>
              <w:right w:val="single" w:color="auto" w:sz="4" w:space="0"/>
            </w:tcBorders>
            <w:shd w:val="clear" w:color="auto" w:fill="auto"/>
            <w:vAlign w:val="center"/>
          </w:tcPr>
          <w:p w14:paraId="31A89366">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购房补贴</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1AF9EBD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754.16 </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509494A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725.25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C202B1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972317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27.71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D53F03F">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1F53D5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6808D6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1.20 </w:t>
            </w:r>
          </w:p>
        </w:tc>
      </w:tr>
    </w:tbl>
    <w:p w14:paraId="643FDC8C">
      <w:pPr>
        <w:shd w:val="clea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54D39A3D">
      <w:pPr>
        <w:widowControl/>
        <w:shd w:val="clear"/>
        <w:jc w:val="left"/>
        <w:rPr>
          <w:rFonts w:ascii="Times New Roman" w:hAnsi="Times New Roman" w:eastAsia="黑体" w:cs="Times New Roman"/>
          <w:bCs/>
          <w:kern w:val="0"/>
          <w:sz w:val="32"/>
          <w:szCs w:val="32"/>
        </w:rPr>
      </w:pPr>
      <w:r>
        <w:br w:type="page"/>
      </w:r>
    </w:p>
    <w:p w14:paraId="4D91E326">
      <w:pPr>
        <w:widowControl/>
        <w:shd w:val="clear"/>
        <w:jc w:val="center"/>
        <w:textAlignment w:val="center"/>
        <w:rPr>
          <w:rFonts w:ascii="Times New Roman" w:hAnsi="Times New Roman" w:eastAsia="黑体" w:cs="Times New Roman"/>
          <w:color w:val="000000"/>
          <w:kern w:val="0"/>
          <w:sz w:val="32"/>
          <w:szCs w:val="32"/>
        </w:rPr>
      </w:pPr>
    </w:p>
    <w:p w14:paraId="25F44AF9">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771C1051">
      <w:pPr>
        <w:widowControl/>
        <w:shd w:val="clear"/>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63B4845B">
      <w:pPr>
        <w:widowControl/>
        <w:shd w:val="clear"/>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湖南省文化和旅游厅</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4997" w:type="pct"/>
        <w:jc w:val="center"/>
        <w:tblLayout w:type="autofit"/>
        <w:tblCellMar>
          <w:top w:w="0" w:type="dxa"/>
          <w:left w:w="108" w:type="dxa"/>
          <w:bottom w:w="0" w:type="dxa"/>
          <w:right w:w="108" w:type="dxa"/>
        </w:tblCellMar>
      </w:tblPr>
      <w:tblGrid>
        <w:gridCol w:w="2303"/>
        <w:gridCol w:w="2196"/>
        <w:gridCol w:w="1754"/>
        <w:gridCol w:w="1211"/>
        <w:gridCol w:w="1209"/>
        <w:gridCol w:w="1752"/>
        <w:gridCol w:w="1209"/>
        <w:gridCol w:w="2577"/>
      </w:tblGrid>
      <w:tr w14:paraId="1A28ECC5">
        <w:tblPrEx>
          <w:tblCellMar>
            <w:top w:w="0" w:type="dxa"/>
            <w:left w:w="108" w:type="dxa"/>
            <w:bottom w:w="0" w:type="dxa"/>
            <w:right w:w="108" w:type="dxa"/>
          </w:tblCellMar>
        </w:tblPrEx>
        <w:trPr>
          <w:trHeight w:val="595" w:hRule="atLeast"/>
          <w:jc w:val="center"/>
        </w:trPr>
        <w:tc>
          <w:tcPr>
            <w:tcW w:w="1323"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7D799044">
            <w:pPr>
              <w:widowControl/>
              <w:shd w:val="clear"/>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BA1FABF">
            <w:pPr>
              <w:widowControl/>
              <w:shd w:val="clear"/>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5BCE274">
            <w:pPr>
              <w:widowControl/>
              <w:shd w:val="clear"/>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246AC4F">
            <w:pPr>
              <w:widowControl/>
              <w:shd w:val="clear"/>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5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B2D6BD9">
            <w:pPr>
              <w:widowControl/>
              <w:shd w:val="clear"/>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25E492B">
            <w:pPr>
              <w:widowControl/>
              <w:shd w:val="clear"/>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4C7E519">
            <w:pPr>
              <w:widowControl/>
              <w:shd w:val="clear"/>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5EDE0782">
        <w:tblPrEx>
          <w:tblCellMar>
            <w:top w:w="0" w:type="dxa"/>
            <w:left w:w="108" w:type="dxa"/>
            <w:bottom w:w="0" w:type="dxa"/>
            <w:right w:w="108" w:type="dxa"/>
          </w:tblCellMar>
        </w:tblPrEx>
        <w:trPr>
          <w:trHeight w:val="312" w:hRule="exact"/>
          <w:jc w:val="center"/>
        </w:trPr>
        <w:tc>
          <w:tcPr>
            <w:tcW w:w="85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5B23A81">
            <w:pPr>
              <w:widowControl/>
              <w:shd w:val="clear"/>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70" w:type="pct"/>
            <w:vMerge w:val="restart"/>
            <w:tcBorders>
              <w:top w:val="nil"/>
              <w:left w:val="single" w:color="auto" w:sz="4" w:space="0"/>
              <w:bottom w:val="single" w:color="auto" w:sz="4" w:space="0"/>
              <w:right w:val="single" w:color="auto" w:sz="4" w:space="0"/>
            </w:tcBorders>
            <w:shd w:val="clear" w:color="000000" w:fill="FFFFFF"/>
            <w:vAlign w:val="center"/>
          </w:tcPr>
          <w:p w14:paraId="007ACD2D">
            <w:pPr>
              <w:widowControl/>
              <w:shd w:val="clear"/>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3FCAB942">
            <w:pPr>
              <w:widowControl/>
              <w:shd w:val="clear"/>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133C8F6">
            <w:pPr>
              <w:widowControl/>
              <w:shd w:val="clear"/>
              <w:jc w:val="left"/>
              <w:rPr>
                <w:rFonts w:ascii="Times New Roman" w:hAnsi="Times New Roman" w:eastAsia="仿宋_GB2312" w:cs="Times New Roman"/>
                <w:b/>
                <w:bCs/>
                <w:kern w:val="0"/>
                <w:sz w:val="24"/>
                <w:szCs w:val="24"/>
              </w:rPr>
            </w:pPr>
          </w:p>
        </w:tc>
        <w:tc>
          <w:tcPr>
            <w:tcW w:w="468" w:type="pct"/>
            <w:vMerge w:val="continue"/>
            <w:tcBorders>
              <w:top w:val="single" w:color="auto" w:sz="4" w:space="0"/>
              <w:left w:val="single" w:color="auto" w:sz="4" w:space="0"/>
              <w:bottom w:val="single" w:color="auto" w:sz="4" w:space="0"/>
              <w:right w:val="single" w:color="auto" w:sz="4" w:space="0"/>
            </w:tcBorders>
            <w:vAlign w:val="center"/>
          </w:tcPr>
          <w:p w14:paraId="41B5C64E">
            <w:pPr>
              <w:widowControl/>
              <w:shd w:val="clear"/>
              <w:jc w:val="left"/>
              <w:rPr>
                <w:rFonts w:ascii="Times New Roman" w:hAnsi="Times New Roman" w:eastAsia="仿宋_GB2312" w:cs="Times New Roman"/>
                <w:b/>
                <w:bCs/>
                <w:kern w:val="0"/>
                <w:sz w:val="24"/>
                <w:szCs w:val="24"/>
              </w:rPr>
            </w:pPr>
          </w:p>
        </w:tc>
        <w:tc>
          <w:tcPr>
            <w:tcW w:w="659" w:type="pct"/>
            <w:vMerge w:val="continue"/>
            <w:tcBorders>
              <w:top w:val="single" w:color="auto" w:sz="4" w:space="0"/>
              <w:left w:val="single" w:color="auto" w:sz="4" w:space="0"/>
              <w:bottom w:val="single" w:color="auto" w:sz="4" w:space="0"/>
              <w:right w:val="single" w:color="auto" w:sz="4" w:space="0"/>
            </w:tcBorders>
            <w:vAlign w:val="center"/>
          </w:tcPr>
          <w:p w14:paraId="2EC5DC2D">
            <w:pPr>
              <w:widowControl/>
              <w:shd w:val="clear"/>
              <w:jc w:val="left"/>
              <w:rPr>
                <w:rFonts w:ascii="Times New Roman" w:hAnsi="Times New Roman" w:eastAsia="仿宋_GB2312" w:cs="Times New Roman"/>
                <w:b/>
                <w:bCs/>
                <w:kern w:val="0"/>
                <w:sz w:val="24"/>
                <w:szCs w:val="24"/>
              </w:rPr>
            </w:pPr>
          </w:p>
        </w:tc>
        <w:tc>
          <w:tcPr>
            <w:tcW w:w="468" w:type="pct"/>
            <w:vMerge w:val="continue"/>
            <w:tcBorders>
              <w:top w:val="single" w:color="auto" w:sz="4" w:space="0"/>
              <w:left w:val="single" w:color="auto" w:sz="4" w:space="0"/>
              <w:bottom w:val="single" w:color="auto" w:sz="4" w:space="0"/>
              <w:right w:val="single" w:color="auto" w:sz="4" w:space="0"/>
            </w:tcBorders>
            <w:vAlign w:val="center"/>
          </w:tcPr>
          <w:p w14:paraId="590CFE57">
            <w:pPr>
              <w:widowControl/>
              <w:shd w:val="clear"/>
              <w:jc w:val="left"/>
              <w:rPr>
                <w:rFonts w:ascii="Times New Roman" w:hAnsi="Times New Roman" w:eastAsia="仿宋_GB2312" w:cs="Times New Roman"/>
                <w:b/>
                <w:bCs/>
                <w:kern w:val="0"/>
                <w:sz w:val="24"/>
                <w:szCs w:val="24"/>
              </w:rPr>
            </w:pPr>
          </w:p>
        </w:tc>
        <w:tc>
          <w:tcPr>
            <w:tcW w:w="949" w:type="pct"/>
            <w:vMerge w:val="continue"/>
            <w:tcBorders>
              <w:top w:val="single" w:color="auto" w:sz="4" w:space="0"/>
              <w:left w:val="single" w:color="auto" w:sz="4" w:space="0"/>
              <w:bottom w:val="single" w:color="auto" w:sz="4" w:space="0"/>
              <w:right w:val="single" w:color="auto" w:sz="4" w:space="0"/>
            </w:tcBorders>
            <w:vAlign w:val="center"/>
          </w:tcPr>
          <w:p w14:paraId="4564983F">
            <w:pPr>
              <w:widowControl/>
              <w:shd w:val="clear"/>
              <w:jc w:val="left"/>
              <w:rPr>
                <w:rFonts w:ascii="Times New Roman" w:hAnsi="Times New Roman" w:eastAsia="仿宋_GB2312" w:cs="Times New Roman"/>
                <w:b/>
                <w:bCs/>
                <w:kern w:val="0"/>
                <w:sz w:val="24"/>
                <w:szCs w:val="24"/>
              </w:rPr>
            </w:pPr>
          </w:p>
        </w:tc>
      </w:tr>
      <w:tr w14:paraId="1C7F8C0B">
        <w:tblPrEx>
          <w:tblCellMar>
            <w:top w:w="0" w:type="dxa"/>
            <w:left w:w="108" w:type="dxa"/>
            <w:bottom w:w="0" w:type="dxa"/>
            <w:right w:w="108" w:type="dxa"/>
          </w:tblCellMar>
        </w:tblPrEx>
        <w:trPr>
          <w:trHeight w:val="595" w:hRule="atLeast"/>
          <w:jc w:val="center"/>
        </w:trPr>
        <w:tc>
          <w:tcPr>
            <w:tcW w:w="853" w:type="pct"/>
            <w:vMerge w:val="continue"/>
            <w:tcBorders>
              <w:top w:val="single" w:color="auto" w:sz="4" w:space="0"/>
              <w:left w:val="single" w:color="auto" w:sz="4" w:space="0"/>
              <w:bottom w:val="single" w:color="auto" w:sz="4" w:space="0"/>
              <w:right w:val="single" w:color="auto" w:sz="4" w:space="0"/>
            </w:tcBorders>
            <w:vAlign w:val="center"/>
          </w:tcPr>
          <w:p w14:paraId="567CDAF9">
            <w:pPr>
              <w:widowControl/>
              <w:shd w:val="clear"/>
              <w:jc w:val="left"/>
              <w:rPr>
                <w:rFonts w:ascii="Times New Roman" w:hAnsi="Times New Roman" w:eastAsia="仿宋_GB2312" w:cs="Times New Roman"/>
                <w:kern w:val="0"/>
                <w:sz w:val="24"/>
                <w:szCs w:val="24"/>
              </w:rPr>
            </w:pPr>
          </w:p>
        </w:tc>
        <w:tc>
          <w:tcPr>
            <w:tcW w:w="470" w:type="pct"/>
            <w:vMerge w:val="continue"/>
            <w:tcBorders>
              <w:top w:val="nil"/>
              <w:left w:val="single" w:color="auto" w:sz="4" w:space="0"/>
              <w:bottom w:val="single" w:color="auto" w:sz="4" w:space="0"/>
              <w:right w:val="single" w:color="auto" w:sz="4" w:space="0"/>
            </w:tcBorders>
            <w:vAlign w:val="center"/>
          </w:tcPr>
          <w:p w14:paraId="5A2706B4">
            <w:pPr>
              <w:widowControl/>
              <w:shd w:val="clear"/>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BBE7C3E">
            <w:pPr>
              <w:widowControl/>
              <w:shd w:val="clear"/>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3D8A6EC">
            <w:pPr>
              <w:widowControl/>
              <w:shd w:val="clear"/>
              <w:jc w:val="left"/>
              <w:rPr>
                <w:rFonts w:ascii="Times New Roman" w:hAnsi="Times New Roman" w:eastAsia="仿宋_GB2312" w:cs="Times New Roman"/>
                <w:kern w:val="0"/>
                <w:sz w:val="24"/>
                <w:szCs w:val="24"/>
              </w:rPr>
            </w:pPr>
          </w:p>
        </w:tc>
        <w:tc>
          <w:tcPr>
            <w:tcW w:w="468" w:type="pct"/>
            <w:vMerge w:val="continue"/>
            <w:tcBorders>
              <w:top w:val="single" w:color="auto" w:sz="4" w:space="0"/>
              <w:left w:val="single" w:color="auto" w:sz="4" w:space="0"/>
              <w:bottom w:val="single" w:color="auto" w:sz="4" w:space="0"/>
              <w:right w:val="single" w:color="auto" w:sz="4" w:space="0"/>
            </w:tcBorders>
            <w:vAlign w:val="center"/>
          </w:tcPr>
          <w:p w14:paraId="3A7DAD85">
            <w:pPr>
              <w:widowControl/>
              <w:shd w:val="clear"/>
              <w:jc w:val="left"/>
              <w:rPr>
                <w:rFonts w:ascii="Times New Roman" w:hAnsi="Times New Roman" w:eastAsia="仿宋_GB2312" w:cs="Times New Roman"/>
                <w:kern w:val="0"/>
                <w:sz w:val="24"/>
                <w:szCs w:val="24"/>
              </w:rPr>
            </w:pPr>
          </w:p>
        </w:tc>
        <w:tc>
          <w:tcPr>
            <w:tcW w:w="659" w:type="pct"/>
            <w:vMerge w:val="continue"/>
            <w:tcBorders>
              <w:top w:val="single" w:color="auto" w:sz="4" w:space="0"/>
              <w:left w:val="single" w:color="auto" w:sz="4" w:space="0"/>
              <w:bottom w:val="single" w:color="auto" w:sz="4" w:space="0"/>
              <w:right w:val="single" w:color="auto" w:sz="4" w:space="0"/>
            </w:tcBorders>
            <w:vAlign w:val="center"/>
          </w:tcPr>
          <w:p w14:paraId="49F377A2">
            <w:pPr>
              <w:widowControl/>
              <w:shd w:val="clear"/>
              <w:jc w:val="left"/>
              <w:rPr>
                <w:rFonts w:ascii="Times New Roman" w:hAnsi="Times New Roman" w:eastAsia="仿宋_GB2312" w:cs="Times New Roman"/>
                <w:kern w:val="0"/>
                <w:sz w:val="24"/>
                <w:szCs w:val="24"/>
              </w:rPr>
            </w:pPr>
          </w:p>
        </w:tc>
        <w:tc>
          <w:tcPr>
            <w:tcW w:w="468" w:type="pct"/>
            <w:vMerge w:val="continue"/>
            <w:tcBorders>
              <w:top w:val="single" w:color="auto" w:sz="4" w:space="0"/>
              <w:left w:val="single" w:color="auto" w:sz="4" w:space="0"/>
              <w:bottom w:val="single" w:color="auto" w:sz="4" w:space="0"/>
              <w:right w:val="single" w:color="auto" w:sz="4" w:space="0"/>
            </w:tcBorders>
            <w:vAlign w:val="center"/>
          </w:tcPr>
          <w:p w14:paraId="4C287095">
            <w:pPr>
              <w:widowControl/>
              <w:shd w:val="clear"/>
              <w:jc w:val="left"/>
              <w:rPr>
                <w:rFonts w:ascii="Times New Roman" w:hAnsi="Times New Roman" w:eastAsia="仿宋_GB2312" w:cs="Times New Roman"/>
                <w:kern w:val="0"/>
                <w:sz w:val="24"/>
                <w:szCs w:val="24"/>
              </w:rPr>
            </w:pPr>
          </w:p>
        </w:tc>
        <w:tc>
          <w:tcPr>
            <w:tcW w:w="949" w:type="pct"/>
            <w:vMerge w:val="continue"/>
            <w:tcBorders>
              <w:top w:val="single" w:color="auto" w:sz="4" w:space="0"/>
              <w:left w:val="single" w:color="auto" w:sz="4" w:space="0"/>
              <w:bottom w:val="single" w:color="auto" w:sz="4" w:space="0"/>
              <w:right w:val="single" w:color="auto" w:sz="4" w:space="0"/>
            </w:tcBorders>
            <w:vAlign w:val="center"/>
          </w:tcPr>
          <w:p w14:paraId="21A51114">
            <w:pPr>
              <w:widowControl/>
              <w:shd w:val="clear"/>
              <w:jc w:val="left"/>
              <w:rPr>
                <w:rFonts w:ascii="Times New Roman" w:hAnsi="Times New Roman" w:eastAsia="仿宋_GB2312" w:cs="Times New Roman"/>
                <w:kern w:val="0"/>
                <w:sz w:val="24"/>
                <w:szCs w:val="24"/>
              </w:rPr>
            </w:pPr>
          </w:p>
        </w:tc>
      </w:tr>
      <w:tr w14:paraId="54F4D02F">
        <w:tblPrEx>
          <w:tblCellMar>
            <w:top w:w="0" w:type="dxa"/>
            <w:left w:w="108" w:type="dxa"/>
            <w:bottom w:w="0" w:type="dxa"/>
            <w:right w:w="108" w:type="dxa"/>
          </w:tblCellMar>
        </w:tblPrEx>
        <w:trPr>
          <w:trHeight w:val="595" w:hRule="atLeast"/>
          <w:jc w:val="center"/>
        </w:trPr>
        <w:tc>
          <w:tcPr>
            <w:tcW w:w="132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BD65541">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6B5A059A">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792F4B51">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8" w:type="pct"/>
            <w:tcBorders>
              <w:top w:val="nil"/>
              <w:left w:val="nil"/>
              <w:bottom w:val="single" w:color="auto" w:sz="4" w:space="0"/>
              <w:right w:val="single" w:color="auto" w:sz="4" w:space="0"/>
            </w:tcBorders>
            <w:shd w:val="clear" w:color="000000" w:fill="FFFFFF"/>
            <w:noWrap/>
            <w:vAlign w:val="center"/>
          </w:tcPr>
          <w:p w14:paraId="1FE8A55E">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59" w:type="pct"/>
            <w:tcBorders>
              <w:top w:val="nil"/>
              <w:left w:val="nil"/>
              <w:bottom w:val="single" w:color="auto" w:sz="4" w:space="0"/>
              <w:right w:val="single" w:color="auto" w:sz="4" w:space="0"/>
            </w:tcBorders>
            <w:shd w:val="clear" w:color="000000" w:fill="FFFFFF"/>
            <w:noWrap/>
            <w:vAlign w:val="center"/>
          </w:tcPr>
          <w:p w14:paraId="371D4678">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8" w:type="pct"/>
            <w:tcBorders>
              <w:top w:val="nil"/>
              <w:left w:val="nil"/>
              <w:bottom w:val="single" w:color="auto" w:sz="4" w:space="0"/>
              <w:right w:val="single" w:color="auto" w:sz="4" w:space="0"/>
            </w:tcBorders>
            <w:shd w:val="clear" w:color="000000" w:fill="FFFFFF"/>
            <w:noWrap/>
            <w:vAlign w:val="center"/>
          </w:tcPr>
          <w:p w14:paraId="73886B80">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9" w:type="pct"/>
            <w:tcBorders>
              <w:top w:val="nil"/>
              <w:left w:val="nil"/>
              <w:bottom w:val="single" w:color="auto" w:sz="4" w:space="0"/>
              <w:right w:val="single" w:color="auto" w:sz="4" w:space="0"/>
            </w:tcBorders>
            <w:shd w:val="clear" w:color="000000" w:fill="FFFFFF"/>
            <w:noWrap/>
            <w:vAlign w:val="center"/>
          </w:tcPr>
          <w:p w14:paraId="47E4102D">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27C249B1">
        <w:tblPrEx>
          <w:tblCellMar>
            <w:top w:w="0" w:type="dxa"/>
            <w:left w:w="108" w:type="dxa"/>
            <w:bottom w:w="0" w:type="dxa"/>
            <w:right w:w="108" w:type="dxa"/>
          </w:tblCellMar>
        </w:tblPrEx>
        <w:trPr>
          <w:trHeight w:val="595" w:hRule="atLeast"/>
          <w:jc w:val="center"/>
        </w:trPr>
        <w:tc>
          <w:tcPr>
            <w:tcW w:w="1323"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7E59C70">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14:paraId="7A39CAF8">
            <w:pPr>
              <w:keepNext w:val="0"/>
              <w:keepLines w:val="0"/>
              <w:widowControl/>
              <w:suppressLineNumbers w:val="0"/>
              <w:shd w:val="clear"/>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125,989.25 </w:t>
            </w:r>
          </w:p>
        </w:tc>
        <w:tc>
          <w:tcPr>
            <w:tcW w:w="469" w:type="pct"/>
            <w:tcBorders>
              <w:top w:val="nil"/>
              <w:left w:val="nil"/>
              <w:bottom w:val="single" w:color="auto" w:sz="4" w:space="0"/>
              <w:right w:val="single" w:color="auto" w:sz="4" w:space="0"/>
            </w:tcBorders>
            <w:shd w:val="clear" w:color="auto" w:fill="auto"/>
            <w:noWrap/>
            <w:vAlign w:val="center"/>
          </w:tcPr>
          <w:p w14:paraId="1DBF31E0">
            <w:pPr>
              <w:keepNext w:val="0"/>
              <w:keepLines w:val="0"/>
              <w:widowControl/>
              <w:suppressLineNumbers w:val="0"/>
              <w:shd w:val="clear"/>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36,991.51 </w:t>
            </w:r>
          </w:p>
        </w:tc>
        <w:tc>
          <w:tcPr>
            <w:tcW w:w="468" w:type="pct"/>
            <w:tcBorders>
              <w:top w:val="nil"/>
              <w:left w:val="nil"/>
              <w:bottom w:val="single" w:color="auto" w:sz="4" w:space="0"/>
              <w:right w:val="single" w:color="auto" w:sz="4" w:space="0"/>
            </w:tcBorders>
            <w:shd w:val="clear" w:color="auto" w:fill="auto"/>
            <w:noWrap/>
            <w:vAlign w:val="center"/>
          </w:tcPr>
          <w:p w14:paraId="537A1FB8">
            <w:pPr>
              <w:keepNext w:val="0"/>
              <w:keepLines w:val="0"/>
              <w:widowControl/>
              <w:suppressLineNumbers w:val="0"/>
              <w:shd w:val="clear"/>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88,997.74 </w:t>
            </w:r>
          </w:p>
        </w:tc>
        <w:tc>
          <w:tcPr>
            <w:tcW w:w="659" w:type="pct"/>
            <w:tcBorders>
              <w:top w:val="nil"/>
              <w:left w:val="nil"/>
              <w:bottom w:val="single" w:color="auto" w:sz="4" w:space="0"/>
              <w:right w:val="single" w:color="auto" w:sz="4" w:space="0"/>
            </w:tcBorders>
            <w:shd w:val="clear" w:color="auto" w:fill="auto"/>
            <w:noWrap/>
            <w:vAlign w:val="center"/>
          </w:tcPr>
          <w:p w14:paraId="330E1E19">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8" w:type="pct"/>
            <w:tcBorders>
              <w:top w:val="nil"/>
              <w:left w:val="nil"/>
              <w:bottom w:val="single" w:color="auto" w:sz="4" w:space="0"/>
              <w:right w:val="single" w:color="auto" w:sz="4" w:space="0"/>
            </w:tcBorders>
            <w:shd w:val="clear" w:color="auto" w:fill="auto"/>
            <w:noWrap/>
            <w:vAlign w:val="center"/>
          </w:tcPr>
          <w:p w14:paraId="5508FA8D">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9" w:type="pct"/>
            <w:tcBorders>
              <w:top w:val="nil"/>
              <w:left w:val="nil"/>
              <w:bottom w:val="single" w:color="auto" w:sz="4" w:space="0"/>
              <w:right w:val="single" w:color="auto" w:sz="4" w:space="0"/>
            </w:tcBorders>
            <w:shd w:val="clear" w:color="auto" w:fill="auto"/>
            <w:noWrap/>
            <w:vAlign w:val="center"/>
          </w:tcPr>
          <w:p w14:paraId="76BC16CA">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8648DF4">
        <w:tblPrEx>
          <w:tblCellMar>
            <w:top w:w="0" w:type="dxa"/>
            <w:left w:w="108" w:type="dxa"/>
            <w:bottom w:w="0" w:type="dxa"/>
            <w:right w:w="108" w:type="dxa"/>
          </w:tblCellMar>
        </w:tblPrEx>
        <w:trPr>
          <w:trHeight w:val="580" w:hRule="atLeast"/>
          <w:jc w:val="center"/>
        </w:trPr>
        <w:tc>
          <w:tcPr>
            <w:tcW w:w="85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F477D7B">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470" w:type="pct"/>
            <w:tcBorders>
              <w:top w:val="nil"/>
              <w:left w:val="nil"/>
              <w:bottom w:val="single" w:color="auto" w:sz="4" w:space="0"/>
              <w:right w:val="single" w:color="auto" w:sz="4" w:space="0"/>
            </w:tcBorders>
            <w:shd w:val="clear" w:color="auto" w:fill="auto"/>
            <w:noWrap/>
            <w:vAlign w:val="center"/>
          </w:tcPr>
          <w:p w14:paraId="58BBFC1D">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一般公共服务支出</w:t>
            </w:r>
          </w:p>
        </w:tc>
        <w:tc>
          <w:tcPr>
            <w:tcW w:w="660" w:type="pct"/>
            <w:tcBorders>
              <w:top w:val="nil"/>
              <w:left w:val="nil"/>
              <w:bottom w:val="single" w:color="auto" w:sz="4" w:space="0"/>
              <w:right w:val="single" w:color="auto" w:sz="4" w:space="0"/>
            </w:tcBorders>
            <w:shd w:val="clear" w:color="auto" w:fill="auto"/>
            <w:noWrap/>
            <w:vAlign w:val="center"/>
          </w:tcPr>
          <w:p w14:paraId="2329030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194.24 </w:t>
            </w:r>
          </w:p>
        </w:tc>
        <w:tc>
          <w:tcPr>
            <w:tcW w:w="469" w:type="pct"/>
            <w:tcBorders>
              <w:top w:val="nil"/>
              <w:left w:val="nil"/>
              <w:bottom w:val="single" w:color="auto" w:sz="4" w:space="0"/>
              <w:right w:val="single" w:color="auto" w:sz="4" w:space="0"/>
            </w:tcBorders>
            <w:shd w:val="clear" w:color="auto" w:fill="auto"/>
            <w:noWrap/>
            <w:vAlign w:val="center"/>
          </w:tcPr>
          <w:p w14:paraId="34F8CE4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193.27 </w:t>
            </w:r>
          </w:p>
        </w:tc>
        <w:tc>
          <w:tcPr>
            <w:tcW w:w="468" w:type="pct"/>
            <w:tcBorders>
              <w:top w:val="nil"/>
              <w:left w:val="nil"/>
              <w:bottom w:val="single" w:color="auto" w:sz="4" w:space="0"/>
              <w:right w:val="single" w:color="auto" w:sz="4" w:space="0"/>
            </w:tcBorders>
            <w:shd w:val="clear" w:color="auto" w:fill="auto"/>
            <w:noWrap/>
            <w:vAlign w:val="center"/>
          </w:tcPr>
          <w:p w14:paraId="7945135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0.97 </w:t>
            </w:r>
          </w:p>
        </w:tc>
        <w:tc>
          <w:tcPr>
            <w:tcW w:w="659" w:type="pct"/>
            <w:tcBorders>
              <w:top w:val="nil"/>
              <w:left w:val="nil"/>
              <w:bottom w:val="single" w:color="auto" w:sz="4" w:space="0"/>
              <w:right w:val="single" w:color="auto" w:sz="4" w:space="0"/>
            </w:tcBorders>
            <w:shd w:val="clear" w:color="auto" w:fill="auto"/>
            <w:noWrap/>
            <w:vAlign w:val="center"/>
          </w:tcPr>
          <w:p w14:paraId="7D1104D4">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8" w:type="pct"/>
            <w:tcBorders>
              <w:top w:val="nil"/>
              <w:left w:val="nil"/>
              <w:bottom w:val="single" w:color="auto" w:sz="4" w:space="0"/>
              <w:right w:val="single" w:color="auto" w:sz="4" w:space="0"/>
            </w:tcBorders>
            <w:shd w:val="clear" w:color="auto" w:fill="auto"/>
            <w:noWrap/>
            <w:vAlign w:val="center"/>
          </w:tcPr>
          <w:p w14:paraId="48618FF3">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9" w:type="pct"/>
            <w:tcBorders>
              <w:top w:val="nil"/>
              <w:left w:val="nil"/>
              <w:bottom w:val="single" w:color="auto" w:sz="4" w:space="0"/>
              <w:right w:val="single" w:color="auto" w:sz="4" w:space="0"/>
            </w:tcBorders>
            <w:shd w:val="clear" w:color="auto" w:fill="auto"/>
            <w:noWrap/>
            <w:vAlign w:val="center"/>
          </w:tcPr>
          <w:p w14:paraId="314A2111">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75393E7">
        <w:tblPrEx>
          <w:tblCellMar>
            <w:top w:w="0" w:type="dxa"/>
            <w:left w:w="108" w:type="dxa"/>
            <w:bottom w:w="0" w:type="dxa"/>
            <w:right w:w="108" w:type="dxa"/>
          </w:tblCellMar>
        </w:tblPrEx>
        <w:trPr>
          <w:trHeight w:val="595" w:hRule="atLeast"/>
          <w:jc w:val="center"/>
        </w:trPr>
        <w:tc>
          <w:tcPr>
            <w:tcW w:w="85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D21A90">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20123</w:t>
            </w:r>
          </w:p>
        </w:tc>
        <w:tc>
          <w:tcPr>
            <w:tcW w:w="470" w:type="pct"/>
            <w:tcBorders>
              <w:top w:val="nil"/>
              <w:left w:val="nil"/>
              <w:bottom w:val="single" w:color="auto" w:sz="4" w:space="0"/>
              <w:right w:val="single" w:color="auto" w:sz="4" w:space="0"/>
            </w:tcBorders>
            <w:shd w:val="clear" w:color="auto" w:fill="auto"/>
            <w:noWrap/>
            <w:vAlign w:val="center"/>
          </w:tcPr>
          <w:p w14:paraId="43579B5C">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民族事务</w:t>
            </w:r>
          </w:p>
        </w:tc>
        <w:tc>
          <w:tcPr>
            <w:tcW w:w="660" w:type="pct"/>
            <w:tcBorders>
              <w:top w:val="nil"/>
              <w:left w:val="nil"/>
              <w:bottom w:val="single" w:color="auto" w:sz="4" w:space="0"/>
              <w:right w:val="single" w:color="auto" w:sz="4" w:space="0"/>
            </w:tcBorders>
            <w:shd w:val="clear" w:color="auto" w:fill="auto"/>
            <w:noWrap/>
            <w:vAlign w:val="center"/>
          </w:tcPr>
          <w:p w14:paraId="55699E0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0.09 </w:t>
            </w:r>
          </w:p>
        </w:tc>
        <w:tc>
          <w:tcPr>
            <w:tcW w:w="469" w:type="pct"/>
            <w:tcBorders>
              <w:top w:val="nil"/>
              <w:left w:val="nil"/>
              <w:bottom w:val="single" w:color="auto" w:sz="4" w:space="0"/>
              <w:right w:val="single" w:color="auto" w:sz="4" w:space="0"/>
            </w:tcBorders>
            <w:shd w:val="clear" w:color="auto" w:fill="auto"/>
            <w:noWrap/>
            <w:vAlign w:val="center"/>
          </w:tcPr>
          <w:p w14:paraId="45BE4266">
            <w:pPr>
              <w:shd w:val="clear"/>
              <w:jc w:val="right"/>
              <w:rPr>
                <w:rFonts w:hint="eastAsia" w:ascii="宋体" w:hAnsi="宋体" w:eastAsia="宋体" w:cs="宋体"/>
                <w:i w:val="0"/>
                <w:iCs w:val="0"/>
                <w:color w:val="000000"/>
                <w:sz w:val="22"/>
                <w:szCs w:val="22"/>
                <w:u w:val="none"/>
              </w:rPr>
            </w:pPr>
          </w:p>
        </w:tc>
        <w:tc>
          <w:tcPr>
            <w:tcW w:w="468" w:type="pct"/>
            <w:tcBorders>
              <w:top w:val="nil"/>
              <w:left w:val="nil"/>
              <w:bottom w:val="single" w:color="auto" w:sz="4" w:space="0"/>
              <w:right w:val="single" w:color="auto" w:sz="4" w:space="0"/>
            </w:tcBorders>
            <w:shd w:val="clear" w:color="auto" w:fill="auto"/>
            <w:noWrap/>
            <w:vAlign w:val="center"/>
          </w:tcPr>
          <w:p w14:paraId="1AC1F20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0.09 </w:t>
            </w:r>
          </w:p>
        </w:tc>
        <w:tc>
          <w:tcPr>
            <w:tcW w:w="659" w:type="pct"/>
            <w:tcBorders>
              <w:top w:val="nil"/>
              <w:left w:val="nil"/>
              <w:bottom w:val="single" w:color="auto" w:sz="4" w:space="0"/>
              <w:right w:val="single" w:color="auto" w:sz="4" w:space="0"/>
            </w:tcBorders>
            <w:shd w:val="clear" w:color="auto" w:fill="auto"/>
            <w:noWrap/>
            <w:vAlign w:val="center"/>
          </w:tcPr>
          <w:p w14:paraId="2D2BB3A3">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8" w:type="pct"/>
            <w:tcBorders>
              <w:top w:val="nil"/>
              <w:left w:val="nil"/>
              <w:bottom w:val="single" w:color="auto" w:sz="4" w:space="0"/>
              <w:right w:val="single" w:color="auto" w:sz="4" w:space="0"/>
            </w:tcBorders>
            <w:shd w:val="clear" w:color="auto" w:fill="auto"/>
            <w:noWrap/>
            <w:vAlign w:val="center"/>
          </w:tcPr>
          <w:p w14:paraId="0DCC3229">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9" w:type="pct"/>
            <w:tcBorders>
              <w:top w:val="nil"/>
              <w:left w:val="nil"/>
              <w:bottom w:val="single" w:color="auto" w:sz="4" w:space="0"/>
              <w:right w:val="single" w:color="auto" w:sz="4" w:space="0"/>
            </w:tcBorders>
            <w:shd w:val="clear" w:color="auto" w:fill="auto"/>
            <w:noWrap/>
            <w:vAlign w:val="center"/>
          </w:tcPr>
          <w:p w14:paraId="133717A6">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4F6191D">
        <w:tblPrEx>
          <w:tblCellMar>
            <w:top w:w="0" w:type="dxa"/>
            <w:left w:w="108" w:type="dxa"/>
            <w:bottom w:w="0" w:type="dxa"/>
            <w:right w:w="108" w:type="dxa"/>
          </w:tblCellMar>
        </w:tblPrEx>
        <w:trPr>
          <w:trHeight w:val="595" w:hRule="atLeast"/>
          <w:jc w:val="center"/>
        </w:trPr>
        <w:tc>
          <w:tcPr>
            <w:tcW w:w="85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DE305F0">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2012304</w:t>
            </w:r>
          </w:p>
        </w:tc>
        <w:tc>
          <w:tcPr>
            <w:tcW w:w="470" w:type="pct"/>
            <w:tcBorders>
              <w:top w:val="nil"/>
              <w:left w:val="nil"/>
              <w:bottom w:val="single" w:color="auto" w:sz="4" w:space="0"/>
              <w:right w:val="single" w:color="auto" w:sz="4" w:space="0"/>
            </w:tcBorders>
            <w:shd w:val="clear" w:color="auto" w:fill="auto"/>
            <w:noWrap/>
            <w:vAlign w:val="center"/>
          </w:tcPr>
          <w:p w14:paraId="7B34404E">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民族工作专项</w:t>
            </w:r>
          </w:p>
        </w:tc>
        <w:tc>
          <w:tcPr>
            <w:tcW w:w="660" w:type="pct"/>
            <w:tcBorders>
              <w:top w:val="nil"/>
              <w:left w:val="nil"/>
              <w:bottom w:val="single" w:color="auto" w:sz="4" w:space="0"/>
              <w:right w:val="single" w:color="auto" w:sz="4" w:space="0"/>
            </w:tcBorders>
            <w:shd w:val="clear" w:color="auto" w:fill="auto"/>
            <w:noWrap/>
            <w:vAlign w:val="center"/>
          </w:tcPr>
          <w:p w14:paraId="641F64B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0.09 </w:t>
            </w:r>
          </w:p>
        </w:tc>
        <w:tc>
          <w:tcPr>
            <w:tcW w:w="469" w:type="pct"/>
            <w:tcBorders>
              <w:top w:val="nil"/>
              <w:left w:val="nil"/>
              <w:bottom w:val="single" w:color="auto" w:sz="4" w:space="0"/>
              <w:right w:val="single" w:color="auto" w:sz="4" w:space="0"/>
            </w:tcBorders>
            <w:shd w:val="clear" w:color="auto" w:fill="auto"/>
            <w:noWrap/>
            <w:vAlign w:val="center"/>
          </w:tcPr>
          <w:p w14:paraId="52C9297B">
            <w:pPr>
              <w:shd w:val="clear"/>
              <w:jc w:val="right"/>
              <w:rPr>
                <w:rFonts w:hint="eastAsia" w:ascii="宋体" w:hAnsi="宋体" w:eastAsia="宋体" w:cs="宋体"/>
                <w:i w:val="0"/>
                <w:iCs w:val="0"/>
                <w:color w:val="000000"/>
                <w:sz w:val="22"/>
                <w:szCs w:val="22"/>
                <w:u w:val="none"/>
              </w:rPr>
            </w:pPr>
          </w:p>
        </w:tc>
        <w:tc>
          <w:tcPr>
            <w:tcW w:w="468" w:type="pct"/>
            <w:tcBorders>
              <w:top w:val="nil"/>
              <w:left w:val="nil"/>
              <w:bottom w:val="single" w:color="auto" w:sz="4" w:space="0"/>
              <w:right w:val="single" w:color="auto" w:sz="4" w:space="0"/>
            </w:tcBorders>
            <w:shd w:val="clear" w:color="auto" w:fill="auto"/>
            <w:noWrap/>
            <w:vAlign w:val="center"/>
          </w:tcPr>
          <w:p w14:paraId="46F95DC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0.09 </w:t>
            </w:r>
          </w:p>
        </w:tc>
        <w:tc>
          <w:tcPr>
            <w:tcW w:w="659" w:type="pct"/>
            <w:tcBorders>
              <w:top w:val="nil"/>
              <w:left w:val="nil"/>
              <w:bottom w:val="single" w:color="auto" w:sz="4" w:space="0"/>
              <w:right w:val="single" w:color="auto" w:sz="4" w:space="0"/>
            </w:tcBorders>
            <w:shd w:val="clear" w:color="auto" w:fill="auto"/>
            <w:noWrap/>
            <w:vAlign w:val="center"/>
          </w:tcPr>
          <w:p w14:paraId="5C8B9D06">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8" w:type="pct"/>
            <w:tcBorders>
              <w:top w:val="nil"/>
              <w:left w:val="nil"/>
              <w:bottom w:val="single" w:color="auto" w:sz="4" w:space="0"/>
              <w:right w:val="single" w:color="auto" w:sz="4" w:space="0"/>
            </w:tcBorders>
            <w:shd w:val="clear" w:color="auto" w:fill="auto"/>
            <w:noWrap/>
            <w:vAlign w:val="center"/>
          </w:tcPr>
          <w:p w14:paraId="1472496B">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9" w:type="pct"/>
            <w:tcBorders>
              <w:top w:val="nil"/>
              <w:left w:val="nil"/>
              <w:bottom w:val="single" w:color="auto" w:sz="4" w:space="0"/>
              <w:right w:val="single" w:color="auto" w:sz="4" w:space="0"/>
            </w:tcBorders>
            <w:shd w:val="clear" w:color="auto" w:fill="auto"/>
            <w:noWrap/>
            <w:vAlign w:val="center"/>
          </w:tcPr>
          <w:p w14:paraId="115904D5">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A6EE8BC">
        <w:tblPrEx>
          <w:tblCellMar>
            <w:top w:w="0" w:type="dxa"/>
            <w:left w:w="108" w:type="dxa"/>
            <w:bottom w:w="0" w:type="dxa"/>
            <w:right w:w="108" w:type="dxa"/>
          </w:tblCellMar>
        </w:tblPrEx>
        <w:trPr>
          <w:trHeight w:val="595" w:hRule="atLeast"/>
          <w:jc w:val="center"/>
        </w:trPr>
        <w:tc>
          <w:tcPr>
            <w:tcW w:w="85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F533C3">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20133</w:t>
            </w:r>
          </w:p>
        </w:tc>
        <w:tc>
          <w:tcPr>
            <w:tcW w:w="470" w:type="pct"/>
            <w:tcBorders>
              <w:top w:val="nil"/>
              <w:left w:val="nil"/>
              <w:bottom w:val="single" w:color="auto" w:sz="4" w:space="0"/>
              <w:right w:val="single" w:color="auto" w:sz="4" w:space="0"/>
            </w:tcBorders>
            <w:shd w:val="clear" w:color="auto" w:fill="auto"/>
            <w:noWrap/>
            <w:vAlign w:val="center"/>
          </w:tcPr>
          <w:p w14:paraId="1A39B0FC">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宣传事务</w:t>
            </w:r>
          </w:p>
        </w:tc>
        <w:tc>
          <w:tcPr>
            <w:tcW w:w="660" w:type="pct"/>
            <w:tcBorders>
              <w:top w:val="nil"/>
              <w:left w:val="nil"/>
              <w:bottom w:val="single" w:color="auto" w:sz="4" w:space="0"/>
              <w:right w:val="single" w:color="auto" w:sz="4" w:space="0"/>
            </w:tcBorders>
            <w:shd w:val="clear" w:color="auto" w:fill="auto"/>
            <w:noWrap/>
            <w:vAlign w:val="center"/>
          </w:tcPr>
          <w:p w14:paraId="76E6F21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193.27 </w:t>
            </w:r>
          </w:p>
        </w:tc>
        <w:tc>
          <w:tcPr>
            <w:tcW w:w="469" w:type="pct"/>
            <w:tcBorders>
              <w:top w:val="nil"/>
              <w:left w:val="nil"/>
              <w:bottom w:val="single" w:color="auto" w:sz="4" w:space="0"/>
              <w:right w:val="single" w:color="auto" w:sz="4" w:space="0"/>
            </w:tcBorders>
            <w:shd w:val="clear" w:color="auto" w:fill="auto"/>
            <w:noWrap/>
            <w:vAlign w:val="center"/>
          </w:tcPr>
          <w:p w14:paraId="6CD90CC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193.27 </w:t>
            </w:r>
          </w:p>
        </w:tc>
        <w:tc>
          <w:tcPr>
            <w:tcW w:w="468" w:type="pct"/>
            <w:tcBorders>
              <w:top w:val="nil"/>
              <w:left w:val="nil"/>
              <w:bottom w:val="single" w:color="auto" w:sz="4" w:space="0"/>
              <w:right w:val="single" w:color="auto" w:sz="4" w:space="0"/>
            </w:tcBorders>
            <w:shd w:val="clear" w:color="auto" w:fill="auto"/>
            <w:noWrap/>
            <w:vAlign w:val="center"/>
          </w:tcPr>
          <w:p w14:paraId="5DE874EF">
            <w:pPr>
              <w:shd w:val="clear"/>
              <w:jc w:val="right"/>
              <w:rPr>
                <w:rFonts w:hint="eastAsia" w:ascii="宋体" w:hAnsi="宋体" w:eastAsia="宋体" w:cs="宋体"/>
                <w:i w:val="0"/>
                <w:iCs w:val="0"/>
                <w:color w:val="000000"/>
                <w:sz w:val="22"/>
                <w:szCs w:val="22"/>
                <w:u w:val="none"/>
              </w:rPr>
            </w:pPr>
          </w:p>
        </w:tc>
        <w:tc>
          <w:tcPr>
            <w:tcW w:w="659" w:type="pct"/>
            <w:tcBorders>
              <w:top w:val="nil"/>
              <w:left w:val="nil"/>
              <w:bottom w:val="single" w:color="auto" w:sz="4" w:space="0"/>
              <w:right w:val="single" w:color="auto" w:sz="4" w:space="0"/>
            </w:tcBorders>
            <w:shd w:val="clear" w:color="auto" w:fill="auto"/>
            <w:noWrap/>
            <w:vAlign w:val="center"/>
          </w:tcPr>
          <w:p w14:paraId="1BE0980D">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8" w:type="pct"/>
            <w:tcBorders>
              <w:top w:val="nil"/>
              <w:left w:val="nil"/>
              <w:bottom w:val="single" w:color="auto" w:sz="4" w:space="0"/>
              <w:right w:val="single" w:color="auto" w:sz="4" w:space="0"/>
            </w:tcBorders>
            <w:shd w:val="clear" w:color="auto" w:fill="auto"/>
            <w:noWrap/>
            <w:vAlign w:val="center"/>
          </w:tcPr>
          <w:p w14:paraId="11416CAA">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9" w:type="pct"/>
            <w:tcBorders>
              <w:top w:val="nil"/>
              <w:left w:val="nil"/>
              <w:bottom w:val="single" w:color="auto" w:sz="4" w:space="0"/>
              <w:right w:val="single" w:color="auto" w:sz="4" w:space="0"/>
            </w:tcBorders>
            <w:shd w:val="clear" w:color="auto" w:fill="auto"/>
            <w:noWrap/>
            <w:vAlign w:val="center"/>
          </w:tcPr>
          <w:p w14:paraId="04EDC3B1">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910C267">
        <w:tblPrEx>
          <w:tblCellMar>
            <w:top w:w="0" w:type="dxa"/>
            <w:left w:w="108" w:type="dxa"/>
            <w:bottom w:w="0" w:type="dxa"/>
            <w:right w:w="108" w:type="dxa"/>
          </w:tblCellMar>
        </w:tblPrEx>
        <w:trPr>
          <w:trHeight w:val="595" w:hRule="atLeast"/>
          <w:jc w:val="center"/>
        </w:trPr>
        <w:tc>
          <w:tcPr>
            <w:tcW w:w="85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4B4CFC1">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2013301</w:t>
            </w:r>
          </w:p>
        </w:tc>
        <w:tc>
          <w:tcPr>
            <w:tcW w:w="470" w:type="pct"/>
            <w:tcBorders>
              <w:top w:val="nil"/>
              <w:left w:val="nil"/>
              <w:bottom w:val="single" w:color="auto" w:sz="4" w:space="0"/>
              <w:right w:val="single" w:color="auto" w:sz="4" w:space="0"/>
            </w:tcBorders>
            <w:shd w:val="clear" w:color="auto" w:fill="auto"/>
            <w:noWrap/>
            <w:vAlign w:val="center"/>
          </w:tcPr>
          <w:p w14:paraId="113E0560">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660" w:type="pct"/>
            <w:tcBorders>
              <w:top w:val="nil"/>
              <w:left w:val="nil"/>
              <w:bottom w:val="single" w:color="auto" w:sz="4" w:space="0"/>
              <w:right w:val="single" w:color="auto" w:sz="4" w:space="0"/>
            </w:tcBorders>
            <w:shd w:val="clear" w:color="auto" w:fill="auto"/>
            <w:noWrap/>
            <w:vAlign w:val="center"/>
          </w:tcPr>
          <w:p w14:paraId="37E5914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193.27 </w:t>
            </w:r>
          </w:p>
        </w:tc>
        <w:tc>
          <w:tcPr>
            <w:tcW w:w="469" w:type="pct"/>
            <w:tcBorders>
              <w:top w:val="nil"/>
              <w:left w:val="nil"/>
              <w:bottom w:val="single" w:color="auto" w:sz="4" w:space="0"/>
              <w:right w:val="single" w:color="auto" w:sz="4" w:space="0"/>
            </w:tcBorders>
            <w:shd w:val="clear" w:color="auto" w:fill="auto"/>
            <w:noWrap/>
            <w:vAlign w:val="center"/>
          </w:tcPr>
          <w:p w14:paraId="76F66F9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193.27 </w:t>
            </w:r>
          </w:p>
        </w:tc>
        <w:tc>
          <w:tcPr>
            <w:tcW w:w="468" w:type="pct"/>
            <w:tcBorders>
              <w:top w:val="nil"/>
              <w:left w:val="nil"/>
              <w:bottom w:val="single" w:color="auto" w:sz="4" w:space="0"/>
              <w:right w:val="single" w:color="auto" w:sz="4" w:space="0"/>
            </w:tcBorders>
            <w:shd w:val="clear" w:color="auto" w:fill="auto"/>
            <w:noWrap/>
            <w:vAlign w:val="center"/>
          </w:tcPr>
          <w:p w14:paraId="0E5FE42C">
            <w:pPr>
              <w:shd w:val="clear"/>
              <w:jc w:val="right"/>
              <w:rPr>
                <w:rFonts w:hint="eastAsia" w:ascii="宋体" w:hAnsi="宋体" w:eastAsia="宋体" w:cs="宋体"/>
                <w:i w:val="0"/>
                <w:iCs w:val="0"/>
                <w:color w:val="000000"/>
                <w:sz w:val="22"/>
                <w:szCs w:val="22"/>
                <w:u w:val="none"/>
              </w:rPr>
            </w:pPr>
          </w:p>
        </w:tc>
        <w:tc>
          <w:tcPr>
            <w:tcW w:w="659" w:type="pct"/>
            <w:tcBorders>
              <w:top w:val="nil"/>
              <w:left w:val="nil"/>
              <w:bottom w:val="single" w:color="auto" w:sz="4" w:space="0"/>
              <w:right w:val="single" w:color="auto" w:sz="4" w:space="0"/>
            </w:tcBorders>
            <w:shd w:val="clear" w:color="auto" w:fill="auto"/>
            <w:noWrap/>
            <w:vAlign w:val="center"/>
          </w:tcPr>
          <w:p w14:paraId="79D37DB2">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8" w:type="pct"/>
            <w:tcBorders>
              <w:top w:val="nil"/>
              <w:left w:val="nil"/>
              <w:bottom w:val="single" w:color="auto" w:sz="4" w:space="0"/>
              <w:right w:val="single" w:color="auto" w:sz="4" w:space="0"/>
            </w:tcBorders>
            <w:shd w:val="clear" w:color="auto" w:fill="auto"/>
            <w:noWrap/>
            <w:vAlign w:val="center"/>
          </w:tcPr>
          <w:p w14:paraId="29B989F4">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9" w:type="pct"/>
            <w:tcBorders>
              <w:top w:val="nil"/>
              <w:left w:val="nil"/>
              <w:bottom w:val="single" w:color="auto" w:sz="4" w:space="0"/>
              <w:right w:val="single" w:color="auto" w:sz="4" w:space="0"/>
            </w:tcBorders>
            <w:shd w:val="clear" w:color="auto" w:fill="auto"/>
            <w:noWrap/>
            <w:vAlign w:val="center"/>
          </w:tcPr>
          <w:p w14:paraId="1FF257F4">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3D46356">
        <w:tblPrEx>
          <w:tblCellMar>
            <w:top w:w="0" w:type="dxa"/>
            <w:left w:w="108" w:type="dxa"/>
            <w:bottom w:w="0" w:type="dxa"/>
            <w:right w:w="108" w:type="dxa"/>
          </w:tblCellMar>
        </w:tblPrEx>
        <w:trPr>
          <w:trHeight w:val="595" w:hRule="atLeast"/>
          <w:jc w:val="center"/>
        </w:trPr>
        <w:tc>
          <w:tcPr>
            <w:tcW w:w="85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805125F">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20136</w:t>
            </w:r>
          </w:p>
        </w:tc>
        <w:tc>
          <w:tcPr>
            <w:tcW w:w="470" w:type="pct"/>
            <w:tcBorders>
              <w:top w:val="nil"/>
              <w:left w:val="nil"/>
              <w:bottom w:val="single" w:color="auto" w:sz="4" w:space="0"/>
              <w:right w:val="single" w:color="auto" w:sz="4" w:space="0"/>
            </w:tcBorders>
            <w:shd w:val="clear" w:color="auto" w:fill="auto"/>
            <w:noWrap/>
            <w:vAlign w:val="center"/>
          </w:tcPr>
          <w:p w14:paraId="35E761EE">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其他共产党事务支出</w:t>
            </w:r>
          </w:p>
        </w:tc>
        <w:tc>
          <w:tcPr>
            <w:tcW w:w="660" w:type="pct"/>
            <w:tcBorders>
              <w:top w:val="nil"/>
              <w:left w:val="nil"/>
              <w:bottom w:val="single" w:color="auto" w:sz="4" w:space="0"/>
              <w:right w:val="single" w:color="auto" w:sz="4" w:space="0"/>
            </w:tcBorders>
            <w:shd w:val="clear" w:color="auto" w:fill="auto"/>
            <w:noWrap/>
            <w:vAlign w:val="center"/>
          </w:tcPr>
          <w:p w14:paraId="573B192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0.89 </w:t>
            </w:r>
          </w:p>
        </w:tc>
        <w:tc>
          <w:tcPr>
            <w:tcW w:w="469" w:type="pct"/>
            <w:tcBorders>
              <w:top w:val="nil"/>
              <w:left w:val="nil"/>
              <w:bottom w:val="single" w:color="auto" w:sz="4" w:space="0"/>
              <w:right w:val="single" w:color="auto" w:sz="4" w:space="0"/>
            </w:tcBorders>
            <w:shd w:val="clear" w:color="auto" w:fill="auto"/>
            <w:noWrap/>
            <w:vAlign w:val="center"/>
          </w:tcPr>
          <w:p w14:paraId="1D350815">
            <w:pPr>
              <w:shd w:val="clear"/>
              <w:jc w:val="right"/>
              <w:rPr>
                <w:rFonts w:hint="eastAsia" w:ascii="宋体" w:hAnsi="宋体" w:eastAsia="宋体" w:cs="宋体"/>
                <w:i w:val="0"/>
                <w:iCs w:val="0"/>
                <w:color w:val="000000"/>
                <w:sz w:val="22"/>
                <w:szCs w:val="22"/>
                <w:u w:val="none"/>
              </w:rPr>
            </w:pPr>
          </w:p>
        </w:tc>
        <w:tc>
          <w:tcPr>
            <w:tcW w:w="468" w:type="pct"/>
            <w:tcBorders>
              <w:top w:val="nil"/>
              <w:left w:val="nil"/>
              <w:bottom w:val="single" w:color="auto" w:sz="4" w:space="0"/>
              <w:right w:val="single" w:color="auto" w:sz="4" w:space="0"/>
            </w:tcBorders>
            <w:shd w:val="clear" w:color="auto" w:fill="auto"/>
            <w:noWrap/>
            <w:vAlign w:val="center"/>
          </w:tcPr>
          <w:p w14:paraId="675D093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0.89 </w:t>
            </w:r>
          </w:p>
        </w:tc>
        <w:tc>
          <w:tcPr>
            <w:tcW w:w="659" w:type="pct"/>
            <w:tcBorders>
              <w:top w:val="nil"/>
              <w:left w:val="nil"/>
              <w:bottom w:val="single" w:color="auto" w:sz="4" w:space="0"/>
              <w:right w:val="single" w:color="auto" w:sz="4" w:space="0"/>
            </w:tcBorders>
            <w:shd w:val="clear" w:color="auto" w:fill="auto"/>
            <w:noWrap/>
            <w:vAlign w:val="center"/>
          </w:tcPr>
          <w:p w14:paraId="4D1E29CE">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8" w:type="pct"/>
            <w:tcBorders>
              <w:top w:val="nil"/>
              <w:left w:val="nil"/>
              <w:bottom w:val="single" w:color="auto" w:sz="4" w:space="0"/>
              <w:right w:val="single" w:color="auto" w:sz="4" w:space="0"/>
            </w:tcBorders>
            <w:shd w:val="clear" w:color="auto" w:fill="auto"/>
            <w:noWrap/>
            <w:vAlign w:val="center"/>
          </w:tcPr>
          <w:p w14:paraId="7FE24C05">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9" w:type="pct"/>
            <w:tcBorders>
              <w:top w:val="nil"/>
              <w:left w:val="nil"/>
              <w:bottom w:val="single" w:color="auto" w:sz="4" w:space="0"/>
              <w:right w:val="single" w:color="auto" w:sz="4" w:space="0"/>
            </w:tcBorders>
            <w:shd w:val="clear" w:color="auto" w:fill="auto"/>
            <w:noWrap/>
            <w:vAlign w:val="center"/>
          </w:tcPr>
          <w:p w14:paraId="044DC0E0">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9B2CCEC">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F19647F">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2013602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A577664">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3FAB39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0.89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E05DD27">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D9ED94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0.89 </w:t>
            </w: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34F7F50A">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779F6A41">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23F4B458">
            <w:pPr>
              <w:widowControl/>
              <w:shd w:val="clear"/>
              <w:jc w:val="right"/>
              <w:rPr>
                <w:rFonts w:ascii="Times New Roman" w:hAnsi="Times New Roman" w:eastAsia="仿宋_GB2312" w:cs="Times New Roman"/>
                <w:kern w:val="0"/>
                <w:sz w:val="24"/>
                <w:szCs w:val="24"/>
              </w:rPr>
            </w:pPr>
          </w:p>
        </w:tc>
      </w:tr>
      <w:tr w14:paraId="6E2CB0A5">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C7E78CB">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9BCD7FC">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教育支出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C229AB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515.70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A2D908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34.56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0D0CD2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481.15 </w:t>
            </w:r>
          </w:p>
        </w:tc>
        <w:tc>
          <w:tcPr>
            <w:tcW w:w="0" w:type="auto"/>
            <w:tcBorders>
              <w:top w:val="single" w:color="auto" w:sz="4" w:space="0"/>
              <w:left w:val="single" w:color="auto" w:sz="4" w:space="0"/>
              <w:bottom w:val="single" w:color="auto" w:sz="4" w:space="0"/>
              <w:right w:val="single" w:color="auto" w:sz="4" w:space="0"/>
            </w:tcBorders>
          </w:tcPr>
          <w:p w14:paraId="2739976E">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26DD95AD">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46B4AA6D">
            <w:pPr>
              <w:widowControl/>
              <w:shd w:val="clear"/>
              <w:jc w:val="right"/>
              <w:rPr>
                <w:rFonts w:ascii="Times New Roman" w:hAnsi="Times New Roman" w:eastAsia="仿宋_GB2312" w:cs="Times New Roman"/>
                <w:kern w:val="0"/>
                <w:sz w:val="24"/>
                <w:szCs w:val="24"/>
              </w:rPr>
            </w:pPr>
          </w:p>
        </w:tc>
      </w:tr>
      <w:tr w14:paraId="75DCF367">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A7D0AD6">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AD9D536">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普通教育</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AC6240F">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411.00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7CBFB54">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83F36F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411.00 </w:t>
            </w:r>
          </w:p>
        </w:tc>
        <w:tc>
          <w:tcPr>
            <w:tcW w:w="0" w:type="auto"/>
            <w:tcBorders>
              <w:top w:val="single" w:color="auto" w:sz="4" w:space="0"/>
              <w:left w:val="single" w:color="auto" w:sz="4" w:space="0"/>
              <w:bottom w:val="single" w:color="auto" w:sz="4" w:space="0"/>
              <w:right w:val="single" w:color="auto" w:sz="4" w:space="0"/>
            </w:tcBorders>
          </w:tcPr>
          <w:p w14:paraId="79D24536">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70DAC828">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395F700A">
            <w:pPr>
              <w:widowControl/>
              <w:shd w:val="clear"/>
              <w:jc w:val="right"/>
              <w:rPr>
                <w:rFonts w:ascii="Times New Roman" w:hAnsi="Times New Roman" w:eastAsia="仿宋_GB2312" w:cs="Times New Roman"/>
                <w:kern w:val="0"/>
                <w:sz w:val="24"/>
                <w:szCs w:val="24"/>
              </w:rPr>
            </w:pPr>
          </w:p>
        </w:tc>
      </w:tr>
      <w:tr w14:paraId="3A9A92B0">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0CCD29B">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2050201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47E8D8D">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学前教育</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EF6D01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411.00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DDC781D">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EC1AD3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411.00 </w:t>
            </w:r>
          </w:p>
        </w:tc>
        <w:tc>
          <w:tcPr>
            <w:tcW w:w="0" w:type="auto"/>
            <w:tcBorders>
              <w:top w:val="single" w:color="auto" w:sz="4" w:space="0"/>
              <w:left w:val="single" w:color="auto" w:sz="4" w:space="0"/>
              <w:bottom w:val="single" w:color="auto" w:sz="4" w:space="0"/>
              <w:right w:val="single" w:color="auto" w:sz="4" w:space="0"/>
            </w:tcBorders>
          </w:tcPr>
          <w:p w14:paraId="202E5A72">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00E391A3">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047BF8CE">
            <w:pPr>
              <w:widowControl/>
              <w:shd w:val="clear"/>
              <w:jc w:val="right"/>
              <w:rPr>
                <w:rFonts w:ascii="Times New Roman" w:hAnsi="Times New Roman" w:eastAsia="仿宋_GB2312" w:cs="Times New Roman"/>
                <w:kern w:val="0"/>
                <w:sz w:val="24"/>
                <w:szCs w:val="24"/>
              </w:rPr>
            </w:pPr>
          </w:p>
        </w:tc>
      </w:tr>
      <w:tr w14:paraId="19C6058A">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C8A400F">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28E3EDE">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进修及培训</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93974C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104.70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62C642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34.56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179D4A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70.15 </w:t>
            </w:r>
          </w:p>
        </w:tc>
        <w:tc>
          <w:tcPr>
            <w:tcW w:w="0" w:type="auto"/>
            <w:tcBorders>
              <w:top w:val="single" w:color="auto" w:sz="4" w:space="0"/>
              <w:left w:val="single" w:color="auto" w:sz="4" w:space="0"/>
              <w:bottom w:val="single" w:color="auto" w:sz="4" w:space="0"/>
              <w:right w:val="single" w:color="auto" w:sz="4" w:space="0"/>
            </w:tcBorders>
          </w:tcPr>
          <w:p w14:paraId="56165A5E">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19C45A3D">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480D4C48">
            <w:pPr>
              <w:widowControl/>
              <w:shd w:val="clear"/>
              <w:jc w:val="right"/>
              <w:rPr>
                <w:rFonts w:ascii="Times New Roman" w:hAnsi="Times New Roman" w:eastAsia="仿宋_GB2312" w:cs="Times New Roman"/>
                <w:kern w:val="0"/>
                <w:sz w:val="24"/>
                <w:szCs w:val="24"/>
              </w:rPr>
            </w:pPr>
          </w:p>
        </w:tc>
      </w:tr>
      <w:tr w14:paraId="684F150D">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3A81A6E">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2050803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298124D">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培训支出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0A731A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104.70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EEF02F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34.56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32928D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70.15 </w:t>
            </w:r>
          </w:p>
        </w:tc>
        <w:tc>
          <w:tcPr>
            <w:tcW w:w="0" w:type="auto"/>
            <w:tcBorders>
              <w:top w:val="single" w:color="auto" w:sz="4" w:space="0"/>
              <w:left w:val="single" w:color="auto" w:sz="4" w:space="0"/>
              <w:bottom w:val="single" w:color="auto" w:sz="4" w:space="0"/>
              <w:right w:val="single" w:color="auto" w:sz="4" w:space="0"/>
            </w:tcBorders>
          </w:tcPr>
          <w:p w14:paraId="3FF483B4">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08C6686F">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7562EF7D">
            <w:pPr>
              <w:widowControl/>
              <w:shd w:val="clear"/>
              <w:jc w:val="right"/>
              <w:rPr>
                <w:rFonts w:ascii="Times New Roman" w:hAnsi="Times New Roman" w:eastAsia="仿宋_GB2312" w:cs="Times New Roman"/>
                <w:kern w:val="0"/>
                <w:sz w:val="24"/>
                <w:szCs w:val="24"/>
              </w:rPr>
            </w:pPr>
          </w:p>
        </w:tc>
      </w:tr>
      <w:tr w14:paraId="3D0B2333">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0DF756E">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206</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7EF1A69">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科学技术支出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D57C43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35.41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2BED6C8">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FFEBE09">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35.41 </w:t>
            </w:r>
          </w:p>
        </w:tc>
        <w:tc>
          <w:tcPr>
            <w:tcW w:w="0" w:type="auto"/>
            <w:tcBorders>
              <w:top w:val="single" w:color="auto" w:sz="4" w:space="0"/>
              <w:left w:val="single" w:color="auto" w:sz="4" w:space="0"/>
              <w:bottom w:val="single" w:color="auto" w:sz="4" w:space="0"/>
              <w:right w:val="single" w:color="auto" w:sz="4" w:space="0"/>
            </w:tcBorders>
          </w:tcPr>
          <w:p w14:paraId="3AE68E84">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2B235C55">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38777E65">
            <w:pPr>
              <w:widowControl/>
              <w:shd w:val="clear"/>
              <w:jc w:val="right"/>
              <w:rPr>
                <w:rFonts w:ascii="Times New Roman" w:hAnsi="Times New Roman" w:eastAsia="仿宋_GB2312" w:cs="Times New Roman"/>
                <w:kern w:val="0"/>
                <w:sz w:val="24"/>
                <w:szCs w:val="24"/>
              </w:rPr>
            </w:pPr>
          </w:p>
        </w:tc>
      </w:tr>
      <w:tr w14:paraId="2727714A">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5405669">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20606</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83BD7BA">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社会科学</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69F39E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13.91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69EDE4E">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E12E46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13.91 </w:t>
            </w:r>
          </w:p>
        </w:tc>
        <w:tc>
          <w:tcPr>
            <w:tcW w:w="0" w:type="auto"/>
            <w:tcBorders>
              <w:top w:val="single" w:color="auto" w:sz="4" w:space="0"/>
              <w:left w:val="single" w:color="auto" w:sz="4" w:space="0"/>
              <w:bottom w:val="single" w:color="auto" w:sz="4" w:space="0"/>
              <w:right w:val="single" w:color="auto" w:sz="4" w:space="0"/>
            </w:tcBorders>
          </w:tcPr>
          <w:p w14:paraId="7AF88237">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3A95EBC2">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5B48D07B">
            <w:pPr>
              <w:widowControl/>
              <w:shd w:val="clear"/>
              <w:jc w:val="right"/>
              <w:rPr>
                <w:rFonts w:ascii="Times New Roman" w:hAnsi="Times New Roman" w:eastAsia="仿宋_GB2312" w:cs="Times New Roman"/>
                <w:kern w:val="0"/>
                <w:sz w:val="24"/>
                <w:szCs w:val="24"/>
              </w:rPr>
            </w:pPr>
          </w:p>
        </w:tc>
      </w:tr>
      <w:tr w14:paraId="26D1DB92">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5ADB6BA">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2060602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59F05AC">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社会科学研究</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ED2626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3.06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0AD7161">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0C6782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3.06 </w:t>
            </w:r>
          </w:p>
        </w:tc>
        <w:tc>
          <w:tcPr>
            <w:tcW w:w="0" w:type="auto"/>
            <w:tcBorders>
              <w:top w:val="single" w:color="auto" w:sz="4" w:space="0"/>
              <w:left w:val="single" w:color="auto" w:sz="4" w:space="0"/>
              <w:bottom w:val="single" w:color="auto" w:sz="4" w:space="0"/>
              <w:right w:val="single" w:color="auto" w:sz="4" w:space="0"/>
            </w:tcBorders>
          </w:tcPr>
          <w:p w14:paraId="0F00D43D">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3BA8A7D8">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5DB1408B">
            <w:pPr>
              <w:widowControl/>
              <w:shd w:val="clear"/>
              <w:jc w:val="right"/>
              <w:rPr>
                <w:rFonts w:ascii="Times New Roman" w:hAnsi="Times New Roman" w:eastAsia="仿宋_GB2312" w:cs="Times New Roman"/>
                <w:kern w:val="0"/>
                <w:sz w:val="24"/>
                <w:szCs w:val="24"/>
              </w:rPr>
            </w:pPr>
          </w:p>
        </w:tc>
      </w:tr>
      <w:tr w14:paraId="6DD8BE3E">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752E004">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2060603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215331D">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社科基金支出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4B38F8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10.85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0479CE0">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7DA532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10.85 </w:t>
            </w:r>
          </w:p>
        </w:tc>
        <w:tc>
          <w:tcPr>
            <w:tcW w:w="0" w:type="auto"/>
            <w:tcBorders>
              <w:top w:val="single" w:color="auto" w:sz="4" w:space="0"/>
              <w:left w:val="single" w:color="auto" w:sz="4" w:space="0"/>
              <w:bottom w:val="single" w:color="auto" w:sz="4" w:space="0"/>
              <w:right w:val="single" w:color="auto" w:sz="4" w:space="0"/>
            </w:tcBorders>
          </w:tcPr>
          <w:p w14:paraId="093CE82F">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360A5274">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15C50910">
            <w:pPr>
              <w:widowControl/>
              <w:shd w:val="clear"/>
              <w:jc w:val="right"/>
              <w:rPr>
                <w:rFonts w:ascii="Times New Roman" w:hAnsi="Times New Roman" w:eastAsia="仿宋_GB2312" w:cs="Times New Roman"/>
                <w:kern w:val="0"/>
                <w:sz w:val="24"/>
                <w:szCs w:val="24"/>
              </w:rPr>
            </w:pPr>
          </w:p>
        </w:tc>
      </w:tr>
      <w:tr w14:paraId="53496FF5">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186CD98">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20699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65FA5B1">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6A10C6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21.50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165825D">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5DBAD7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21.50 </w:t>
            </w:r>
          </w:p>
        </w:tc>
        <w:tc>
          <w:tcPr>
            <w:tcW w:w="0" w:type="auto"/>
            <w:tcBorders>
              <w:top w:val="single" w:color="auto" w:sz="4" w:space="0"/>
              <w:left w:val="single" w:color="auto" w:sz="4" w:space="0"/>
              <w:bottom w:val="single" w:color="auto" w:sz="4" w:space="0"/>
              <w:right w:val="single" w:color="auto" w:sz="4" w:space="0"/>
            </w:tcBorders>
          </w:tcPr>
          <w:p w14:paraId="290A9BCF">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5AC9D8C7">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224C873D">
            <w:pPr>
              <w:widowControl/>
              <w:shd w:val="clear"/>
              <w:jc w:val="right"/>
              <w:rPr>
                <w:rFonts w:ascii="Times New Roman" w:hAnsi="Times New Roman" w:eastAsia="仿宋_GB2312" w:cs="Times New Roman"/>
                <w:kern w:val="0"/>
                <w:sz w:val="24"/>
                <w:szCs w:val="24"/>
              </w:rPr>
            </w:pPr>
          </w:p>
        </w:tc>
      </w:tr>
      <w:tr w14:paraId="2BB25934">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A904CC3">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2069999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DB42AAD">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B88C94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21.50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81F178C">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546147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21.50 </w:t>
            </w:r>
          </w:p>
        </w:tc>
        <w:tc>
          <w:tcPr>
            <w:tcW w:w="0" w:type="auto"/>
            <w:tcBorders>
              <w:top w:val="single" w:color="auto" w:sz="4" w:space="0"/>
              <w:left w:val="single" w:color="auto" w:sz="4" w:space="0"/>
              <w:bottom w:val="single" w:color="auto" w:sz="4" w:space="0"/>
              <w:right w:val="single" w:color="auto" w:sz="4" w:space="0"/>
            </w:tcBorders>
          </w:tcPr>
          <w:p w14:paraId="07D0DFC9">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6F3739FA">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648D39ED">
            <w:pPr>
              <w:widowControl/>
              <w:shd w:val="clear"/>
              <w:jc w:val="right"/>
              <w:rPr>
                <w:rFonts w:ascii="Times New Roman" w:hAnsi="Times New Roman" w:eastAsia="仿宋_GB2312" w:cs="Times New Roman"/>
                <w:kern w:val="0"/>
                <w:sz w:val="24"/>
                <w:szCs w:val="24"/>
              </w:rPr>
            </w:pPr>
          </w:p>
        </w:tc>
      </w:tr>
      <w:tr w14:paraId="03F17069">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F778EC7">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1831C3B">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FEA2EC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111,410.18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A812F4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27,663.38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EF17E2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83,746.80 </w:t>
            </w:r>
          </w:p>
        </w:tc>
        <w:tc>
          <w:tcPr>
            <w:tcW w:w="0" w:type="auto"/>
            <w:tcBorders>
              <w:top w:val="single" w:color="auto" w:sz="4" w:space="0"/>
              <w:left w:val="single" w:color="auto" w:sz="4" w:space="0"/>
              <w:bottom w:val="single" w:color="auto" w:sz="4" w:space="0"/>
              <w:right w:val="single" w:color="auto" w:sz="4" w:space="0"/>
            </w:tcBorders>
          </w:tcPr>
          <w:p w14:paraId="16509C1A">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6AAE00C8">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34436907">
            <w:pPr>
              <w:widowControl/>
              <w:shd w:val="clear"/>
              <w:jc w:val="right"/>
              <w:rPr>
                <w:rFonts w:ascii="Times New Roman" w:hAnsi="Times New Roman" w:eastAsia="仿宋_GB2312" w:cs="Times New Roman"/>
                <w:kern w:val="0"/>
                <w:sz w:val="24"/>
                <w:szCs w:val="24"/>
              </w:rPr>
            </w:pPr>
          </w:p>
        </w:tc>
      </w:tr>
      <w:tr w14:paraId="24531827">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8285BD2">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408A98B">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文化和旅游</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F336C9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69,681.05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13FF93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20,634.98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961185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49,046.07 </w:t>
            </w:r>
          </w:p>
        </w:tc>
        <w:tc>
          <w:tcPr>
            <w:tcW w:w="0" w:type="auto"/>
            <w:tcBorders>
              <w:top w:val="single" w:color="auto" w:sz="4" w:space="0"/>
              <w:left w:val="single" w:color="auto" w:sz="4" w:space="0"/>
              <w:bottom w:val="single" w:color="auto" w:sz="4" w:space="0"/>
              <w:right w:val="single" w:color="auto" w:sz="4" w:space="0"/>
            </w:tcBorders>
          </w:tcPr>
          <w:p w14:paraId="09F031EE">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5CB11E0F">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5C5FDD21">
            <w:pPr>
              <w:widowControl/>
              <w:shd w:val="clear"/>
              <w:jc w:val="right"/>
              <w:rPr>
                <w:rFonts w:ascii="Times New Roman" w:hAnsi="Times New Roman" w:eastAsia="仿宋_GB2312" w:cs="Times New Roman"/>
                <w:kern w:val="0"/>
                <w:sz w:val="24"/>
                <w:szCs w:val="24"/>
              </w:rPr>
            </w:pPr>
          </w:p>
        </w:tc>
      </w:tr>
      <w:tr w14:paraId="370041DB">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859FDF6">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2070101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9470F11">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15E9EF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3,416.73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C6471C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3,416.73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942F418">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tcPr>
          <w:p w14:paraId="7297362A">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47265D4B">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24647D25">
            <w:pPr>
              <w:widowControl/>
              <w:shd w:val="clear"/>
              <w:jc w:val="right"/>
              <w:rPr>
                <w:rFonts w:ascii="Times New Roman" w:hAnsi="Times New Roman" w:eastAsia="仿宋_GB2312" w:cs="Times New Roman"/>
                <w:kern w:val="0"/>
                <w:sz w:val="24"/>
                <w:szCs w:val="24"/>
              </w:rPr>
            </w:pPr>
          </w:p>
        </w:tc>
      </w:tr>
      <w:tr w14:paraId="35C09A43">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4F15446">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2070102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DE150B2">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4E34B0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128.22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E0CE244">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D223D59">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128.22 </w:t>
            </w:r>
          </w:p>
        </w:tc>
        <w:tc>
          <w:tcPr>
            <w:tcW w:w="0" w:type="auto"/>
            <w:tcBorders>
              <w:top w:val="single" w:color="auto" w:sz="4" w:space="0"/>
              <w:left w:val="single" w:color="auto" w:sz="4" w:space="0"/>
              <w:bottom w:val="single" w:color="auto" w:sz="4" w:space="0"/>
              <w:right w:val="single" w:color="auto" w:sz="4" w:space="0"/>
            </w:tcBorders>
          </w:tcPr>
          <w:p w14:paraId="54DC7B7C">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35DA44BB">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31916260">
            <w:pPr>
              <w:widowControl/>
              <w:shd w:val="clear"/>
              <w:jc w:val="right"/>
              <w:rPr>
                <w:rFonts w:ascii="Times New Roman" w:hAnsi="Times New Roman" w:eastAsia="仿宋_GB2312" w:cs="Times New Roman"/>
                <w:kern w:val="0"/>
                <w:sz w:val="24"/>
                <w:szCs w:val="24"/>
              </w:rPr>
            </w:pPr>
          </w:p>
        </w:tc>
      </w:tr>
      <w:tr w14:paraId="2D0B0445">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4D644B9">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2070104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868D906">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图书馆</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50C471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8,909.08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61F619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5,254.39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F72A2E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3,654.69 </w:t>
            </w:r>
          </w:p>
        </w:tc>
        <w:tc>
          <w:tcPr>
            <w:tcW w:w="0" w:type="auto"/>
            <w:tcBorders>
              <w:top w:val="single" w:color="auto" w:sz="4" w:space="0"/>
              <w:left w:val="single" w:color="auto" w:sz="4" w:space="0"/>
              <w:bottom w:val="single" w:color="auto" w:sz="4" w:space="0"/>
              <w:right w:val="single" w:color="auto" w:sz="4" w:space="0"/>
            </w:tcBorders>
          </w:tcPr>
          <w:p w14:paraId="46FDCD1B">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2CB3A799">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7DB8F97E">
            <w:pPr>
              <w:widowControl/>
              <w:shd w:val="clear"/>
              <w:jc w:val="right"/>
              <w:rPr>
                <w:rFonts w:ascii="Times New Roman" w:hAnsi="Times New Roman" w:eastAsia="仿宋_GB2312" w:cs="Times New Roman"/>
                <w:kern w:val="0"/>
                <w:sz w:val="24"/>
                <w:szCs w:val="24"/>
              </w:rPr>
            </w:pPr>
          </w:p>
        </w:tc>
      </w:tr>
      <w:tr w14:paraId="675994AD">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BEE676E">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2070107</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2EFF364">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艺术表演团体</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64F8CB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7,359.84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160868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6,242.81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569D48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1,117.03 </w:t>
            </w:r>
          </w:p>
        </w:tc>
        <w:tc>
          <w:tcPr>
            <w:tcW w:w="0" w:type="auto"/>
            <w:tcBorders>
              <w:top w:val="single" w:color="auto" w:sz="4" w:space="0"/>
              <w:left w:val="single" w:color="auto" w:sz="4" w:space="0"/>
              <w:bottom w:val="single" w:color="auto" w:sz="4" w:space="0"/>
              <w:right w:val="single" w:color="auto" w:sz="4" w:space="0"/>
            </w:tcBorders>
          </w:tcPr>
          <w:p w14:paraId="1AD38625">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3D06EF92">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3BA3F54B">
            <w:pPr>
              <w:widowControl/>
              <w:shd w:val="clear"/>
              <w:jc w:val="right"/>
              <w:rPr>
                <w:rFonts w:ascii="Times New Roman" w:hAnsi="Times New Roman" w:eastAsia="仿宋_GB2312" w:cs="Times New Roman"/>
                <w:kern w:val="0"/>
                <w:sz w:val="24"/>
                <w:szCs w:val="24"/>
              </w:rPr>
            </w:pPr>
          </w:p>
        </w:tc>
      </w:tr>
      <w:tr w14:paraId="57B82B15">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B4E5D96">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2070109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725CE81">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群众文化</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41D722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2,279.46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5F48B6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1,706.94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F78458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572.52 </w:t>
            </w:r>
          </w:p>
        </w:tc>
        <w:tc>
          <w:tcPr>
            <w:tcW w:w="0" w:type="auto"/>
            <w:tcBorders>
              <w:top w:val="single" w:color="auto" w:sz="4" w:space="0"/>
              <w:left w:val="single" w:color="auto" w:sz="4" w:space="0"/>
              <w:bottom w:val="single" w:color="auto" w:sz="4" w:space="0"/>
              <w:right w:val="single" w:color="auto" w:sz="4" w:space="0"/>
            </w:tcBorders>
          </w:tcPr>
          <w:p w14:paraId="1330CE52">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7D58AEB9">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39441B8E">
            <w:pPr>
              <w:widowControl/>
              <w:shd w:val="clear"/>
              <w:jc w:val="right"/>
              <w:rPr>
                <w:rFonts w:ascii="Times New Roman" w:hAnsi="Times New Roman" w:eastAsia="仿宋_GB2312" w:cs="Times New Roman"/>
                <w:kern w:val="0"/>
                <w:sz w:val="24"/>
                <w:szCs w:val="24"/>
              </w:rPr>
            </w:pPr>
          </w:p>
        </w:tc>
      </w:tr>
      <w:tr w14:paraId="331ECD40">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5FB8CE6">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2070110</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9A0706D">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文化和旅游交流与合作</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F5DCD0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73.17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A5CAC94">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AD353C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73.17 </w:t>
            </w:r>
          </w:p>
        </w:tc>
        <w:tc>
          <w:tcPr>
            <w:tcW w:w="0" w:type="auto"/>
            <w:tcBorders>
              <w:top w:val="single" w:color="auto" w:sz="4" w:space="0"/>
              <w:left w:val="single" w:color="auto" w:sz="4" w:space="0"/>
              <w:bottom w:val="single" w:color="auto" w:sz="4" w:space="0"/>
              <w:right w:val="single" w:color="auto" w:sz="4" w:space="0"/>
            </w:tcBorders>
          </w:tcPr>
          <w:p w14:paraId="53E3D95A">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5F028E26">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7ABF7075">
            <w:pPr>
              <w:widowControl/>
              <w:shd w:val="clear"/>
              <w:jc w:val="right"/>
              <w:rPr>
                <w:rFonts w:ascii="Times New Roman" w:hAnsi="Times New Roman" w:eastAsia="仿宋_GB2312" w:cs="Times New Roman"/>
                <w:kern w:val="0"/>
                <w:sz w:val="24"/>
                <w:szCs w:val="24"/>
              </w:rPr>
            </w:pPr>
          </w:p>
        </w:tc>
      </w:tr>
      <w:tr w14:paraId="4AC922A8">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A8FCF4C">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2070111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C65BE75">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文化创作与保护</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F68F19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1,412.17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116750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970.87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4FD522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441.30 </w:t>
            </w:r>
          </w:p>
        </w:tc>
        <w:tc>
          <w:tcPr>
            <w:tcW w:w="0" w:type="auto"/>
            <w:tcBorders>
              <w:top w:val="single" w:color="auto" w:sz="4" w:space="0"/>
              <w:left w:val="single" w:color="auto" w:sz="4" w:space="0"/>
              <w:bottom w:val="single" w:color="auto" w:sz="4" w:space="0"/>
              <w:right w:val="single" w:color="auto" w:sz="4" w:space="0"/>
            </w:tcBorders>
          </w:tcPr>
          <w:p w14:paraId="328E106A">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0EDF0268">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10E2D814">
            <w:pPr>
              <w:widowControl/>
              <w:shd w:val="clear"/>
              <w:jc w:val="right"/>
              <w:rPr>
                <w:rFonts w:ascii="Times New Roman" w:hAnsi="Times New Roman" w:eastAsia="仿宋_GB2312" w:cs="Times New Roman"/>
                <w:kern w:val="0"/>
                <w:sz w:val="24"/>
                <w:szCs w:val="24"/>
              </w:rPr>
            </w:pPr>
          </w:p>
        </w:tc>
      </w:tr>
      <w:tr w14:paraId="45A8C995">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D1D1D26">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2070112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60537D6">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文化和旅游市场管理</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0BCA89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156.36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55F42FE">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556644F">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156.36 </w:t>
            </w:r>
          </w:p>
        </w:tc>
        <w:tc>
          <w:tcPr>
            <w:tcW w:w="0" w:type="auto"/>
            <w:tcBorders>
              <w:top w:val="single" w:color="auto" w:sz="4" w:space="0"/>
              <w:left w:val="single" w:color="auto" w:sz="4" w:space="0"/>
              <w:bottom w:val="single" w:color="auto" w:sz="4" w:space="0"/>
              <w:right w:val="single" w:color="auto" w:sz="4" w:space="0"/>
            </w:tcBorders>
          </w:tcPr>
          <w:p w14:paraId="2D8E43E9">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372CCBA3">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57573BC9">
            <w:pPr>
              <w:widowControl/>
              <w:shd w:val="clear"/>
              <w:jc w:val="right"/>
              <w:rPr>
                <w:rFonts w:ascii="Times New Roman" w:hAnsi="Times New Roman" w:eastAsia="仿宋_GB2312" w:cs="Times New Roman"/>
                <w:kern w:val="0"/>
                <w:sz w:val="24"/>
                <w:szCs w:val="24"/>
              </w:rPr>
            </w:pPr>
          </w:p>
        </w:tc>
      </w:tr>
      <w:tr w14:paraId="23396F6E">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388CA30">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2070113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6FA2150">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旅游宣传</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35B79A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4,163.22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8107AA8">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677DBF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4,163.22 </w:t>
            </w:r>
          </w:p>
        </w:tc>
        <w:tc>
          <w:tcPr>
            <w:tcW w:w="0" w:type="auto"/>
            <w:tcBorders>
              <w:top w:val="single" w:color="auto" w:sz="4" w:space="0"/>
              <w:left w:val="single" w:color="auto" w:sz="4" w:space="0"/>
              <w:bottom w:val="single" w:color="auto" w:sz="4" w:space="0"/>
              <w:right w:val="single" w:color="auto" w:sz="4" w:space="0"/>
            </w:tcBorders>
          </w:tcPr>
          <w:p w14:paraId="72E59A9B">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54A88EB2">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003DE37C">
            <w:pPr>
              <w:widowControl/>
              <w:shd w:val="clear"/>
              <w:jc w:val="right"/>
              <w:rPr>
                <w:rFonts w:ascii="Times New Roman" w:hAnsi="Times New Roman" w:eastAsia="仿宋_GB2312" w:cs="Times New Roman"/>
                <w:kern w:val="0"/>
                <w:sz w:val="24"/>
                <w:szCs w:val="24"/>
              </w:rPr>
            </w:pPr>
          </w:p>
        </w:tc>
      </w:tr>
      <w:tr w14:paraId="6D984E15">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620FC61">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2070114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C28D6EB">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文化和旅游管理事务</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F6C87C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520.67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4907FF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130.76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B8B831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389.91 </w:t>
            </w: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7A527BB8">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4893987A">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5B8CC41B">
            <w:pPr>
              <w:widowControl/>
              <w:shd w:val="clear"/>
              <w:jc w:val="right"/>
              <w:rPr>
                <w:rFonts w:ascii="Times New Roman" w:hAnsi="Times New Roman" w:eastAsia="仿宋_GB2312" w:cs="Times New Roman"/>
                <w:kern w:val="0"/>
                <w:sz w:val="24"/>
                <w:szCs w:val="24"/>
              </w:rPr>
            </w:pPr>
          </w:p>
        </w:tc>
      </w:tr>
      <w:tr w14:paraId="26348543">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80B2704">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2070199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FAE30C8">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其他文化和旅游支出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2BA51C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41,262.13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682503F">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2,912.48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18F3D5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38,349.65 </w:t>
            </w: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71B69DAE">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1089D4C7">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5AE74090">
            <w:pPr>
              <w:widowControl/>
              <w:shd w:val="clear"/>
              <w:jc w:val="right"/>
              <w:rPr>
                <w:rFonts w:ascii="Times New Roman" w:hAnsi="Times New Roman" w:eastAsia="仿宋_GB2312" w:cs="Times New Roman"/>
                <w:kern w:val="0"/>
                <w:sz w:val="24"/>
                <w:szCs w:val="24"/>
              </w:rPr>
            </w:pPr>
          </w:p>
        </w:tc>
      </w:tr>
      <w:tr w14:paraId="557293A0">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55B937F">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EE4CA93">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文物</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BC4C2F9">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38,209.19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E25388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7,028.40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AA63D19">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31,180.79 </w:t>
            </w: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7DD171EC">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0ECE1FED">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066BAAF2">
            <w:pPr>
              <w:widowControl/>
              <w:shd w:val="clear"/>
              <w:jc w:val="right"/>
              <w:rPr>
                <w:rFonts w:ascii="Times New Roman" w:hAnsi="Times New Roman" w:eastAsia="仿宋_GB2312" w:cs="Times New Roman"/>
                <w:kern w:val="0"/>
                <w:sz w:val="24"/>
                <w:szCs w:val="24"/>
              </w:rPr>
            </w:pPr>
          </w:p>
        </w:tc>
      </w:tr>
      <w:tr w14:paraId="2C407C1B">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3C16441">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2070201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6DCA33C">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781E41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759.36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E82E70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759.36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087CBF7">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0198956E">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0253DD1A">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37A71A81">
            <w:pPr>
              <w:widowControl/>
              <w:shd w:val="clear"/>
              <w:jc w:val="right"/>
              <w:rPr>
                <w:rFonts w:ascii="Times New Roman" w:hAnsi="Times New Roman" w:eastAsia="仿宋_GB2312" w:cs="Times New Roman"/>
                <w:kern w:val="0"/>
                <w:sz w:val="24"/>
                <w:szCs w:val="24"/>
              </w:rPr>
            </w:pPr>
          </w:p>
        </w:tc>
      </w:tr>
      <w:tr w14:paraId="3143DF13">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CB406C5">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2070204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395BF03">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文物保护</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D0AC7D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13,075.71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5BB54A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2,248.39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B8B471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10,827.32 </w:t>
            </w: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521138FB">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419C5D62">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14954623">
            <w:pPr>
              <w:widowControl/>
              <w:shd w:val="clear"/>
              <w:jc w:val="right"/>
              <w:rPr>
                <w:rFonts w:ascii="Times New Roman" w:hAnsi="Times New Roman" w:eastAsia="仿宋_GB2312" w:cs="Times New Roman"/>
                <w:kern w:val="0"/>
                <w:sz w:val="24"/>
                <w:szCs w:val="24"/>
              </w:rPr>
            </w:pPr>
          </w:p>
        </w:tc>
      </w:tr>
      <w:tr w14:paraId="19F54384">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EB45B70">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2070205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1C82B8C">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博物馆</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8F1AFA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20,041.64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4086C5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4,020.65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5DECC2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16,021.00 </w:t>
            </w: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2DAD80B0">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61D4D9E6">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4FE1FB1E">
            <w:pPr>
              <w:widowControl/>
              <w:shd w:val="clear"/>
              <w:jc w:val="right"/>
              <w:rPr>
                <w:rFonts w:ascii="Times New Roman" w:hAnsi="Times New Roman" w:eastAsia="仿宋_GB2312" w:cs="Times New Roman"/>
                <w:kern w:val="0"/>
                <w:sz w:val="24"/>
                <w:szCs w:val="24"/>
              </w:rPr>
            </w:pPr>
          </w:p>
        </w:tc>
      </w:tr>
      <w:tr w14:paraId="6DA4BA9B">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4A367EF">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2070299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BC63978">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其他文物支出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2D3472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4,332.47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77C3A16">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F8CE4A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4,332.47 </w:t>
            </w: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68CBC96D">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47F8571B">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052424FA">
            <w:pPr>
              <w:widowControl/>
              <w:shd w:val="clear"/>
              <w:jc w:val="right"/>
              <w:rPr>
                <w:rFonts w:ascii="Times New Roman" w:hAnsi="Times New Roman" w:eastAsia="仿宋_GB2312" w:cs="Times New Roman"/>
                <w:kern w:val="0"/>
                <w:sz w:val="24"/>
                <w:szCs w:val="24"/>
              </w:rPr>
            </w:pPr>
          </w:p>
        </w:tc>
      </w:tr>
      <w:tr w14:paraId="16A20B9A">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DD96FC8">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FD9D76D">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旅游发展基金支出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51898D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300.77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613AB94">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1EDEDE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300.77 </w:t>
            </w: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6B9BC76C">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1A24DBA2">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1D0CED92">
            <w:pPr>
              <w:widowControl/>
              <w:shd w:val="clear"/>
              <w:jc w:val="right"/>
              <w:rPr>
                <w:rFonts w:ascii="Times New Roman" w:hAnsi="Times New Roman" w:eastAsia="仿宋_GB2312" w:cs="Times New Roman"/>
                <w:kern w:val="0"/>
                <w:sz w:val="24"/>
                <w:szCs w:val="24"/>
              </w:rPr>
            </w:pPr>
          </w:p>
        </w:tc>
      </w:tr>
      <w:tr w14:paraId="045F45A1">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E747D0D">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2070904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0C2B27B">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地方旅游开发项目补助</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3D8569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300.77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6821627">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FD46E6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300.77 </w:t>
            </w: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16B8AF0E">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79932061">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386ADA77">
            <w:pPr>
              <w:widowControl/>
              <w:shd w:val="clear"/>
              <w:jc w:val="right"/>
              <w:rPr>
                <w:rFonts w:ascii="Times New Roman" w:hAnsi="Times New Roman" w:eastAsia="仿宋_GB2312" w:cs="Times New Roman"/>
                <w:kern w:val="0"/>
                <w:sz w:val="24"/>
                <w:szCs w:val="24"/>
              </w:rPr>
            </w:pPr>
          </w:p>
        </w:tc>
      </w:tr>
      <w:tr w14:paraId="3B3C4D96">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57EF37C">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3C2AF6A">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91BDF5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3,219.17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5360FBA">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BE45F8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3,219.17 </w:t>
            </w: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0CD30083">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1A30220B">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38813AE1">
            <w:pPr>
              <w:widowControl/>
              <w:shd w:val="clear"/>
              <w:jc w:val="right"/>
              <w:rPr>
                <w:rFonts w:ascii="Times New Roman" w:hAnsi="Times New Roman" w:eastAsia="仿宋_GB2312" w:cs="Times New Roman"/>
                <w:kern w:val="0"/>
                <w:sz w:val="24"/>
                <w:szCs w:val="24"/>
              </w:rPr>
            </w:pPr>
          </w:p>
        </w:tc>
      </w:tr>
      <w:tr w14:paraId="286A8A2F">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74B73BF">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2079999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88D6E0E">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FC2686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3,219.17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1E97F52">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AA850E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3,219.17 </w:t>
            </w: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19CE43A3">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0B972DB5">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71E4BC8D">
            <w:pPr>
              <w:widowControl/>
              <w:shd w:val="clear"/>
              <w:jc w:val="right"/>
              <w:rPr>
                <w:rFonts w:ascii="Times New Roman" w:hAnsi="Times New Roman" w:eastAsia="仿宋_GB2312" w:cs="Times New Roman"/>
                <w:kern w:val="0"/>
                <w:sz w:val="24"/>
                <w:szCs w:val="24"/>
              </w:rPr>
            </w:pPr>
          </w:p>
        </w:tc>
      </w:tr>
      <w:tr w14:paraId="21773430">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A539C3E">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4E216A4">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034382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5,569.99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2292AB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5,569.99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7C05DBC">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3DB6FAFD">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5CA5E6F6">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6AD53421">
            <w:pPr>
              <w:widowControl/>
              <w:shd w:val="clear"/>
              <w:jc w:val="right"/>
              <w:rPr>
                <w:rFonts w:ascii="Times New Roman" w:hAnsi="Times New Roman" w:eastAsia="仿宋_GB2312" w:cs="Times New Roman"/>
                <w:kern w:val="0"/>
                <w:sz w:val="24"/>
                <w:szCs w:val="24"/>
              </w:rPr>
            </w:pPr>
          </w:p>
        </w:tc>
      </w:tr>
      <w:tr w14:paraId="501A930F">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330DFE7">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28E4906">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5049F7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5,440.77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F1DBF1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5,440.77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AA09B69">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097F88D5">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12C3F3F8">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699ADA51">
            <w:pPr>
              <w:widowControl/>
              <w:shd w:val="clear"/>
              <w:jc w:val="right"/>
              <w:rPr>
                <w:rFonts w:ascii="Times New Roman" w:hAnsi="Times New Roman" w:eastAsia="仿宋_GB2312" w:cs="Times New Roman"/>
                <w:kern w:val="0"/>
                <w:sz w:val="24"/>
                <w:szCs w:val="24"/>
              </w:rPr>
            </w:pPr>
          </w:p>
        </w:tc>
      </w:tr>
      <w:tr w14:paraId="43D9EF95">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F2A21D4">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2080501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5B11195">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行政单位离退休</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5C27BC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673.12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7F908E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673.12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78B164D">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0FC08785">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2CC6BBC1">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4B102ACD">
            <w:pPr>
              <w:widowControl/>
              <w:shd w:val="clear"/>
              <w:jc w:val="right"/>
              <w:rPr>
                <w:rFonts w:ascii="Times New Roman" w:hAnsi="Times New Roman" w:eastAsia="仿宋_GB2312" w:cs="Times New Roman"/>
                <w:kern w:val="0"/>
                <w:sz w:val="24"/>
                <w:szCs w:val="24"/>
              </w:rPr>
            </w:pPr>
          </w:p>
        </w:tc>
      </w:tr>
      <w:tr w14:paraId="3ACD86B4">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FCCA2D0">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2080502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F6041F1">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事业单位离退休</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34A118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1,753.84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B22FF5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1,753.84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02851CD">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26DC42C4">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00FA3450">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732673E6">
            <w:pPr>
              <w:widowControl/>
              <w:shd w:val="clear"/>
              <w:jc w:val="right"/>
              <w:rPr>
                <w:rFonts w:ascii="Times New Roman" w:hAnsi="Times New Roman" w:eastAsia="仿宋_GB2312" w:cs="Times New Roman"/>
                <w:kern w:val="0"/>
                <w:sz w:val="24"/>
                <w:szCs w:val="24"/>
              </w:rPr>
            </w:pPr>
          </w:p>
        </w:tc>
      </w:tr>
      <w:tr w14:paraId="416A11FF">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FF31B62">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E980294">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3D9911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2,618.04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717966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2,618.04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73EFBDB">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4C580945">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27F2FEAC">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6119AE21">
            <w:pPr>
              <w:widowControl/>
              <w:shd w:val="clear"/>
              <w:jc w:val="right"/>
              <w:rPr>
                <w:rFonts w:ascii="Times New Roman" w:hAnsi="Times New Roman" w:eastAsia="仿宋_GB2312" w:cs="Times New Roman"/>
                <w:kern w:val="0"/>
                <w:sz w:val="24"/>
                <w:szCs w:val="24"/>
              </w:rPr>
            </w:pPr>
          </w:p>
        </w:tc>
      </w:tr>
      <w:tr w14:paraId="06AF161C">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4FE55C6">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2080506</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5C370DE">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机关事业单位职业年金缴费支出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6736CC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395.76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ED3FE0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395.76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D265434">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77CFB09F">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417CE031">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0AEE9D65">
            <w:pPr>
              <w:widowControl/>
              <w:shd w:val="clear"/>
              <w:jc w:val="right"/>
              <w:rPr>
                <w:rFonts w:ascii="Times New Roman" w:hAnsi="Times New Roman" w:eastAsia="仿宋_GB2312" w:cs="Times New Roman"/>
                <w:kern w:val="0"/>
                <w:sz w:val="24"/>
                <w:szCs w:val="24"/>
              </w:rPr>
            </w:pPr>
          </w:p>
        </w:tc>
      </w:tr>
      <w:tr w14:paraId="1DAEDD15">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9C331D9">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87F81E5">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5EB6A4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129.22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0CE3379">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129.22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DAF066C">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55908941">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3F5530B5">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1159553D">
            <w:pPr>
              <w:widowControl/>
              <w:shd w:val="clear"/>
              <w:jc w:val="right"/>
              <w:rPr>
                <w:rFonts w:ascii="Times New Roman" w:hAnsi="Times New Roman" w:eastAsia="仿宋_GB2312" w:cs="Times New Roman"/>
                <w:kern w:val="0"/>
                <w:sz w:val="24"/>
                <w:szCs w:val="24"/>
              </w:rPr>
            </w:pPr>
          </w:p>
        </w:tc>
      </w:tr>
      <w:tr w14:paraId="472E42D2">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9C1BAF8">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B524FFC">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死亡抚恤</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15ADC6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129.22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3579C1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129.22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EB2F473">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486569A7">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61B173A0">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12E7EECB">
            <w:pPr>
              <w:widowControl/>
              <w:shd w:val="clear"/>
              <w:jc w:val="right"/>
              <w:rPr>
                <w:rFonts w:ascii="Times New Roman" w:hAnsi="Times New Roman" w:eastAsia="仿宋_GB2312" w:cs="Times New Roman"/>
                <w:kern w:val="0"/>
                <w:sz w:val="24"/>
                <w:szCs w:val="24"/>
              </w:rPr>
            </w:pPr>
          </w:p>
        </w:tc>
      </w:tr>
      <w:tr w14:paraId="12CCD9F7">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E580591">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9EBA715">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B33977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357.49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D669C4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357.49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D24FDBA">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22ED9B3A">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246643B8">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36B03C68">
            <w:pPr>
              <w:widowControl/>
              <w:shd w:val="clear"/>
              <w:jc w:val="right"/>
              <w:rPr>
                <w:rFonts w:ascii="Times New Roman" w:hAnsi="Times New Roman" w:eastAsia="仿宋_GB2312" w:cs="Times New Roman"/>
                <w:kern w:val="0"/>
                <w:sz w:val="24"/>
                <w:szCs w:val="24"/>
              </w:rPr>
            </w:pPr>
          </w:p>
        </w:tc>
      </w:tr>
      <w:tr w14:paraId="395F84A4">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C91E503">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40D475A">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卫生健康管理事务</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8C4C74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4.49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26523E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4.49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8039857">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0001C9AB">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7AB93241">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33CFDF2E">
            <w:pPr>
              <w:widowControl/>
              <w:shd w:val="clear"/>
              <w:jc w:val="right"/>
              <w:rPr>
                <w:rFonts w:ascii="Times New Roman" w:hAnsi="Times New Roman" w:eastAsia="仿宋_GB2312" w:cs="Times New Roman"/>
                <w:kern w:val="0"/>
                <w:sz w:val="24"/>
                <w:szCs w:val="24"/>
              </w:rPr>
            </w:pPr>
          </w:p>
        </w:tc>
      </w:tr>
      <w:tr w14:paraId="71BBD8FB">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20FBF30">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2100102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C43369E">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F6CD8D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4.49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2318BD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4.49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60C39CE">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2BAADC29">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0B8499FA">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71FC4AB1">
            <w:pPr>
              <w:widowControl/>
              <w:shd w:val="clear"/>
              <w:jc w:val="right"/>
              <w:rPr>
                <w:rFonts w:ascii="Times New Roman" w:hAnsi="Times New Roman" w:eastAsia="仿宋_GB2312" w:cs="Times New Roman"/>
                <w:kern w:val="0"/>
                <w:sz w:val="24"/>
                <w:szCs w:val="24"/>
              </w:rPr>
            </w:pPr>
          </w:p>
        </w:tc>
      </w:tr>
      <w:tr w14:paraId="50F7B62A">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E63795B">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DB54998">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98F072F">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353.00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E18451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353.00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3EC7FF5">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619D3985">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179EB397">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3190AEE0">
            <w:pPr>
              <w:widowControl/>
              <w:shd w:val="clear"/>
              <w:jc w:val="right"/>
              <w:rPr>
                <w:rFonts w:ascii="Times New Roman" w:hAnsi="Times New Roman" w:eastAsia="仿宋_GB2312" w:cs="Times New Roman"/>
                <w:kern w:val="0"/>
                <w:sz w:val="24"/>
                <w:szCs w:val="24"/>
              </w:rPr>
            </w:pPr>
          </w:p>
        </w:tc>
      </w:tr>
      <w:tr w14:paraId="30518A83">
        <w:tblPrEx>
          <w:tblCellMar>
            <w:top w:w="0" w:type="dxa"/>
            <w:left w:w="108" w:type="dxa"/>
            <w:bottom w:w="0" w:type="dxa"/>
            <w:right w:w="108" w:type="dxa"/>
          </w:tblCellMar>
        </w:tblPrEx>
        <w:trPr>
          <w:trHeight w:val="624"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1F8237B">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B1186E7">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7FC5D5F">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26.66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868B7C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26.66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99555D2">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tcPr>
          <w:p w14:paraId="67ED7844">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61ACB46F">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4EA40D25">
            <w:pPr>
              <w:widowControl/>
              <w:shd w:val="clear"/>
              <w:jc w:val="right"/>
              <w:rPr>
                <w:rFonts w:ascii="Times New Roman" w:hAnsi="Times New Roman" w:eastAsia="仿宋_GB2312" w:cs="Times New Roman"/>
                <w:kern w:val="0"/>
                <w:sz w:val="24"/>
                <w:szCs w:val="24"/>
              </w:rPr>
            </w:pPr>
          </w:p>
        </w:tc>
      </w:tr>
      <w:tr w14:paraId="2B6C6884">
        <w:tblPrEx>
          <w:tblCellMar>
            <w:top w:w="0" w:type="dxa"/>
            <w:left w:w="108" w:type="dxa"/>
            <w:bottom w:w="0" w:type="dxa"/>
            <w:right w:w="108" w:type="dxa"/>
          </w:tblCellMar>
        </w:tblPrEx>
        <w:trPr>
          <w:trHeight w:val="624"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1E67848">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2101102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F85011B">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事业单位医疗</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6BEC43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100.65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474CAE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100.65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72A8232">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tcPr>
          <w:p w14:paraId="1FA39467">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3BE9BA80">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7A05E10C">
            <w:pPr>
              <w:widowControl/>
              <w:shd w:val="clear"/>
              <w:jc w:val="right"/>
              <w:rPr>
                <w:rFonts w:ascii="Times New Roman" w:hAnsi="Times New Roman" w:eastAsia="仿宋_GB2312" w:cs="Times New Roman"/>
                <w:kern w:val="0"/>
                <w:sz w:val="24"/>
                <w:szCs w:val="24"/>
              </w:rPr>
            </w:pPr>
          </w:p>
        </w:tc>
      </w:tr>
      <w:tr w14:paraId="7CED3111">
        <w:tblPrEx>
          <w:tblCellMar>
            <w:top w:w="0" w:type="dxa"/>
            <w:left w:w="108" w:type="dxa"/>
            <w:bottom w:w="0" w:type="dxa"/>
            <w:right w:w="108" w:type="dxa"/>
          </w:tblCellMar>
        </w:tblPrEx>
        <w:trPr>
          <w:trHeight w:val="624"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038504A">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2101103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441A83C">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公务员医疗补助</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883B19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225.70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C0C1DB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225.70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C83F9EE">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7DF6EDD9">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6533F20E">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248121B1">
            <w:pPr>
              <w:widowControl/>
              <w:shd w:val="clear"/>
              <w:jc w:val="right"/>
              <w:rPr>
                <w:rFonts w:ascii="Times New Roman" w:hAnsi="Times New Roman" w:eastAsia="仿宋_GB2312" w:cs="Times New Roman"/>
                <w:kern w:val="0"/>
                <w:sz w:val="24"/>
                <w:szCs w:val="24"/>
              </w:rPr>
            </w:pPr>
          </w:p>
        </w:tc>
      </w:tr>
      <w:tr w14:paraId="31AD48CB">
        <w:tblPrEx>
          <w:tblCellMar>
            <w:top w:w="0" w:type="dxa"/>
            <w:left w:w="108" w:type="dxa"/>
            <w:bottom w:w="0" w:type="dxa"/>
            <w:right w:w="108" w:type="dxa"/>
          </w:tblCellMar>
        </w:tblPrEx>
        <w:trPr>
          <w:trHeight w:val="624"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6C9F817">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A241639">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7576C4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3,181.86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17D669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3,172.83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AAAD69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9.04 </w:t>
            </w: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02499242">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137D6656">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210CC8FB">
            <w:pPr>
              <w:widowControl/>
              <w:shd w:val="clear"/>
              <w:jc w:val="right"/>
              <w:rPr>
                <w:rFonts w:ascii="Times New Roman" w:hAnsi="Times New Roman" w:eastAsia="仿宋_GB2312" w:cs="Times New Roman"/>
                <w:kern w:val="0"/>
                <w:sz w:val="24"/>
                <w:szCs w:val="24"/>
              </w:rPr>
            </w:pPr>
          </w:p>
        </w:tc>
      </w:tr>
      <w:tr w14:paraId="392D5254">
        <w:tblPrEx>
          <w:tblCellMar>
            <w:top w:w="0" w:type="dxa"/>
            <w:left w:w="108" w:type="dxa"/>
            <w:bottom w:w="0" w:type="dxa"/>
            <w:right w:w="108" w:type="dxa"/>
          </w:tblCellMar>
        </w:tblPrEx>
        <w:trPr>
          <w:trHeight w:val="624"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04B557B">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49AD0B2">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853810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3,181.86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0A7E11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3,172.83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33BB18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9.04 </w:t>
            </w: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1108ADD6">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740D4DD7">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34836755">
            <w:pPr>
              <w:widowControl/>
              <w:shd w:val="clear"/>
              <w:jc w:val="right"/>
              <w:rPr>
                <w:rFonts w:ascii="Times New Roman" w:hAnsi="Times New Roman" w:eastAsia="仿宋_GB2312" w:cs="Times New Roman"/>
                <w:kern w:val="0"/>
                <w:sz w:val="24"/>
                <w:szCs w:val="24"/>
              </w:rPr>
            </w:pPr>
          </w:p>
        </w:tc>
      </w:tr>
      <w:tr w14:paraId="34EEA375">
        <w:tblPrEx>
          <w:tblCellMar>
            <w:top w:w="0" w:type="dxa"/>
            <w:left w:w="108" w:type="dxa"/>
            <w:bottom w:w="0" w:type="dxa"/>
            <w:right w:w="108" w:type="dxa"/>
          </w:tblCellMar>
        </w:tblPrEx>
        <w:trPr>
          <w:trHeight w:val="624"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5884295">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AD435B5">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12BC5F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2,430.96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3F17FCF">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2,421.93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E481029">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9.04 </w:t>
            </w: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74F4C514">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14:paraId="0796ED32">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55F066C8">
            <w:pPr>
              <w:widowControl/>
              <w:shd w:val="clear"/>
              <w:jc w:val="right"/>
              <w:rPr>
                <w:rFonts w:ascii="Times New Roman" w:hAnsi="Times New Roman" w:eastAsia="仿宋_GB2312" w:cs="Times New Roman"/>
                <w:kern w:val="0"/>
                <w:sz w:val="24"/>
                <w:szCs w:val="24"/>
              </w:rPr>
            </w:pPr>
          </w:p>
        </w:tc>
      </w:tr>
      <w:tr w14:paraId="1B70CAB2">
        <w:tblPrEx>
          <w:tblCellMar>
            <w:top w:w="0" w:type="dxa"/>
            <w:left w:w="108" w:type="dxa"/>
            <w:bottom w:w="0" w:type="dxa"/>
            <w:right w:w="108" w:type="dxa"/>
          </w:tblCellMar>
        </w:tblPrEx>
        <w:trPr>
          <w:trHeight w:val="624"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FEF6A93">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2210203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98E4005">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购房补贴</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50A2D3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750.90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53EBF7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750.90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9392866">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tcPr>
          <w:p w14:paraId="46613F6E">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008DA85E">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0D8EF020">
            <w:pPr>
              <w:widowControl/>
              <w:shd w:val="clear"/>
              <w:jc w:val="right"/>
              <w:rPr>
                <w:rFonts w:ascii="Times New Roman" w:hAnsi="Times New Roman" w:eastAsia="仿宋_GB2312" w:cs="Times New Roman"/>
                <w:kern w:val="0"/>
                <w:sz w:val="24"/>
                <w:szCs w:val="24"/>
              </w:rPr>
            </w:pPr>
          </w:p>
        </w:tc>
      </w:tr>
      <w:tr w14:paraId="7F404F23">
        <w:tblPrEx>
          <w:tblCellMar>
            <w:top w:w="0" w:type="dxa"/>
            <w:left w:w="108" w:type="dxa"/>
            <w:bottom w:w="0" w:type="dxa"/>
            <w:right w:w="108" w:type="dxa"/>
          </w:tblCellMar>
        </w:tblPrEx>
        <w:trPr>
          <w:trHeight w:val="624"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9055B24">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5CE704F">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73E920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4,724.37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26686B3">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13C963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4,724.37 </w:t>
            </w:r>
          </w:p>
        </w:tc>
        <w:tc>
          <w:tcPr>
            <w:tcW w:w="0" w:type="auto"/>
            <w:tcBorders>
              <w:top w:val="single" w:color="auto" w:sz="4" w:space="0"/>
              <w:left w:val="single" w:color="auto" w:sz="4" w:space="0"/>
              <w:bottom w:val="single" w:color="auto" w:sz="4" w:space="0"/>
              <w:right w:val="single" w:color="auto" w:sz="4" w:space="0"/>
            </w:tcBorders>
          </w:tcPr>
          <w:p w14:paraId="69BCDF81">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12481C99">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76049F49">
            <w:pPr>
              <w:widowControl/>
              <w:shd w:val="clear"/>
              <w:jc w:val="right"/>
              <w:rPr>
                <w:rFonts w:ascii="Times New Roman" w:hAnsi="Times New Roman" w:eastAsia="仿宋_GB2312" w:cs="Times New Roman"/>
                <w:kern w:val="0"/>
                <w:sz w:val="24"/>
                <w:szCs w:val="24"/>
              </w:rPr>
            </w:pPr>
          </w:p>
        </w:tc>
      </w:tr>
      <w:tr w14:paraId="10F981EA">
        <w:tblPrEx>
          <w:tblCellMar>
            <w:top w:w="0" w:type="dxa"/>
            <w:left w:w="108" w:type="dxa"/>
            <w:bottom w:w="0" w:type="dxa"/>
            <w:right w:w="108" w:type="dxa"/>
          </w:tblCellMar>
        </w:tblPrEx>
        <w:trPr>
          <w:trHeight w:val="624"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83F2A1D">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22998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6691DE6">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超长期特别国债安排的其他支出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6AC0109">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4,724.37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5A744C0">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C2096E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4,724.37 </w:t>
            </w:r>
          </w:p>
        </w:tc>
        <w:tc>
          <w:tcPr>
            <w:tcW w:w="0" w:type="auto"/>
            <w:tcBorders>
              <w:top w:val="single" w:color="auto" w:sz="4" w:space="0"/>
              <w:left w:val="single" w:color="auto" w:sz="4" w:space="0"/>
              <w:bottom w:val="single" w:color="auto" w:sz="4" w:space="0"/>
              <w:right w:val="single" w:color="auto" w:sz="4" w:space="0"/>
            </w:tcBorders>
          </w:tcPr>
          <w:p w14:paraId="5ADA1CB2">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14D8010A">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6DA25014">
            <w:pPr>
              <w:widowControl/>
              <w:shd w:val="clear"/>
              <w:jc w:val="right"/>
              <w:rPr>
                <w:rFonts w:ascii="Times New Roman" w:hAnsi="Times New Roman" w:eastAsia="仿宋_GB2312" w:cs="Times New Roman"/>
                <w:kern w:val="0"/>
                <w:sz w:val="24"/>
                <w:szCs w:val="24"/>
              </w:rPr>
            </w:pPr>
          </w:p>
        </w:tc>
      </w:tr>
      <w:tr w14:paraId="0A3BAF42">
        <w:tblPrEx>
          <w:tblCellMar>
            <w:top w:w="0" w:type="dxa"/>
            <w:left w:w="108" w:type="dxa"/>
            <w:bottom w:w="0" w:type="dxa"/>
            <w:right w:w="108" w:type="dxa"/>
          </w:tblCellMar>
        </w:tblPrEx>
        <w:trPr>
          <w:trHeight w:val="624"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D70B8EC">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2299899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C51FA26">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C515DC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4,724.37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D323DE5">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882F7D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4,724.37 </w:t>
            </w:r>
          </w:p>
        </w:tc>
        <w:tc>
          <w:tcPr>
            <w:tcW w:w="0" w:type="auto"/>
            <w:tcBorders>
              <w:top w:val="single" w:color="auto" w:sz="4" w:space="0"/>
              <w:left w:val="single" w:color="auto" w:sz="4" w:space="0"/>
              <w:bottom w:val="single" w:color="auto" w:sz="4" w:space="0"/>
              <w:right w:val="single" w:color="auto" w:sz="4" w:space="0"/>
            </w:tcBorders>
          </w:tcPr>
          <w:p w14:paraId="2E1E51E8">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21A0210B">
            <w:pPr>
              <w:widowControl/>
              <w:shd w:val="clear"/>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11B4E359">
            <w:pPr>
              <w:widowControl/>
              <w:shd w:val="clear"/>
              <w:jc w:val="right"/>
              <w:rPr>
                <w:rFonts w:ascii="Times New Roman" w:hAnsi="Times New Roman" w:eastAsia="仿宋_GB2312" w:cs="Times New Roman"/>
                <w:kern w:val="0"/>
                <w:sz w:val="24"/>
                <w:szCs w:val="24"/>
              </w:rPr>
            </w:pPr>
          </w:p>
        </w:tc>
      </w:tr>
    </w:tbl>
    <w:p w14:paraId="78708FB1">
      <w:pPr>
        <w:widowControl/>
        <w:shd w:val="clear"/>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1083D4BD">
      <w:pPr>
        <w:widowControl/>
        <w:shd w:val="clear"/>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1708423B">
      <w:pPr>
        <w:widowControl/>
        <w:shd w:val="clear"/>
        <w:spacing w:line="400" w:lineRule="exact"/>
        <w:jc w:val="center"/>
        <w:textAlignment w:val="center"/>
        <w:rPr>
          <w:rFonts w:hint="eastAsia" w:ascii="Times New Roman" w:hAnsi="Times New Roman" w:eastAsia="黑体" w:cs="Times New Roman"/>
          <w:color w:val="000000"/>
          <w:kern w:val="0"/>
          <w:sz w:val="32"/>
          <w:szCs w:val="32"/>
          <w:lang w:val="en-US" w:eastAsia="zh-CN"/>
        </w:rPr>
      </w:pPr>
      <w:r>
        <w:rPr>
          <w:rFonts w:hint="eastAsia" w:ascii="Times New Roman" w:hAnsi="Times New Roman" w:eastAsia="黑体" w:cs="Times New Roman"/>
          <w:color w:val="000000"/>
          <w:kern w:val="0"/>
          <w:sz w:val="32"/>
          <w:szCs w:val="32"/>
          <w:lang w:val="en-US" w:eastAsia="zh-CN"/>
        </w:rPr>
        <w:t xml:space="preserve">  </w:t>
      </w:r>
    </w:p>
    <w:p w14:paraId="400BAB0C">
      <w:pPr>
        <w:widowControl/>
        <w:shd w:val="clear"/>
        <w:spacing w:line="400" w:lineRule="exact"/>
        <w:jc w:val="center"/>
        <w:textAlignment w:val="center"/>
        <w:rPr>
          <w:rFonts w:hint="eastAsia" w:ascii="Times New Roman" w:hAnsi="Times New Roman" w:eastAsia="黑体" w:cs="Times New Roman"/>
          <w:color w:val="000000"/>
          <w:kern w:val="0"/>
          <w:sz w:val="32"/>
          <w:szCs w:val="32"/>
          <w:lang w:val="en-US" w:eastAsia="zh-CN"/>
        </w:rPr>
      </w:pPr>
    </w:p>
    <w:p w14:paraId="1E76F1A0">
      <w:pPr>
        <w:widowControl/>
        <w:shd w:val="clear"/>
        <w:spacing w:line="400" w:lineRule="exact"/>
        <w:jc w:val="center"/>
        <w:textAlignment w:val="center"/>
        <w:rPr>
          <w:rFonts w:hint="eastAsia" w:ascii="Times New Roman" w:hAnsi="Times New Roman" w:eastAsia="黑体" w:cs="Times New Roman"/>
          <w:color w:val="000000"/>
          <w:kern w:val="0"/>
          <w:sz w:val="32"/>
          <w:szCs w:val="32"/>
          <w:lang w:val="en-US" w:eastAsia="zh-CN"/>
        </w:rPr>
      </w:pPr>
    </w:p>
    <w:p w14:paraId="49A97FDD">
      <w:pPr>
        <w:widowControl/>
        <w:shd w:val="clear"/>
        <w:spacing w:line="400" w:lineRule="exact"/>
        <w:jc w:val="center"/>
        <w:textAlignment w:val="center"/>
        <w:rPr>
          <w:rFonts w:hint="eastAsia" w:ascii="Times New Roman" w:hAnsi="Times New Roman" w:eastAsia="黑体" w:cs="Times New Roman"/>
          <w:color w:val="000000"/>
          <w:kern w:val="0"/>
          <w:sz w:val="32"/>
          <w:szCs w:val="32"/>
          <w:lang w:val="en-US" w:eastAsia="zh-CN"/>
        </w:rPr>
      </w:pPr>
    </w:p>
    <w:p w14:paraId="336A89A6">
      <w:pPr>
        <w:widowControl/>
        <w:shd w:val="clear"/>
        <w:spacing w:line="400" w:lineRule="exact"/>
        <w:jc w:val="center"/>
        <w:textAlignment w:val="center"/>
        <w:rPr>
          <w:rFonts w:hint="default" w:ascii="Times New Roman" w:hAnsi="Times New Roman" w:eastAsia="黑体" w:cs="Times New Roman"/>
          <w:color w:val="000000"/>
          <w:kern w:val="0"/>
          <w:sz w:val="32"/>
          <w:szCs w:val="32"/>
          <w:lang w:val="en-US" w:eastAsia="zh-CN"/>
        </w:rPr>
      </w:pPr>
    </w:p>
    <w:p w14:paraId="0F62CFDE">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44A62EE8">
      <w:pPr>
        <w:widowControl/>
        <w:shd w:val="clear"/>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6F4F15B6">
      <w:pPr>
        <w:widowControl/>
        <w:shd w:val="clear"/>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湖南省文化和旅游厅</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0" w:type="auto"/>
        <w:jc w:val="center"/>
        <w:tblLayout w:type="autofit"/>
        <w:tblCellMar>
          <w:top w:w="0" w:type="dxa"/>
          <w:left w:w="108" w:type="dxa"/>
          <w:bottom w:w="0" w:type="dxa"/>
          <w:right w:w="108" w:type="dxa"/>
        </w:tblCellMar>
      </w:tblPr>
      <w:tblGrid>
        <w:gridCol w:w="3316"/>
        <w:gridCol w:w="616"/>
        <w:gridCol w:w="1206"/>
        <w:gridCol w:w="3516"/>
        <w:gridCol w:w="616"/>
        <w:gridCol w:w="1206"/>
        <w:gridCol w:w="1467"/>
        <w:gridCol w:w="1332"/>
        <w:gridCol w:w="945"/>
      </w:tblGrid>
      <w:tr w14:paraId="25FC8B59">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D59C612">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3DE12E8C">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7A0888A3">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B78CBB2">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78DDA1DA">
            <w:pPr>
              <w:widowControl/>
              <w:shd w:val="clear"/>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26283ADC">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5FBD375E">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749A87FC">
            <w:pPr>
              <w:widowControl/>
              <w:shd w:val="clear"/>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32877B51">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4D9B9A29">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35B98986">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378F9B19">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052730FF">
        <w:tblPrEx>
          <w:tblCellMar>
            <w:top w:w="0" w:type="dxa"/>
            <w:left w:w="108" w:type="dxa"/>
            <w:bottom w:w="0" w:type="dxa"/>
            <w:right w:w="108" w:type="dxa"/>
          </w:tblCellMar>
        </w:tblPrEx>
        <w:trPr>
          <w:trHeight w:val="37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664B334">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528A235B">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474BBBAB">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2DA5DD96">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63D5CB5E">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15275E29">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538839B6">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43F6AA8E">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07291710">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42F280A8">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D1BD03A">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6F63D11">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A66D4E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113,780.26 </w:t>
            </w:r>
          </w:p>
        </w:tc>
        <w:tc>
          <w:tcPr>
            <w:tcW w:w="2636" w:type="dxa"/>
            <w:tcBorders>
              <w:top w:val="nil"/>
              <w:left w:val="single" w:color="auto" w:sz="4" w:space="0"/>
              <w:bottom w:val="single" w:color="auto" w:sz="4" w:space="0"/>
              <w:right w:val="single" w:color="auto" w:sz="4" w:space="0"/>
            </w:tcBorders>
            <w:shd w:val="clear" w:color="auto" w:fill="auto"/>
            <w:noWrap/>
            <w:vAlign w:val="center"/>
          </w:tcPr>
          <w:p w14:paraId="6AE2228C">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64ECB61C">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nil"/>
              <w:left w:val="nil"/>
              <w:bottom w:val="single" w:color="auto" w:sz="4" w:space="0"/>
              <w:right w:val="single" w:color="auto" w:sz="4" w:space="0"/>
            </w:tcBorders>
            <w:shd w:val="clear" w:color="auto" w:fill="auto"/>
            <w:noWrap/>
            <w:vAlign w:val="center"/>
          </w:tcPr>
          <w:p w14:paraId="2B761E6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194.24 </w:t>
            </w:r>
          </w:p>
        </w:tc>
        <w:tc>
          <w:tcPr>
            <w:tcW w:w="0" w:type="auto"/>
            <w:tcBorders>
              <w:top w:val="nil"/>
              <w:left w:val="nil"/>
              <w:bottom w:val="single" w:color="auto" w:sz="4" w:space="0"/>
              <w:right w:val="single" w:color="auto" w:sz="4" w:space="0"/>
            </w:tcBorders>
            <w:shd w:val="clear" w:color="auto" w:fill="auto"/>
            <w:noWrap/>
            <w:vAlign w:val="center"/>
          </w:tcPr>
          <w:p w14:paraId="56AD848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194.24 </w:t>
            </w:r>
          </w:p>
        </w:tc>
        <w:tc>
          <w:tcPr>
            <w:tcW w:w="0" w:type="auto"/>
            <w:tcBorders>
              <w:top w:val="nil"/>
              <w:left w:val="nil"/>
              <w:bottom w:val="single" w:color="auto" w:sz="4" w:space="0"/>
              <w:right w:val="single" w:color="auto" w:sz="4" w:space="0"/>
            </w:tcBorders>
            <w:shd w:val="clear" w:color="auto" w:fill="auto"/>
            <w:noWrap/>
            <w:vAlign w:val="center"/>
          </w:tcPr>
          <w:p w14:paraId="27D1A280">
            <w:pPr>
              <w:shd w:val="clear"/>
              <w:jc w:val="right"/>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single" w:color="auto" w:sz="4" w:space="0"/>
            </w:tcBorders>
            <w:shd w:val="clear" w:color="auto" w:fill="auto"/>
            <w:noWrap/>
            <w:vAlign w:val="center"/>
          </w:tcPr>
          <w:p w14:paraId="37A0B51A">
            <w:pPr>
              <w:shd w:val="clear"/>
              <w:jc w:val="right"/>
              <w:rPr>
                <w:rFonts w:hint="eastAsia" w:ascii="宋体" w:hAnsi="宋体" w:eastAsia="宋体" w:cs="宋体"/>
                <w:i w:val="0"/>
                <w:iCs w:val="0"/>
                <w:color w:val="000000"/>
                <w:sz w:val="22"/>
                <w:szCs w:val="22"/>
                <w:u w:val="none"/>
              </w:rPr>
            </w:pPr>
          </w:p>
        </w:tc>
      </w:tr>
      <w:tr w14:paraId="777DA5B2">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2BEB31E">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1F73B6E">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2BD8FB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986.00 </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41BA5D39">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1D587581">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nil"/>
              <w:left w:val="nil"/>
              <w:bottom w:val="single" w:color="auto" w:sz="4" w:space="0"/>
              <w:right w:val="single" w:color="auto" w:sz="4" w:space="0"/>
            </w:tcBorders>
            <w:shd w:val="clear" w:color="auto" w:fill="auto"/>
            <w:noWrap/>
            <w:vAlign w:val="center"/>
          </w:tcPr>
          <w:p w14:paraId="7172F734">
            <w:pPr>
              <w:shd w:val="clear"/>
              <w:jc w:val="right"/>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single" w:color="auto" w:sz="4" w:space="0"/>
            </w:tcBorders>
            <w:shd w:val="clear" w:color="auto" w:fill="auto"/>
            <w:noWrap/>
            <w:vAlign w:val="center"/>
          </w:tcPr>
          <w:p w14:paraId="3A16695B">
            <w:pPr>
              <w:shd w:val="clear"/>
              <w:jc w:val="right"/>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single" w:color="auto" w:sz="4" w:space="0"/>
            </w:tcBorders>
            <w:shd w:val="clear" w:color="auto" w:fill="auto"/>
            <w:noWrap/>
            <w:vAlign w:val="center"/>
          </w:tcPr>
          <w:p w14:paraId="482D5569">
            <w:pPr>
              <w:shd w:val="clear"/>
              <w:jc w:val="right"/>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single" w:color="auto" w:sz="4" w:space="0"/>
            </w:tcBorders>
            <w:shd w:val="clear" w:color="auto" w:fill="auto"/>
            <w:noWrap/>
            <w:vAlign w:val="center"/>
          </w:tcPr>
          <w:p w14:paraId="2304B66B">
            <w:pPr>
              <w:shd w:val="clear"/>
              <w:jc w:val="right"/>
              <w:rPr>
                <w:rFonts w:hint="eastAsia" w:ascii="宋体" w:hAnsi="宋体" w:eastAsia="宋体" w:cs="宋体"/>
                <w:i w:val="0"/>
                <w:iCs w:val="0"/>
                <w:color w:val="000000"/>
                <w:sz w:val="22"/>
                <w:szCs w:val="22"/>
                <w:u w:val="none"/>
              </w:rPr>
            </w:pPr>
          </w:p>
        </w:tc>
      </w:tr>
      <w:tr w14:paraId="477F5B4B">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AED9029">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3CABC82">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52460F9">
            <w:pPr>
              <w:shd w:val="clear"/>
              <w:jc w:val="right"/>
              <w:rPr>
                <w:rFonts w:hint="eastAsia" w:ascii="宋体" w:hAnsi="宋体" w:eastAsia="宋体" w:cs="宋体"/>
                <w:i w:val="0"/>
                <w:iCs w:val="0"/>
                <w:color w:val="000000"/>
                <w:sz w:val="22"/>
                <w:szCs w:val="22"/>
                <w:u w:val="none"/>
              </w:rPr>
            </w:pP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4B27D552">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4AFF87A9">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nil"/>
              <w:left w:val="nil"/>
              <w:bottom w:val="single" w:color="auto" w:sz="4" w:space="0"/>
              <w:right w:val="single" w:color="auto" w:sz="4" w:space="0"/>
            </w:tcBorders>
            <w:shd w:val="clear" w:color="auto" w:fill="auto"/>
            <w:noWrap/>
            <w:vAlign w:val="center"/>
          </w:tcPr>
          <w:p w14:paraId="1E7E3484">
            <w:pPr>
              <w:shd w:val="clear"/>
              <w:jc w:val="right"/>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single" w:color="auto" w:sz="4" w:space="0"/>
            </w:tcBorders>
            <w:shd w:val="clear" w:color="auto" w:fill="auto"/>
            <w:noWrap/>
            <w:vAlign w:val="center"/>
          </w:tcPr>
          <w:p w14:paraId="2A87CD38">
            <w:pPr>
              <w:shd w:val="clear"/>
              <w:jc w:val="right"/>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single" w:color="auto" w:sz="4" w:space="0"/>
            </w:tcBorders>
            <w:shd w:val="clear" w:color="auto" w:fill="auto"/>
            <w:noWrap/>
            <w:vAlign w:val="center"/>
          </w:tcPr>
          <w:p w14:paraId="745F3619">
            <w:pPr>
              <w:shd w:val="clear"/>
              <w:jc w:val="right"/>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single" w:color="auto" w:sz="4" w:space="0"/>
            </w:tcBorders>
            <w:shd w:val="clear" w:color="auto" w:fill="auto"/>
            <w:noWrap/>
            <w:vAlign w:val="center"/>
          </w:tcPr>
          <w:p w14:paraId="2640ABAD">
            <w:pPr>
              <w:shd w:val="clear"/>
              <w:jc w:val="right"/>
              <w:rPr>
                <w:rFonts w:hint="eastAsia" w:ascii="宋体" w:hAnsi="宋体" w:eastAsia="宋体" w:cs="宋体"/>
                <w:i w:val="0"/>
                <w:iCs w:val="0"/>
                <w:color w:val="000000"/>
                <w:sz w:val="22"/>
                <w:szCs w:val="22"/>
                <w:u w:val="none"/>
              </w:rPr>
            </w:pPr>
          </w:p>
        </w:tc>
      </w:tr>
      <w:tr w14:paraId="1899BC1D">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B73F89B">
            <w:pPr>
              <w:shd w:val="clea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B56FCBD">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23AF041">
            <w:pPr>
              <w:shd w:val="clear"/>
              <w:jc w:val="right"/>
              <w:rPr>
                <w:rFonts w:hint="eastAsia" w:ascii="宋体" w:hAnsi="宋体" w:eastAsia="宋体" w:cs="宋体"/>
                <w:i w:val="0"/>
                <w:iCs w:val="0"/>
                <w:color w:val="000000"/>
                <w:sz w:val="22"/>
                <w:szCs w:val="22"/>
                <w:u w:val="none"/>
              </w:rPr>
            </w:pP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38E8EEDF">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411E0BE9">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nil"/>
              <w:left w:val="nil"/>
              <w:bottom w:val="single" w:color="auto" w:sz="4" w:space="0"/>
              <w:right w:val="single" w:color="auto" w:sz="4" w:space="0"/>
            </w:tcBorders>
            <w:shd w:val="clear" w:color="auto" w:fill="auto"/>
            <w:noWrap/>
            <w:vAlign w:val="center"/>
          </w:tcPr>
          <w:p w14:paraId="31305341">
            <w:pPr>
              <w:shd w:val="clear"/>
              <w:jc w:val="right"/>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single" w:color="auto" w:sz="4" w:space="0"/>
            </w:tcBorders>
            <w:shd w:val="clear" w:color="auto" w:fill="auto"/>
            <w:noWrap/>
            <w:vAlign w:val="center"/>
          </w:tcPr>
          <w:p w14:paraId="033C757A">
            <w:pPr>
              <w:shd w:val="clear"/>
              <w:jc w:val="right"/>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single" w:color="auto" w:sz="4" w:space="0"/>
            </w:tcBorders>
            <w:shd w:val="clear" w:color="auto" w:fill="auto"/>
            <w:noWrap/>
            <w:vAlign w:val="center"/>
          </w:tcPr>
          <w:p w14:paraId="0B483021">
            <w:pPr>
              <w:shd w:val="clear"/>
              <w:jc w:val="right"/>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single" w:color="auto" w:sz="4" w:space="0"/>
            </w:tcBorders>
            <w:shd w:val="clear" w:color="auto" w:fill="auto"/>
            <w:noWrap/>
            <w:vAlign w:val="center"/>
          </w:tcPr>
          <w:p w14:paraId="051FF177">
            <w:pPr>
              <w:shd w:val="clear"/>
              <w:jc w:val="right"/>
              <w:rPr>
                <w:rFonts w:hint="eastAsia" w:ascii="宋体" w:hAnsi="宋体" w:eastAsia="宋体" w:cs="宋体"/>
                <w:i w:val="0"/>
                <w:iCs w:val="0"/>
                <w:color w:val="000000"/>
                <w:sz w:val="22"/>
                <w:szCs w:val="22"/>
                <w:u w:val="none"/>
              </w:rPr>
            </w:pPr>
          </w:p>
        </w:tc>
      </w:tr>
      <w:tr w14:paraId="777E420D">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904D74E">
            <w:pPr>
              <w:shd w:val="clea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5B5168C">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237ACCD">
            <w:pPr>
              <w:shd w:val="clear"/>
              <w:jc w:val="right"/>
              <w:rPr>
                <w:rFonts w:hint="eastAsia" w:ascii="宋体" w:hAnsi="宋体" w:eastAsia="宋体" w:cs="宋体"/>
                <w:i w:val="0"/>
                <w:iCs w:val="0"/>
                <w:color w:val="000000"/>
                <w:sz w:val="22"/>
                <w:szCs w:val="22"/>
                <w:u w:val="none"/>
              </w:rPr>
            </w:pP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47EF6121">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5C8FD1EE">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nil"/>
              <w:left w:val="nil"/>
              <w:bottom w:val="single" w:color="auto" w:sz="4" w:space="0"/>
              <w:right w:val="single" w:color="auto" w:sz="4" w:space="0"/>
            </w:tcBorders>
            <w:shd w:val="clear" w:color="auto" w:fill="auto"/>
            <w:noWrap/>
            <w:vAlign w:val="center"/>
          </w:tcPr>
          <w:p w14:paraId="6A110B6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512.49 </w:t>
            </w:r>
          </w:p>
        </w:tc>
        <w:tc>
          <w:tcPr>
            <w:tcW w:w="0" w:type="auto"/>
            <w:tcBorders>
              <w:top w:val="nil"/>
              <w:left w:val="nil"/>
              <w:bottom w:val="single" w:color="auto" w:sz="4" w:space="0"/>
              <w:right w:val="single" w:color="auto" w:sz="4" w:space="0"/>
            </w:tcBorders>
            <w:shd w:val="clear" w:color="auto" w:fill="auto"/>
            <w:noWrap/>
            <w:vAlign w:val="center"/>
          </w:tcPr>
          <w:p w14:paraId="52A8AA9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512.49 </w:t>
            </w:r>
          </w:p>
        </w:tc>
        <w:tc>
          <w:tcPr>
            <w:tcW w:w="0" w:type="auto"/>
            <w:tcBorders>
              <w:top w:val="nil"/>
              <w:left w:val="nil"/>
              <w:bottom w:val="single" w:color="auto" w:sz="4" w:space="0"/>
              <w:right w:val="single" w:color="auto" w:sz="4" w:space="0"/>
            </w:tcBorders>
            <w:shd w:val="clear" w:color="auto" w:fill="auto"/>
            <w:noWrap/>
            <w:vAlign w:val="center"/>
          </w:tcPr>
          <w:p w14:paraId="119028B4">
            <w:pPr>
              <w:shd w:val="clear"/>
              <w:jc w:val="right"/>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single" w:color="auto" w:sz="4" w:space="0"/>
            </w:tcBorders>
            <w:shd w:val="clear" w:color="auto" w:fill="auto"/>
            <w:noWrap/>
            <w:vAlign w:val="center"/>
          </w:tcPr>
          <w:p w14:paraId="2A42CDB1">
            <w:pPr>
              <w:shd w:val="clear"/>
              <w:jc w:val="right"/>
              <w:rPr>
                <w:rFonts w:hint="eastAsia" w:ascii="宋体" w:hAnsi="宋体" w:eastAsia="宋体" w:cs="宋体"/>
                <w:i w:val="0"/>
                <w:iCs w:val="0"/>
                <w:color w:val="000000"/>
                <w:sz w:val="22"/>
                <w:szCs w:val="22"/>
                <w:u w:val="none"/>
              </w:rPr>
            </w:pPr>
          </w:p>
        </w:tc>
      </w:tr>
      <w:tr w14:paraId="7D233087">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F6618D3">
            <w:pPr>
              <w:shd w:val="clea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F675345">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A8BB106">
            <w:pPr>
              <w:shd w:val="clear"/>
              <w:jc w:val="right"/>
              <w:rPr>
                <w:rFonts w:hint="eastAsia" w:ascii="宋体" w:hAnsi="宋体" w:eastAsia="宋体" w:cs="宋体"/>
                <w:i w:val="0"/>
                <w:iCs w:val="0"/>
                <w:color w:val="000000"/>
                <w:sz w:val="22"/>
                <w:szCs w:val="22"/>
                <w:u w:val="none"/>
              </w:rPr>
            </w:pP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737F0B8D">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5BFC334A">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nil"/>
              <w:left w:val="nil"/>
              <w:bottom w:val="single" w:color="auto" w:sz="4" w:space="0"/>
              <w:right w:val="single" w:color="auto" w:sz="4" w:space="0"/>
            </w:tcBorders>
            <w:shd w:val="clear" w:color="auto" w:fill="auto"/>
            <w:noWrap/>
            <w:vAlign w:val="center"/>
          </w:tcPr>
          <w:p w14:paraId="1032A7EF">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35.41 </w:t>
            </w:r>
          </w:p>
        </w:tc>
        <w:tc>
          <w:tcPr>
            <w:tcW w:w="0" w:type="auto"/>
            <w:tcBorders>
              <w:top w:val="nil"/>
              <w:left w:val="nil"/>
              <w:bottom w:val="single" w:color="auto" w:sz="4" w:space="0"/>
              <w:right w:val="single" w:color="auto" w:sz="4" w:space="0"/>
            </w:tcBorders>
            <w:shd w:val="clear" w:color="auto" w:fill="auto"/>
            <w:noWrap/>
            <w:vAlign w:val="center"/>
          </w:tcPr>
          <w:p w14:paraId="388BE92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35.41 </w:t>
            </w:r>
          </w:p>
        </w:tc>
        <w:tc>
          <w:tcPr>
            <w:tcW w:w="0" w:type="auto"/>
            <w:tcBorders>
              <w:top w:val="nil"/>
              <w:left w:val="nil"/>
              <w:bottom w:val="single" w:color="auto" w:sz="4" w:space="0"/>
              <w:right w:val="single" w:color="auto" w:sz="4" w:space="0"/>
            </w:tcBorders>
            <w:shd w:val="clear" w:color="auto" w:fill="auto"/>
            <w:noWrap/>
            <w:vAlign w:val="center"/>
          </w:tcPr>
          <w:p w14:paraId="21EF7BEA">
            <w:pPr>
              <w:shd w:val="clear"/>
              <w:jc w:val="right"/>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single" w:color="auto" w:sz="4" w:space="0"/>
            </w:tcBorders>
            <w:shd w:val="clear" w:color="auto" w:fill="auto"/>
            <w:noWrap/>
            <w:vAlign w:val="center"/>
          </w:tcPr>
          <w:p w14:paraId="06473508">
            <w:pPr>
              <w:shd w:val="clear"/>
              <w:jc w:val="right"/>
              <w:rPr>
                <w:rFonts w:hint="eastAsia" w:ascii="宋体" w:hAnsi="宋体" w:eastAsia="宋体" w:cs="宋体"/>
                <w:i w:val="0"/>
                <w:iCs w:val="0"/>
                <w:color w:val="000000"/>
                <w:sz w:val="22"/>
                <w:szCs w:val="22"/>
                <w:u w:val="none"/>
              </w:rPr>
            </w:pPr>
          </w:p>
        </w:tc>
      </w:tr>
      <w:tr w14:paraId="31482BBE">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B466CAF">
            <w:pPr>
              <w:shd w:val="clea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F653E21">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E958425">
            <w:pPr>
              <w:shd w:val="clear"/>
              <w:jc w:val="right"/>
              <w:rPr>
                <w:rFonts w:hint="eastAsia" w:ascii="宋体" w:hAnsi="宋体" w:eastAsia="宋体" w:cs="宋体"/>
                <w:i w:val="0"/>
                <w:iCs w:val="0"/>
                <w:color w:val="000000"/>
                <w:sz w:val="22"/>
                <w:szCs w:val="22"/>
                <w:u w:val="none"/>
              </w:rPr>
            </w:pP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33BBA30F">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nil"/>
              <w:left w:val="nil"/>
              <w:bottom w:val="single" w:color="auto" w:sz="4" w:space="0"/>
              <w:right w:val="single" w:color="auto" w:sz="4" w:space="0"/>
            </w:tcBorders>
            <w:shd w:val="clear" w:color="auto" w:fill="auto"/>
            <w:noWrap/>
            <w:vAlign w:val="center"/>
          </w:tcPr>
          <w:p w14:paraId="75DDE3FD">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nil"/>
              <w:left w:val="nil"/>
              <w:bottom w:val="single" w:color="auto" w:sz="4" w:space="0"/>
              <w:right w:val="single" w:color="auto" w:sz="4" w:space="0"/>
            </w:tcBorders>
            <w:shd w:val="clear" w:color="auto" w:fill="auto"/>
            <w:noWrap/>
            <w:vAlign w:val="center"/>
          </w:tcPr>
          <w:p w14:paraId="3EEFB09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103,559.71 </w:t>
            </w:r>
          </w:p>
        </w:tc>
        <w:tc>
          <w:tcPr>
            <w:tcW w:w="0" w:type="auto"/>
            <w:tcBorders>
              <w:top w:val="nil"/>
              <w:left w:val="nil"/>
              <w:bottom w:val="single" w:color="auto" w:sz="4" w:space="0"/>
              <w:right w:val="single" w:color="auto" w:sz="4" w:space="0"/>
            </w:tcBorders>
            <w:shd w:val="clear" w:color="auto" w:fill="auto"/>
            <w:noWrap/>
            <w:vAlign w:val="center"/>
          </w:tcPr>
          <w:p w14:paraId="7A7A2B9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103,258.94 </w:t>
            </w:r>
          </w:p>
        </w:tc>
        <w:tc>
          <w:tcPr>
            <w:tcW w:w="0" w:type="auto"/>
            <w:tcBorders>
              <w:top w:val="nil"/>
              <w:left w:val="nil"/>
              <w:bottom w:val="single" w:color="auto" w:sz="4" w:space="0"/>
              <w:right w:val="single" w:color="auto" w:sz="4" w:space="0"/>
            </w:tcBorders>
            <w:shd w:val="clear" w:color="auto" w:fill="auto"/>
            <w:noWrap/>
            <w:vAlign w:val="center"/>
          </w:tcPr>
          <w:p w14:paraId="6517EC4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300.77 </w:t>
            </w:r>
          </w:p>
        </w:tc>
        <w:tc>
          <w:tcPr>
            <w:tcW w:w="0" w:type="auto"/>
            <w:tcBorders>
              <w:top w:val="nil"/>
              <w:left w:val="nil"/>
              <w:bottom w:val="single" w:color="auto" w:sz="4" w:space="0"/>
              <w:right w:val="single" w:color="auto" w:sz="4" w:space="0"/>
            </w:tcBorders>
            <w:shd w:val="clear" w:color="auto" w:fill="auto"/>
            <w:noWrap/>
            <w:vAlign w:val="center"/>
          </w:tcPr>
          <w:p w14:paraId="4645F395">
            <w:pPr>
              <w:shd w:val="clear"/>
              <w:jc w:val="right"/>
              <w:rPr>
                <w:rFonts w:hint="eastAsia" w:ascii="宋体" w:hAnsi="宋体" w:eastAsia="宋体" w:cs="宋体"/>
                <w:i w:val="0"/>
                <w:iCs w:val="0"/>
                <w:color w:val="000000"/>
                <w:sz w:val="22"/>
                <w:szCs w:val="22"/>
                <w:u w:val="none"/>
              </w:rPr>
            </w:pPr>
          </w:p>
        </w:tc>
      </w:tr>
      <w:tr w14:paraId="4596E1A4">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89BA070">
            <w:pPr>
              <w:shd w:val="clea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4B339A1">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548AE78">
            <w:pPr>
              <w:shd w:val="clear"/>
              <w:jc w:val="right"/>
              <w:rPr>
                <w:rFonts w:hint="eastAsia" w:ascii="宋体" w:hAnsi="宋体" w:eastAsia="宋体" w:cs="宋体"/>
                <w:i w:val="0"/>
                <w:iCs w:val="0"/>
                <w:color w:val="000000"/>
                <w:sz w:val="22"/>
                <w:szCs w:val="22"/>
                <w:u w:val="none"/>
              </w:rPr>
            </w:pP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1FA5ABB5">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3EAF3A6B">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nil"/>
              <w:left w:val="nil"/>
              <w:bottom w:val="single" w:color="auto" w:sz="4" w:space="0"/>
              <w:right w:val="single" w:color="auto" w:sz="4" w:space="0"/>
            </w:tcBorders>
            <w:shd w:val="clear" w:color="auto" w:fill="auto"/>
            <w:noWrap/>
            <w:vAlign w:val="center"/>
          </w:tcPr>
          <w:p w14:paraId="784F44F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5,247.91 </w:t>
            </w:r>
          </w:p>
        </w:tc>
        <w:tc>
          <w:tcPr>
            <w:tcW w:w="0" w:type="auto"/>
            <w:tcBorders>
              <w:top w:val="nil"/>
              <w:left w:val="nil"/>
              <w:bottom w:val="single" w:color="auto" w:sz="4" w:space="0"/>
              <w:right w:val="single" w:color="auto" w:sz="4" w:space="0"/>
            </w:tcBorders>
            <w:shd w:val="clear" w:color="auto" w:fill="auto"/>
            <w:noWrap/>
            <w:vAlign w:val="center"/>
          </w:tcPr>
          <w:p w14:paraId="3B3F628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5,247.91 </w:t>
            </w:r>
          </w:p>
        </w:tc>
        <w:tc>
          <w:tcPr>
            <w:tcW w:w="0" w:type="auto"/>
            <w:tcBorders>
              <w:top w:val="nil"/>
              <w:left w:val="nil"/>
              <w:bottom w:val="single" w:color="auto" w:sz="4" w:space="0"/>
              <w:right w:val="single" w:color="auto" w:sz="4" w:space="0"/>
            </w:tcBorders>
            <w:shd w:val="clear" w:color="auto" w:fill="auto"/>
            <w:noWrap/>
            <w:vAlign w:val="center"/>
          </w:tcPr>
          <w:p w14:paraId="7C139004">
            <w:pPr>
              <w:shd w:val="clear"/>
              <w:jc w:val="right"/>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single" w:color="auto" w:sz="4" w:space="0"/>
            </w:tcBorders>
            <w:shd w:val="clear" w:color="auto" w:fill="auto"/>
            <w:noWrap/>
            <w:vAlign w:val="center"/>
          </w:tcPr>
          <w:p w14:paraId="60C0CC06">
            <w:pPr>
              <w:shd w:val="clear"/>
              <w:jc w:val="right"/>
              <w:rPr>
                <w:rFonts w:hint="eastAsia" w:ascii="宋体" w:hAnsi="宋体" w:eastAsia="宋体" w:cs="宋体"/>
                <w:i w:val="0"/>
                <w:iCs w:val="0"/>
                <w:color w:val="000000"/>
                <w:sz w:val="22"/>
                <w:szCs w:val="22"/>
                <w:u w:val="none"/>
              </w:rPr>
            </w:pPr>
          </w:p>
        </w:tc>
      </w:tr>
      <w:tr w14:paraId="416F3A18">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7A9C263">
            <w:pPr>
              <w:shd w:val="clea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87585DB">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9F9A96D">
            <w:pPr>
              <w:shd w:val="clear"/>
              <w:jc w:val="right"/>
              <w:rPr>
                <w:rFonts w:hint="eastAsia" w:ascii="宋体" w:hAnsi="宋体" w:eastAsia="宋体" w:cs="宋体"/>
                <w:i w:val="0"/>
                <w:iCs w:val="0"/>
                <w:color w:val="000000"/>
                <w:sz w:val="22"/>
                <w:szCs w:val="22"/>
                <w:u w:val="none"/>
              </w:rPr>
            </w:pP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1CDCE076">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nil"/>
              <w:left w:val="nil"/>
              <w:bottom w:val="single" w:color="auto" w:sz="4" w:space="0"/>
              <w:right w:val="single" w:color="auto" w:sz="4" w:space="0"/>
            </w:tcBorders>
            <w:shd w:val="clear" w:color="auto" w:fill="auto"/>
            <w:noWrap/>
            <w:vAlign w:val="center"/>
          </w:tcPr>
          <w:p w14:paraId="4FF810AD">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nil"/>
              <w:left w:val="nil"/>
              <w:bottom w:val="single" w:color="auto" w:sz="4" w:space="0"/>
              <w:right w:val="single" w:color="auto" w:sz="4" w:space="0"/>
            </w:tcBorders>
            <w:shd w:val="clear" w:color="auto" w:fill="auto"/>
            <w:noWrap/>
            <w:vAlign w:val="center"/>
          </w:tcPr>
          <w:p w14:paraId="201811B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354.57 </w:t>
            </w:r>
          </w:p>
        </w:tc>
        <w:tc>
          <w:tcPr>
            <w:tcW w:w="0" w:type="auto"/>
            <w:tcBorders>
              <w:top w:val="nil"/>
              <w:left w:val="nil"/>
              <w:bottom w:val="single" w:color="auto" w:sz="4" w:space="0"/>
              <w:right w:val="single" w:color="auto" w:sz="4" w:space="0"/>
            </w:tcBorders>
            <w:shd w:val="clear" w:color="auto" w:fill="auto"/>
            <w:noWrap/>
            <w:vAlign w:val="center"/>
          </w:tcPr>
          <w:p w14:paraId="1830F81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354.57 </w:t>
            </w:r>
          </w:p>
        </w:tc>
        <w:tc>
          <w:tcPr>
            <w:tcW w:w="0" w:type="auto"/>
            <w:tcBorders>
              <w:top w:val="nil"/>
              <w:left w:val="nil"/>
              <w:bottom w:val="single" w:color="auto" w:sz="4" w:space="0"/>
              <w:right w:val="single" w:color="auto" w:sz="4" w:space="0"/>
            </w:tcBorders>
            <w:shd w:val="clear" w:color="auto" w:fill="auto"/>
            <w:noWrap/>
            <w:vAlign w:val="center"/>
          </w:tcPr>
          <w:p w14:paraId="11307C1F">
            <w:pPr>
              <w:shd w:val="clear"/>
              <w:jc w:val="right"/>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single" w:color="auto" w:sz="4" w:space="0"/>
            </w:tcBorders>
            <w:shd w:val="clear" w:color="auto" w:fill="auto"/>
            <w:noWrap/>
            <w:vAlign w:val="center"/>
          </w:tcPr>
          <w:p w14:paraId="24415AA2">
            <w:pPr>
              <w:shd w:val="clear"/>
              <w:jc w:val="right"/>
              <w:rPr>
                <w:rFonts w:hint="eastAsia" w:ascii="宋体" w:hAnsi="宋体" w:eastAsia="宋体" w:cs="宋体"/>
                <w:i w:val="0"/>
                <w:iCs w:val="0"/>
                <w:color w:val="000000"/>
                <w:sz w:val="22"/>
                <w:szCs w:val="22"/>
                <w:u w:val="none"/>
              </w:rPr>
            </w:pPr>
          </w:p>
        </w:tc>
      </w:tr>
      <w:tr w14:paraId="0AA8874F">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5293433">
            <w:pPr>
              <w:shd w:val="clea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6F4FB5B">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0C96CC0">
            <w:pPr>
              <w:shd w:val="clear"/>
              <w:jc w:val="right"/>
              <w:rPr>
                <w:rFonts w:hint="eastAsia" w:ascii="宋体" w:hAnsi="宋体" w:eastAsia="宋体" w:cs="宋体"/>
                <w:i w:val="0"/>
                <w:iCs w:val="0"/>
                <w:color w:val="000000"/>
                <w:sz w:val="22"/>
                <w:szCs w:val="22"/>
                <w:u w:val="none"/>
              </w:rPr>
            </w:pP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065B5AA0">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nil"/>
              <w:left w:val="nil"/>
              <w:bottom w:val="single" w:color="auto" w:sz="4" w:space="0"/>
              <w:right w:val="single" w:color="auto" w:sz="4" w:space="0"/>
            </w:tcBorders>
            <w:shd w:val="clear" w:color="auto" w:fill="auto"/>
            <w:noWrap/>
            <w:vAlign w:val="center"/>
          </w:tcPr>
          <w:p w14:paraId="1A5B3E97">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nil"/>
              <w:left w:val="nil"/>
              <w:bottom w:val="single" w:color="auto" w:sz="4" w:space="0"/>
              <w:right w:val="single" w:color="auto" w:sz="4" w:space="0"/>
            </w:tcBorders>
            <w:shd w:val="clear" w:color="auto" w:fill="auto"/>
            <w:noWrap/>
            <w:vAlign w:val="center"/>
          </w:tcPr>
          <w:p w14:paraId="1BF8D173">
            <w:pPr>
              <w:shd w:val="clear"/>
              <w:jc w:val="right"/>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single" w:color="auto" w:sz="4" w:space="0"/>
            </w:tcBorders>
            <w:shd w:val="clear" w:color="auto" w:fill="auto"/>
            <w:noWrap/>
            <w:vAlign w:val="center"/>
          </w:tcPr>
          <w:p w14:paraId="5482BF05">
            <w:pPr>
              <w:shd w:val="clear"/>
              <w:jc w:val="right"/>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single" w:color="auto" w:sz="4" w:space="0"/>
            </w:tcBorders>
            <w:shd w:val="clear" w:color="auto" w:fill="auto"/>
            <w:noWrap/>
            <w:vAlign w:val="center"/>
          </w:tcPr>
          <w:p w14:paraId="42AF9428">
            <w:pPr>
              <w:shd w:val="clear"/>
              <w:jc w:val="right"/>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single" w:color="auto" w:sz="4" w:space="0"/>
            </w:tcBorders>
            <w:shd w:val="clear" w:color="auto" w:fill="auto"/>
            <w:noWrap/>
            <w:vAlign w:val="center"/>
          </w:tcPr>
          <w:p w14:paraId="64C88E8B">
            <w:pPr>
              <w:shd w:val="clear"/>
              <w:jc w:val="right"/>
              <w:rPr>
                <w:rFonts w:hint="eastAsia" w:ascii="宋体" w:hAnsi="宋体" w:eastAsia="宋体" w:cs="宋体"/>
                <w:i w:val="0"/>
                <w:iCs w:val="0"/>
                <w:color w:val="000000"/>
                <w:sz w:val="22"/>
                <w:szCs w:val="22"/>
                <w:u w:val="none"/>
              </w:rPr>
            </w:pPr>
          </w:p>
        </w:tc>
      </w:tr>
      <w:tr w14:paraId="48D58881">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4555651">
            <w:pPr>
              <w:shd w:val="clea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1C88323">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D52FD47">
            <w:pPr>
              <w:shd w:val="clear"/>
              <w:jc w:val="right"/>
              <w:rPr>
                <w:rFonts w:hint="eastAsia" w:ascii="宋体" w:hAnsi="宋体" w:eastAsia="宋体" w:cs="宋体"/>
                <w:i w:val="0"/>
                <w:iCs w:val="0"/>
                <w:color w:val="000000"/>
                <w:sz w:val="22"/>
                <w:szCs w:val="22"/>
                <w:u w:val="none"/>
              </w:rPr>
            </w:pP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175BFA08">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nil"/>
              <w:left w:val="nil"/>
              <w:bottom w:val="single" w:color="auto" w:sz="4" w:space="0"/>
              <w:right w:val="single" w:color="auto" w:sz="4" w:space="0"/>
            </w:tcBorders>
            <w:shd w:val="clear" w:color="auto" w:fill="auto"/>
            <w:noWrap/>
            <w:vAlign w:val="center"/>
          </w:tcPr>
          <w:p w14:paraId="25B98E3E">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nil"/>
              <w:left w:val="nil"/>
              <w:bottom w:val="single" w:color="auto" w:sz="4" w:space="0"/>
              <w:right w:val="single" w:color="auto" w:sz="4" w:space="0"/>
            </w:tcBorders>
            <w:shd w:val="clear" w:color="auto" w:fill="auto"/>
            <w:noWrap/>
            <w:vAlign w:val="center"/>
          </w:tcPr>
          <w:p w14:paraId="2F3E558D">
            <w:pPr>
              <w:shd w:val="clear"/>
              <w:jc w:val="right"/>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single" w:color="auto" w:sz="4" w:space="0"/>
            </w:tcBorders>
            <w:shd w:val="clear" w:color="auto" w:fill="auto"/>
            <w:noWrap/>
            <w:vAlign w:val="center"/>
          </w:tcPr>
          <w:p w14:paraId="2CDC9F36">
            <w:pPr>
              <w:shd w:val="clear"/>
              <w:jc w:val="right"/>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single" w:color="auto" w:sz="4" w:space="0"/>
            </w:tcBorders>
            <w:shd w:val="clear" w:color="auto" w:fill="auto"/>
            <w:noWrap/>
            <w:vAlign w:val="center"/>
          </w:tcPr>
          <w:p w14:paraId="02C2D3D7">
            <w:pPr>
              <w:shd w:val="clear"/>
              <w:jc w:val="right"/>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single" w:color="auto" w:sz="4" w:space="0"/>
            </w:tcBorders>
            <w:shd w:val="clear" w:color="auto" w:fill="auto"/>
            <w:noWrap/>
            <w:vAlign w:val="center"/>
          </w:tcPr>
          <w:p w14:paraId="797EAE1D">
            <w:pPr>
              <w:shd w:val="clear"/>
              <w:jc w:val="right"/>
              <w:rPr>
                <w:rFonts w:hint="eastAsia" w:ascii="宋体" w:hAnsi="宋体" w:eastAsia="宋体" w:cs="宋体"/>
                <w:i w:val="0"/>
                <w:iCs w:val="0"/>
                <w:color w:val="000000"/>
                <w:sz w:val="22"/>
                <w:szCs w:val="22"/>
                <w:u w:val="none"/>
              </w:rPr>
            </w:pPr>
          </w:p>
        </w:tc>
      </w:tr>
      <w:tr w14:paraId="35BACA41">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B794C72">
            <w:pPr>
              <w:shd w:val="clea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584D854">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EAAD859">
            <w:pPr>
              <w:shd w:val="clear"/>
              <w:jc w:val="right"/>
              <w:rPr>
                <w:rFonts w:hint="eastAsia" w:ascii="宋体" w:hAnsi="宋体" w:eastAsia="宋体" w:cs="宋体"/>
                <w:i w:val="0"/>
                <w:iCs w:val="0"/>
                <w:color w:val="000000"/>
                <w:sz w:val="22"/>
                <w:szCs w:val="22"/>
                <w:u w:val="none"/>
              </w:rPr>
            </w:pP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7C7B6C13">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nil"/>
              <w:left w:val="nil"/>
              <w:bottom w:val="single" w:color="auto" w:sz="4" w:space="0"/>
              <w:right w:val="single" w:color="auto" w:sz="4" w:space="0"/>
            </w:tcBorders>
            <w:shd w:val="clear" w:color="auto" w:fill="auto"/>
            <w:noWrap/>
            <w:vAlign w:val="center"/>
          </w:tcPr>
          <w:p w14:paraId="553DFA6C">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nil"/>
              <w:left w:val="nil"/>
              <w:bottom w:val="single" w:color="auto" w:sz="4" w:space="0"/>
              <w:right w:val="single" w:color="auto" w:sz="4" w:space="0"/>
            </w:tcBorders>
            <w:shd w:val="clear" w:color="auto" w:fill="auto"/>
            <w:noWrap/>
            <w:vAlign w:val="center"/>
          </w:tcPr>
          <w:p w14:paraId="79403026">
            <w:pPr>
              <w:shd w:val="clear"/>
              <w:jc w:val="right"/>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single" w:color="auto" w:sz="4" w:space="0"/>
            </w:tcBorders>
            <w:shd w:val="clear" w:color="auto" w:fill="auto"/>
            <w:noWrap/>
            <w:vAlign w:val="center"/>
          </w:tcPr>
          <w:p w14:paraId="2D795C36">
            <w:pPr>
              <w:shd w:val="clear"/>
              <w:jc w:val="right"/>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single" w:color="auto" w:sz="4" w:space="0"/>
            </w:tcBorders>
            <w:shd w:val="clear" w:color="auto" w:fill="auto"/>
            <w:noWrap/>
            <w:vAlign w:val="center"/>
          </w:tcPr>
          <w:p w14:paraId="4F4A4E97">
            <w:pPr>
              <w:shd w:val="clear"/>
              <w:jc w:val="right"/>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single" w:color="auto" w:sz="4" w:space="0"/>
            </w:tcBorders>
            <w:shd w:val="clear" w:color="auto" w:fill="auto"/>
            <w:noWrap/>
            <w:vAlign w:val="center"/>
          </w:tcPr>
          <w:p w14:paraId="133016AB">
            <w:pPr>
              <w:shd w:val="clear"/>
              <w:jc w:val="right"/>
              <w:rPr>
                <w:rFonts w:hint="eastAsia" w:ascii="宋体" w:hAnsi="宋体" w:eastAsia="宋体" w:cs="宋体"/>
                <w:i w:val="0"/>
                <w:iCs w:val="0"/>
                <w:color w:val="000000"/>
                <w:sz w:val="22"/>
                <w:szCs w:val="22"/>
                <w:u w:val="none"/>
              </w:rPr>
            </w:pPr>
          </w:p>
        </w:tc>
      </w:tr>
      <w:tr w14:paraId="27BA1A4E">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F471BCF">
            <w:pPr>
              <w:shd w:val="clea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74CBAE2">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DB75C00">
            <w:pPr>
              <w:shd w:val="clear"/>
              <w:jc w:val="right"/>
              <w:rPr>
                <w:rFonts w:hint="eastAsia" w:ascii="宋体" w:hAnsi="宋体" w:eastAsia="宋体" w:cs="宋体"/>
                <w:i w:val="0"/>
                <w:iCs w:val="0"/>
                <w:color w:val="000000"/>
                <w:sz w:val="22"/>
                <w:szCs w:val="22"/>
                <w:u w:val="none"/>
              </w:rPr>
            </w:pP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479B394D">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nil"/>
              <w:left w:val="nil"/>
              <w:bottom w:val="single" w:color="auto" w:sz="4" w:space="0"/>
              <w:right w:val="single" w:color="auto" w:sz="4" w:space="0"/>
            </w:tcBorders>
            <w:shd w:val="clear" w:color="auto" w:fill="auto"/>
            <w:noWrap/>
            <w:vAlign w:val="center"/>
          </w:tcPr>
          <w:p w14:paraId="55F07FB6">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nil"/>
              <w:left w:val="nil"/>
              <w:bottom w:val="single" w:color="auto" w:sz="4" w:space="0"/>
              <w:right w:val="single" w:color="auto" w:sz="4" w:space="0"/>
            </w:tcBorders>
            <w:shd w:val="clear" w:color="auto" w:fill="auto"/>
            <w:noWrap/>
            <w:vAlign w:val="center"/>
          </w:tcPr>
          <w:p w14:paraId="510F7FD7">
            <w:pPr>
              <w:shd w:val="clear"/>
              <w:jc w:val="right"/>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single" w:color="auto" w:sz="4" w:space="0"/>
            </w:tcBorders>
            <w:shd w:val="clear" w:color="auto" w:fill="auto"/>
            <w:noWrap/>
            <w:vAlign w:val="center"/>
          </w:tcPr>
          <w:p w14:paraId="6318D11E">
            <w:pPr>
              <w:shd w:val="clear"/>
              <w:jc w:val="right"/>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single" w:color="auto" w:sz="4" w:space="0"/>
            </w:tcBorders>
            <w:shd w:val="clear" w:color="auto" w:fill="auto"/>
            <w:noWrap/>
            <w:vAlign w:val="center"/>
          </w:tcPr>
          <w:p w14:paraId="34DADBE8">
            <w:pPr>
              <w:shd w:val="clear"/>
              <w:jc w:val="right"/>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single" w:color="auto" w:sz="4" w:space="0"/>
            </w:tcBorders>
            <w:shd w:val="clear" w:color="auto" w:fill="auto"/>
            <w:noWrap/>
            <w:vAlign w:val="center"/>
          </w:tcPr>
          <w:p w14:paraId="1871BB02">
            <w:pPr>
              <w:shd w:val="clear"/>
              <w:jc w:val="right"/>
              <w:rPr>
                <w:rFonts w:hint="eastAsia" w:ascii="宋体" w:hAnsi="宋体" w:eastAsia="宋体" w:cs="宋体"/>
                <w:i w:val="0"/>
                <w:iCs w:val="0"/>
                <w:color w:val="000000"/>
                <w:sz w:val="22"/>
                <w:szCs w:val="22"/>
                <w:u w:val="none"/>
              </w:rPr>
            </w:pPr>
          </w:p>
        </w:tc>
      </w:tr>
      <w:tr w14:paraId="6EA0B490">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19E81CA">
            <w:pPr>
              <w:shd w:val="clea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8656883">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29DBD92">
            <w:pPr>
              <w:shd w:val="clear"/>
              <w:jc w:val="right"/>
              <w:rPr>
                <w:rFonts w:hint="eastAsia" w:ascii="宋体" w:hAnsi="宋体" w:eastAsia="宋体" w:cs="宋体"/>
                <w:i w:val="0"/>
                <w:iCs w:val="0"/>
                <w:color w:val="000000"/>
                <w:sz w:val="22"/>
                <w:szCs w:val="22"/>
                <w:u w:val="none"/>
              </w:rPr>
            </w:pP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25DDF415">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nil"/>
              <w:left w:val="nil"/>
              <w:bottom w:val="single" w:color="auto" w:sz="4" w:space="0"/>
              <w:right w:val="single" w:color="auto" w:sz="4" w:space="0"/>
            </w:tcBorders>
            <w:shd w:val="clear" w:color="auto" w:fill="auto"/>
            <w:noWrap/>
            <w:vAlign w:val="center"/>
          </w:tcPr>
          <w:p w14:paraId="1B164AC0">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nil"/>
              <w:left w:val="nil"/>
              <w:bottom w:val="single" w:color="auto" w:sz="4" w:space="0"/>
              <w:right w:val="single" w:color="auto" w:sz="4" w:space="0"/>
            </w:tcBorders>
            <w:shd w:val="clear" w:color="auto" w:fill="auto"/>
            <w:noWrap/>
            <w:vAlign w:val="center"/>
          </w:tcPr>
          <w:p w14:paraId="555801B1">
            <w:pPr>
              <w:shd w:val="clear"/>
              <w:jc w:val="right"/>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single" w:color="auto" w:sz="4" w:space="0"/>
            </w:tcBorders>
            <w:shd w:val="clear" w:color="auto" w:fill="auto"/>
            <w:noWrap/>
            <w:vAlign w:val="center"/>
          </w:tcPr>
          <w:p w14:paraId="2FCA44E3">
            <w:pPr>
              <w:shd w:val="clear"/>
              <w:jc w:val="right"/>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single" w:color="auto" w:sz="4" w:space="0"/>
            </w:tcBorders>
            <w:shd w:val="clear" w:color="auto" w:fill="auto"/>
            <w:noWrap/>
            <w:vAlign w:val="center"/>
          </w:tcPr>
          <w:p w14:paraId="728BAC30">
            <w:pPr>
              <w:shd w:val="clear"/>
              <w:jc w:val="right"/>
              <w:rPr>
                <w:rFonts w:hint="eastAsia" w:ascii="宋体" w:hAnsi="宋体" w:eastAsia="宋体" w:cs="宋体"/>
                <w:i w:val="0"/>
                <w:iCs w:val="0"/>
                <w:color w:val="000000"/>
                <w:sz w:val="22"/>
                <w:szCs w:val="22"/>
                <w:u w:val="none"/>
              </w:rPr>
            </w:pPr>
          </w:p>
        </w:tc>
        <w:tc>
          <w:tcPr>
            <w:tcW w:w="0" w:type="auto"/>
            <w:tcBorders>
              <w:top w:val="nil"/>
              <w:left w:val="nil"/>
              <w:bottom w:val="single" w:color="auto" w:sz="4" w:space="0"/>
              <w:right w:val="single" w:color="auto" w:sz="4" w:space="0"/>
            </w:tcBorders>
            <w:shd w:val="clear" w:color="auto" w:fill="auto"/>
            <w:noWrap/>
            <w:vAlign w:val="center"/>
          </w:tcPr>
          <w:p w14:paraId="6431C4F2">
            <w:pPr>
              <w:shd w:val="clear"/>
              <w:jc w:val="right"/>
              <w:rPr>
                <w:rFonts w:hint="eastAsia" w:ascii="宋体" w:hAnsi="宋体" w:eastAsia="宋体" w:cs="宋体"/>
                <w:i w:val="0"/>
                <w:iCs w:val="0"/>
                <w:color w:val="000000"/>
                <w:sz w:val="22"/>
                <w:szCs w:val="22"/>
                <w:u w:val="none"/>
              </w:rPr>
            </w:pPr>
          </w:p>
        </w:tc>
      </w:tr>
      <w:tr w14:paraId="5D54E0E9">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004B833">
            <w:pPr>
              <w:shd w:val="clea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E13CD3B">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6C46F95">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F7374BD">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3E7B9C5">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E257E52">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AEFB57B">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EE286BD">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DB970A5">
            <w:pPr>
              <w:shd w:val="clear"/>
              <w:jc w:val="right"/>
              <w:rPr>
                <w:rFonts w:hint="eastAsia" w:ascii="宋体" w:hAnsi="宋体" w:eastAsia="宋体" w:cs="宋体"/>
                <w:i w:val="0"/>
                <w:iCs w:val="0"/>
                <w:color w:val="000000"/>
                <w:sz w:val="22"/>
                <w:szCs w:val="22"/>
                <w:u w:val="none"/>
              </w:rPr>
            </w:pPr>
          </w:p>
        </w:tc>
      </w:tr>
      <w:tr w14:paraId="3ECD008B">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6E28AFA">
            <w:pPr>
              <w:shd w:val="clea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E59C45E">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B469AE2">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B473C1C">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A074D43">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9D2EA3E">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D481EF2">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ADC9D14">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EFB3118">
            <w:pPr>
              <w:shd w:val="clear"/>
              <w:jc w:val="right"/>
              <w:rPr>
                <w:rFonts w:hint="eastAsia" w:ascii="宋体" w:hAnsi="宋体" w:eastAsia="宋体" w:cs="宋体"/>
                <w:i w:val="0"/>
                <w:iCs w:val="0"/>
                <w:color w:val="000000"/>
                <w:sz w:val="22"/>
                <w:szCs w:val="22"/>
                <w:u w:val="none"/>
              </w:rPr>
            </w:pPr>
          </w:p>
        </w:tc>
      </w:tr>
      <w:tr w14:paraId="3793F7DD">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31CCE31">
            <w:pPr>
              <w:shd w:val="clea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4AF5817">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FAFDB23">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AEC25D4">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D3F0DF3">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2475659">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216642D">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879B009">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D5BA3EE">
            <w:pPr>
              <w:shd w:val="clear"/>
              <w:jc w:val="right"/>
              <w:rPr>
                <w:rFonts w:hint="eastAsia" w:ascii="宋体" w:hAnsi="宋体" w:eastAsia="宋体" w:cs="宋体"/>
                <w:i w:val="0"/>
                <w:iCs w:val="0"/>
                <w:color w:val="000000"/>
                <w:sz w:val="22"/>
                <w:szCs w:val="22"/>
                <w:u w:val="none"/>
              </w:rPr>
            </w:pPr>
          </w:p>
        </w:tc>
      </w:tr>
      <w:tr w14:paraId="49A907F5">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3E170C0">
            <w:pPr>
              <w:shd w:val="clea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FA6A57E">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199CB71">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199D45C">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4E3313F">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8AC7D9A">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2C4B064">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950CB31">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9B41B65">
            <w:pPr>
              <w:shd w:val="clear"/>
              <w:jc w:val="right"/>
              <w:rPr>
                <w:rFonts w:hint="eastAsia" w:ascii="宋体" w:hAnsi="宋体" w:eastAsia="宋体" w:cs="宋体"/>
                <w:i w:val="0"/>
                <w:iCs w:val="0"/>
                <w:color w:val="000000"/>
                <w:sz w:val="22"/>
                <w:szCs w:val="22"/>
                <w:u w:val="none"/>
              </w:rPr>
            </w:pPr>
          </w:p>
        </w:tc>
      </w:tr>
      <w:tr w14:paraId="2B9D27B5">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7273B1C">
            <w:pPr>
              <w:shd w:val="clea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C445950">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150B4C6">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C32EDC4">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A4F0302">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99D45A9">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3,134.33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7E29909">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3,134.33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F636460">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1A72BDF">
            <w:pPr>
              <w:shd w:val="clear"/>
              <w:jc w:val="right"/>
              <w:rPr>
                <w:rFonts w:hint="eastAsia" w:ascii="宋体" w:hAnsi="宋体" w:eastAsia="宋体" w:cs="宋体"/>
                <w:i w:val="0"/>
                <w:iCs w:val="0"/>
                <w:color w:val="000000"/>
                <w:sz w:val="22"/>
                <w:szCs w:val="22"/>
                <w:u w:val="none"/>
              </w:rPr>
            </w:pPr>
          </w:p>
        </w:tc>
      </w:tr>
      <w:tr w14:paraId="0B1F630B">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CCFA2CD">
            <w:pPr>
              <w:shd w:val="clea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7D4A9F2">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1FBA75E">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F9E2253">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00B9AA4">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8742E13">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E279D72">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59015B8">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192AD50">
            <w:pPr>
              <w:shd w:val="clear"/>
              <w:jc w:val="right"/>
              <w:rPr>
                <w:rFonts w:hint="eastAsia" w:ascii="宋体" w:hAnsi="宋体" w:eastAsia="宋体" w:cs="宋体"/>
                <w:i w:val="0"/>
                <w:iCs w:val="0"/>
                <w:color w:val="000000"/>
                <w:sz w:val="22"/>
                <w:szCs w:val="22"/>
                <w:u w:val="none"/>
              </w:rPr>
            </w:pPr>
          </w:p>
        </w:tc>
      </w:tr>
      <w:tr w14:paraId="41755B62">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BD44905">
            <w:pPr>
              <w:shd w:val="clea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BAF8684">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E3C5E43">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D0C2ADD">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6A2A003">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7A2AAF1">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7CD829D">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82122D7">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32145ED">
            <w:pPr>
              <w:shd w:val="clear"/>
              <w:jc w:val="right"/>
              <w:rPr>
                <w:rFonts w:hint="eastAsia" w:ascii="宋体" w:hAnsi="宋体" w:eastAsia="宋体" w:cs="宋体"/>
                <w:i w:val="0"/>
                <w:iCs w:val="0"/>
                <w:color w:val="000000"/>
                <w:sz w:val="22"/>
                <w:szCs w:val="22"/>
                <w:u w:val="none"/>
              </w:rPr>
            </w:pPr>
          </w:p>
        </w:tc>
      </w:tr>
      <w:tr w14:paraId="086F39D9">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D1D71B2">
            <w:pPr>
              <w:shd w:val="clea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97CAB4B">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6B3EAF3">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1F18C82">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4A6666E">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A69912D">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9715012">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C127126">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495C8D0">
            <w:pPr>
              <w:shd w:val="clear"/>
              <w:jc w:val="right"/>
              <w:rPr>
                <w:rFonts w:hint="eastAsia" w:ascii="宋体" w:hAnsi="宋体" w:eastAsia="宋体" w:cs="宋体"/>
                <w:i w:val="0"/>
                <w:iCs w:val="0"/>
                <w:color w:val="000000"/>
                <w:sz w:val="22"/>
                <w:szCs w:val="22"/>
                <w:u w:val="none"/>
              </w:rPr>
            </w:pPr>
          </w:p>
        </w:tc>
      </w:tr>
      <w:tr w14:paraId="0EF65068">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F20BD52">
            <w:pPr>
              <w:shd w:val="clea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56C7C08">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DEC3B20">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A4735CB">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23B3733">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554836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4,724.37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97685B0">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DAAD1B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4,724.37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5AF8271">
            <w:pPr>
              <w:shd w:val="clear"/>
              <w:jc w:val="right"/>
              <w:rPr>
                <w:rFonts w:hint="eastAsia" w:ascii="宋体" w:hAnsi="宋体" w:eastAsia="宋体" w:cs="宋体"/>
                <w:i w:val="0"/>
                <w:iCs w:val="0"/>
                <w:color w:val="000000"/>
                <w:sz w:val="22"/>
                <w:szCs w:val="22"/>
                <w:u w:val="none"/>
              </w:rPr>
            </w:pPr>
          </w:p>
        </w:tc>
      </w:tr>
      <w:tr w14:paraId="628CFB6D">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93DF2FE">
            <w:pPr>
              <w:shd w:val="clear"/>
              <w:jc w:val="center"/>
              <w:rPr>
                <w:rFonts w:hint="eastAsia" w:ascii="宋体" w:hAnsi="宋体" w:eastAsia="宋体" w:cs="宋体"/>
                <w:b/>
                <w:bCs/>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74A04F2">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6DFF36D">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E14D678">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47580C9">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818F091">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3A39972">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A866BFB">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A54215F">
            <w:pPr>
              <w:shd w:val="clear"/>
              <w:jc w:val="right"/>
              <w:rPr>
                <w:rFonts w:hint="eastAsia" w:ascii="宋体" w:hAnsi="宋体" w:eastAsia="宋体" w:cs="宋体"/>
                <w:i w:val="0"/>
                <w:iCs w:val="0"/>
                <w:color w:val="000000"/>
                <w:sz w:val="22"/>
                <w:szCs w:val="22"/>
                <w:u w:val="none"/>
              </w:rPr>
            </w:pPr>
          </w:p>
        </w:tc>
      </w:tr>
      <w:tr w14:paraId="23A94E67">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2CAE6CA">
            <w:pPr>
              <w:shd w:val="clear"/>
              <w:jc w:val="left"/>
              <w:rPr>
                <w:rFonts w:hint="eastAsia" w:ascii="宋体" w:hAnsi="宋体" w:eastAsia="宋体" w:cs="宋体"/>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33CD6A5">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401B283">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1C5E6D3">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9C2E4E8">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5C55472">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1367205">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C7B51D7">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BE91734">
            <w:pPr>
              <w:shd w:val="clear"/>
              <w:jc w:val="right"/>
              <w:rPr>
                <w:rFonts w:hint="eastAsia" w:ascii="宋体" w:hAnsi="宋体" w:eastAsia="宋体" w:cs="宋体"/>
                <w:i w:val="0"/>
                <w:iCs w:val="0"/>
                <w:color w:val="000000"/>
                <w:sz w:val="22"/>
                <w:szCs w:val="22"/>
                <w:u w:val="none"/>
              </w:rPr>
            </w:pPr>
          </w:p>
        </w:tc>
      </w:tr>
      <w:tr w14:paraId="0EA107E8">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F0C03D4">
            <w:pPr>
              <w:shd w:val="clear"/>
              <w:jc w:val="left"/>
              <w:rPr>
                <w:rFonts w:hint="eastAsia" w:ascii="宋体" w:hAnsi="宋体" w:eastAsia="宋体" w:cs="宋体"/>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11FC2D1">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8C67006">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0F04253">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B26ABF1">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3269623">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91A7A9F">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563DD55">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1B6DB72">
            <w:pPr>
              <w:shd w:val="clear"/>
              <w:jc w:val="right"/>
              <w:rPr>
                <w:rFonts w:hint="eastAsia" w:ascii="宋体" w:hAnsi="宋体" w:eastAsia="宋体" w:cs="宋体"/>
                <w:i w:val="0"/>
                <w:iCs w:val="0"/>
                <w:color w:val="000000"/>
                <w:sz w:val="22"/>
                <w:szCs w:val="22"/>
                <w:u w:val="none"/>
              </w:rPr>
            </w:pPr>
          </w:p>
        </w:tc>
      </w:tr>
      <w:tr w14:paraId="71739B25">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97156F7">
            <w:pPr>
              <w:keepNext w:val="0"/>
              <w:keepLines w:val="0"/>
              <w:widowControl/>
              <w:suppressLineNumbers w:val="0"/>
              <w:shd w:val="clear"/>
              <w:jc w:val="center"/>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DA438AA">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578BFD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114,766.26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E8BDAA4">
            <w:pPr>
              <w:keepNext w:val="0"/>
              <w:keepLines w:val="0"/>
              <w:widowControl/>
              <w:suppressLineNumbers w:val="0"/>
              <w:shd w:val="clear"/>
              <w:jc w:val="center"/>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FD70129">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2D3A4B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117,763.03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339688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112,737.89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75BF86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5,025.15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6D622B7">
            <w:pPr>
              <w:shd w:val="clear"/>
              <w:jc w:val="right"/>
              <w:rPr>
                <w:rFonts w:hint="eastAsia" w:ascii="宋体" w:hAnsi="宋体" w:eastAsia="宋体" w:cs="宋体"/>
                <w:i w:val="0"/>
                <w:iCs w:val="0"/>
                <w:color w:val="000000"/>
                <w:sz w:val="22"/>
                <w:szCs w:val="22"/>
                <w:u w:val="none"/>
              </w:rPr>
            </w:pPr>
          </w:p>
        </w:tc>
      </w:tr>
      <w:tr w14:paraId="68BBCB8B">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61FCA36">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年初财政拨款结转和结余</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9A561BE">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69C141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25,331.16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06F5532">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年末财政拨款结转和结余</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F8B9964">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FDAE9C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22,334.39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301C6D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21,029.16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35BBBC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1,305.23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9FED1DB">
            <w:pPr>
              <w:shd w:val="clear"/>
              <w:jc w:val="right"/>
              <w:rPr>
                <w:rFonts w:hint="eastAsia" w:ascii="宋体" w:hAnsi="宋体" w:eastAsia="宋体" w:cs="宋体"/>
                <w:i w:val="0"/>
                <w:iCs w:val="0"/>
                <w:color w:val="000000"/>
                <w:sz w:val="22"/>
                <w:szCs w:val="22"/>
                <w:u w:val="none"/>
              </w:rPr>
            </w:pPr>
          </w:p>
        </w:tc>
      </w:tr>
      <w:tr w14:paraId="18680B9A">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11FE9AA">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7B2A236">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129546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19,986.79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7940598">
            <w:pPr>
              <w:shd w:val="clea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78F1E25">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F9DFB87">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5A9E611">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87BFC4C">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BD97DA2">
            <w:pPr>
              <w:shd w:val="clear"/>
              <w:jc w:val="right"/>
              <w:rPr>
                <w:rFonts w:hint="eastAsia" w:ascii="宋体" w:hAnsi="宋体" w:eastAsia="宋体" w:cs="宋体"/>
                <w:i w:val="0"/>
                <w:iCs w:val="0"/>
                <w:color w:val="000000"/>
                <w:sz w:val="22"/>
                <w:szCs w:val="22"/>
                <w:u w:val="none"/>
              </w:rPr>
            </w:pPr>
          </w:p>
        </w:tc>
      </w:tr>
      <w:tr w14:paraId="057D85D9">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0F08571">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15BE696">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66423D9">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5,344.37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0E041CE">
            <w:pPr>
              <w:shd w:val="clea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0462B8F">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B83FAD7">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043C54F">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509864B">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FC492EF">
            <w:pPr>
              <w:shd w:val="clear"/>
              <w:jc w:val="right"/>
              <w:rPr>
                <w:rFonts w:hint="eastAsia" w:ascii="宋体" w:hAnsi="宋体" w:eastAsia="宋体" w:cs="宋体"/>
                <w:i w:val="0"/>
                <w:iCs w:val="0"/>
                <w:color w:val="000000"/>
                <w:sz w:val="22"/>
                <w:szCs w:val="22"/>
                <w:u w:val="none"/>
              </w:rPr>
            </w:pPr>
          </w:p>
        </w:tc>
      </w:tr>
      <w:tr w14:paraId="265F7991">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A74148A">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23A18C6">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6FDF743">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76C50B1">
            <w:pPr>
              <w:shd w:val="clear"/>
              <w:jc w:val="lef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3EEF9E7">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BA7DA64">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BE354EF">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8AAD1BD">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EFF37D1">
            <w:pPr>
              <w:shd w:val="clear"/>
              <w:jc w:val="right"/>
              <w:rPr>
                <w:rFonts w:hint="eastAsia" w:ascii="宋体" w:hAnsi="宋体" w:eastAsia="宋体" w:cs="宋体"/>
                <w:i w:val="0"/>
                <w:iCs w:val="0"/>
                <w:color w:val="000000"/>
                <w:sz w:val="22"/>
                <w:szCs w:val="22"/>
                <w:u w:val="none"/>
              </w:rPr>
            </w:pPr>
          </w:p>
        </w:tc>
      </w:tr>
      <w:tr w14:paraId="02F84998">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C7F99C3">
            <w:pPr>
              <w:keepNext w:val="0"/>
              <w:keepLines w:val="0"/>
              <w:widowControl/>
              <w:suppressLineNumbers w:val="0"/>
              <w:shd w:val="clear"/>
              <w:jc w:val="center"/>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5D5AB02">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DE3E769">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140,097.42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ACED1BF">
            <w:pPr>
              <w:keepNext w:val="0"/>
              <w:keepLines w:val="0"/>
              <w:widowControl/>
              <w:suppressLineNumbers w:val="0"/>
              <w:shd w:val="clear"/>
              <w:jc w:val="center"/>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1A8E536">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5B401A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140,097.42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74195D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133,767.05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A6966AF">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6,330.37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14BAE7A">
            <w:pPr>
              <w:shd w:val="clear"/>
              <w:jc w:val="right"/>
              <w:rPr>
                <w:rFonts w:hint="eastAsia" w:ascii="宋体" w:hAnsi="宋体" w:eastAsia="宋体" w:cs="宋体"/>
                <w:i w:val="0"/>
                <w:iCs w:val="0"/>
                <w:color w:val="000000"/>
                <w:sz w:val="22"/>
                <w:szCs w:val="22"/>
                <w:u w:val="none"/>
              </w:rPr>
            </w:pPr>
          </w:p>
        </w:tc>
      </w:tr>
    </w:tbl>
    <w:p w14:paraId="38075CAF">
      <w:pPr>
        <w:widowControl/>
        <w:shd w:val="clear"/>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58988D01">
      <w:pPr>
        <w:widowControl/>
        <w:shd w:val="clear"/>
        <w:jc w:val="center"/>
        <w:rPr>
          <w:rFonts w:ascii="Times New Roman" w:hAnsi="Times New Roman" w:eastAsia="方正小标宋_GBK" w:cs="Times New Roman"/>
          <w:kern w:val="0"/>
          <w:sz w:val="36"/>
          <w:szCs w:val="36"/>
        </w:rPr>
      </w:pPr>
    </w:p>
    <w:p w14:paraId="31782923">
      <w:pPr>
        <w:widowControl/>
        <w:shd w:val="clear"/>
        <w:jc w:val="center"/>
        <w:rPr>
          <w:rFonts w:ascii="Times New Roman" w:hAnsi="Times New Roman" w:eastAsia="方正小标宋_GBK" w:cs="Times New Roman"/>
          <w:kern w:val="0"/>
          <w:sz w:val="36"/>
          <w:szCs w:val="36"/>
        </w:rPr>
      </w:pPr>
    </w:p>
    <w:p w14:paraId="571A6C4E">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5B3B792D">
      <w:pPr>
        <w:widowControl/>
        <w:shd w:val="clear"/>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Cs w:val="21"/>
        </w:rPr>
        <w:t>湖南省文化和旅游厅</w:t>
      </w:r>
      <w:r>
        <w:rPr>
          <w:rFonts w:ascii="Times New Roman" w:hAnsi="Times New Roman" w:eastAsia="仿宋_GB2312" w:cs="Times New Roman"/>
          <w:color w:val="000000"/>
          <w:kern w:val="0"/>
          <w:szCs w:val="21"/>
        </w:rPr>
        <w:t xml:space="preserve">                                                                                        公开05表</w:t>
      </w:r>
    </w:p>
    <w:p w14:paraId="08E3307F">
      <w:pPr>
        <w:widowControl/>
        <w:shd w:val="clear"/>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10"/>
        <w:tblW w:w="14219" w:type="dxa"/>
        <w:jc w:val="center"/>
        <w:tblLayout w:type="autofit"/>
        <w:tblCellMar>
          <w:top w:w="0" w:type="dxa"/>
          <w:left w:w="108" w:type="dxa"/>
          <w:bottom w:w="0" w:type="dxa"/>
          <w:right w:w="108" w:type="dxa"/>
        </w:tblCellMar>
      </w:tblPr>
      <w:tblGrid>
        <w:gridCol w:w="1195"/>
        <w:gridCol w:w="3664"/>
        <w:gridCol w:w="2961"/>
        <w:gridCol w:w="3440"/>
        <w:gridCol w:w="2959"/>
      </w:tblGrid>
      <w:tr w14:paraId="56E3E708">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6754C162">
            <w:pPr>
              <w:widowControl/>
              <w:shd w:val="clear"/>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 目</w:t>
            </w:r>
          </w:p>
        </w:tc>
        <w:tc>
          <w:tcPr>
            <w:tcW w:w="9492" w:type="dxa"/>
            <w:gridSpan w:val="3"/>
            <w:tcBorders>
              <w:top w:val="single" w:color="auto" w:sz="8" w:space="0"/>
              <w:left w:val="nil"/>
              <w:bottom w:val="single" w:color="auto" w:sz="4" w:space="0"/>
              <w:right w:val="single" w:color="auto" w:sz="8" w:space="0"/>
            </w:tcBorders>
            <w:shd w:val="clear" w:color="auto" w:fill="auto"/>
            <w:vAlign w:val="center"/>
          </w:tcPr>
          <w:p w14:paraId="51D2C258">
            <w:pPr>
              <w:widowControl/>
              <w:shd w:val="clear"/>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106B531A">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42852BC2">
            <w:pPr>
              <w:widowControl/>
              <w:shd w:val="clear"/>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7EBCA0D6">
            <w:pPr>
              <w:widowControl/>
              <w:shd w:val="clear"/>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auto" w:sz="4" w:space="0"/>
              <w:right w:val="single" w:color="auto" w:sz="4" w:space="0"/>
            </w:tcBorders>
            <w:shd w:val="clear" w:color="auto" w:fill="auto"/>
            <w:vAlign w:val="center"/>
          </w:tcPr>
          <w:p w14:paraId="0B0BFA6C">
            <w:pPr>
              <w:widowControl/>
              <w:shd w:val="clear"/>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auto" w:sz="4" w:space="0"/>
              <w:right w:val="single" w:color="auto" w:sz="4" w:space="0"/>
            </w:tcBorders>
            <w:shd w:val="clear" w:color="auto" w:fill="auto"/>
            <w:vAlign w:val="center"/>
          </w:tcPr>
          <w:p w14:paraId="207B1909">
            <w:pPr>
              <w:widowControl/>
              <w:shd w:val="clear"/>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auto" w:sz="4" w:space="0"/>
              <w:right w:val="single" w:color="auto" w:sz="8" w:space="0"/>
            </w:tcBorders>
            <w:shd w:val="clear" w:color="auto" w:fill="auto"/>
            <w:vAlign w:val="center"/>
          </w:tcPr>
          <w:p w14:paraId="2FBAF5FD">
            <w:pPr>
              <w:widowControl/>
              <w:shd w:val="clear"/>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1415D2AA">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63CF147">
            <w:pPr>
              <w:widowControl/>
              <w:shd w:val="clear"/>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3C79629">
            <w:pPr>
              <w:widowControl/>
              <w:shd w:val="clear"/>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4" w:space="0"/>
            </w:tcBorders>
            <w:vAlign w:val="center"/>
          </w:tcPr>
          <w:p w14:paraId="5DE5C8C1">
            <w:pPr>
              <w:widowControl/>
              <w:shd w:val="clear"/>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auto" w:sz="4" w:space="0"/>
              <w:right w:val="single" w:color="auto" w:sz="4" w:space="0"/>
            </w:tcBorders>
            <w:vAlign w:val="center"/>
          </w:tcPr>
          <w:p w14:paraId="05AF0A77">
            <w:pPr>
              <w:widowControl/>
              <w:shd w:val="clear"/>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8" w:space="0"/>
            </w:tcBorders>
            <w:vAlign w:val="center"/>
          </w:tcPr>
          <w:p w14:paraId="02C55AEC">
            <w:pPr>
              <w:widowControl/>
              <w:shd w:val="clear"/>
              <w:jc w:val="left"/>
              <w:rPr>
                <w:rFonts w:ascii="Times New Roman" w:hAnsi="Times New Roman" w:eastAsia="仿宋_GB2312" w:cs="Times New Roman"/>
                <w:kern w:val="0"/>
                <w:szCs w:val="21"/>
              </w:rPr>
            </w:pPr>
          </w:p>
        </w:tc>
      </w:tr>
      <w:tr w14:paraId="5B4D8532">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1D0D58A2">
            <w:pPr>
              <w:widowControl/>
              <w:shd w:val="clear"/>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6906D1D">
            <w:pPr>
              <w:widowControl/>
              <w:shd w:val="clear"/>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4" w:space="0"/>
            </w:tcBorders>
            <w:vAlign w:val="center"/>
          </w:tcPr>
          <w:p w14:paraId="5FDCF92B">
            <w:pPr>
              <w:widowControl/>
              <w:shd w:val="clear"/>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auto" w:sz="4" w:space="0"/>
              <w:right w:val="single" w:color="auto" w:sz="4" w:space="0"/>
            </w:tcBorders>
            <w:vAlign w:val="center"/>
          </w:tcPr>
          <w:p w14:paraId="5C07C740">
            <w:pPr>
              <w:widowControl/>
              <w:shd w:val="clear"/>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8" w:space="0"/>
            </w:tcBorders>
            <w:vAlign w:val="center"/>
          </w:tcPr>
          <w:p w14:paraId="723F2B23">
            <w:pPr>
              <w:widowControl/>
              <w:shd w:val="clear"/>
              <w:jc w:val="left"/>
              <w:rPr>
                <w:rFonts w:ascii="Times New Roman" w:hAnsi="Times New Roman" w:eastAsia="仿宋_GB2312" w:cs="Times New Roman"/>
                <w:kern w:val="0"/>
                <w:szCs w:val="21"/>
              </w:rPr>
            </w:pPr>
          </w:p>
        </w:tc>
      </w:tr>
      <w:tr w14:paraId="2351694B">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AC7FDDF">
            <w:pPr>
              <w:widowControl/>
              <w:shd w:val="clear"/>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53748695">
            <w:pPr>
              <w:widowControl/>
              <w:shd w:val="clear"/>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1B5EE8F3">
            <w:pPr>
              <w:widowControl/>
              <w:shd w:val="clear"/>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5918AB38">
            <w:pPr>
              <w:widowControl/>
              <w:shd w:val="clear"/>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1DA9FB1F">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F00EA71">
            <w:pPr>
              <w:widowControl/>
              <w:shd w:val="clear"/>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23239A6B">
            <w:pPr>
              <w:keepNext w:val="0"/>
              <w:keepLines w:val="0"/>
              <w:widowControl/>
              <w:suppressLineNumbers w:val="0"/>
              <w:shd w:val="clear"/>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112,737.89 </w:t>
            </w:r>
          </w:p>
        </w:tc>
        <w:tc>
          <w:tcPr>
            <w:tcW w:w="3492" w:type="dxa"/>
            <w:tcBorders>
              <w:top w:val="nil"/>
              <w:left w:val="nil"/>
              <w:bottom w:val="single" w:color="auto" w:sz="4" w:space="0"/>
              <w:right w:val="single" w:color="auto" w:sz="4" w:space="0"/>
            </w:tcBorders>
            <w:shd w:val="clear" w:color="auto" w:fill="auto"/>
            <w:vAlign w:val="center"/>
          </w:tcPr>
          <w:p w14:paraId="5D716430">
            <w:pPr>
              <w:keepNext w:val="0"/>
              <w:keepLines w:val="0"/>
              <w:widowControl/>
              <w:suppressLineNumbers w:val="0"/>
              <w:shd w:val="clear"/>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34,062.31 </w:t>
            </w:r>
          </w:p>
        </w:tc>
        <w:tc>
          <w:tcPr>
            <w:tcW w:w="3000" w:type="dxa"/>
            <w:tcBorders>
              <w:top w:val="nil"/>
              <w:left w:val="nil"/>
              <w:bottom w:val="single" w:color="auto" w:sz="4" w:space="0"/>
              <w:right w:val="single" w:color="auto" w:sz="8" w:space="0"/>
            </w:tcBorders>
            <w:shd w:val="clear" w:color="auto" w:fill="auto"/>
            <w:vAlign w:val="center"/>
          </w:tcPr>
          <w:p w14:paraId="3F1A6A4A">
            <w:pPr>
              <w:keepNext w:val="0"/>
              <w:keepLines w:val="0"/>
              <w:widowControl/>
              <w:suppressLineNumbers w:val="0"/>
              <w:shd w:val="clear"/>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78,675.58 </w:t>
            </w:r>
          </w:p>
        </w:tc>
      </w:tr>
      <w:tr w14:paraId="6AA2C0B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D82D59E">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3527" w:type="dxa"/>
            <w:tcBorders>
              <w:top w:val="nil"/>
              <w:left w:val="nil"/>
              <w:bottom w:val="single" w:color="auto" w:sz="4" w:space="0"/>
              <w:right w:val="single" w:color="auto" w:sz="4" w:space="0"/>
            </w:tcBorders>
            <w:shd w:val="clear" w:color="auto" w:fill="auto"/>
            <w:vAlign w:val="center"/>
          </w:tcPr>
          <w:p w14:paraId="0690853F">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6BD823A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194.24 </w:t>
            </w:r>
          </w:p>
        </w:tc>
        <w:tc>
          <w:tcPr>
            <w:tcW w:w="3492" w:type="dxa"/>
            <w:tcBorders>
              <w:top w:val="nil"/>
              <w:left w:val="nil"/>
              <w:bottom w:val="single" w:color="auto" w:sz="4" w:space="0"/>
              <w:right w:val="single" w:color="auto" w:sz="4" w:space="0"/>
            </w:tcBorders>
            <w:shd w:val="clear" w:color="auto" w:fill="auto"/>
            <w:vAlign w:val="center"/>
          </w:tcPr>
          <w:p w14:paraId="5DF4F40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193.27 </w:t>
            </w:r>
          </w:p>
        </w:tc>
        <w:tc>
          <w:tcPr>
            <w:tcW w:w="3000" w:type="dxa"/>
            <w:tcBorders>
              <w:top w:val="nil"/>
              <w:left w:val="nil"/>
              <w:bottom w:val="single" w:color="auto" w:sz="4" w:space="0"/>
              <w:right w:val="single" w:color="auto" w:sz="8" w:space="0"/>
            </w:tcBorders>
            <w:shd w:val="clear" w:color="auto" w:fill="auto"/>
            <w:vAlign w:val="center"/>
          </w:tcPr>
          <w:p w14:paraId="26AF971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0.97 </w:t>
            </w:r>
          </w:p>
        </w:tc>
      </w:tr>
      <w:tr w14:paraId="017C0DA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8D91573">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20123</w:t>
            </w:r>
          </w:p>
        </w:tc>
        <w:tc>
          <w:tcPr>
            <w:tcW w:w="3527" w:type="dxa"/>
            <w:tcBorders>
              <w:top w:val="nil"/>
              <w:left w:val="nil"/>
              <w:bottom w:val="single" w:color="auto" w:sz="4" w:space="0"/>
              <w:right w:val="single" w:color="auto" w:sz="4" w:space="0"/>
            </w:tcBorders>
            <w:shd w:val="clear" w:color="auto" w:fill="auto"/>
            <w:vAlign w:val="center"/>
          </w:tcPr>
          <w:p w14:paraId="1B6C4B82">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民族事务</w:t>
            </w:r>
          </w:p>
        </w:tc>
        <w:tc>
          <w:tcPr>
            <w:tcW w:w="3000" w:type="dxa"/>
            <w:tcBorders>
              <w:top w:val="nil"/>
              <w:left w:val="nil"/>
              <w:bottom w:val="single" w:color="auto" w:sz="4" w:space="0"/>
              <w:right w:val="single" w:color="auto" w:sz="4" w:space="0"/>
            </w:tcBorders>
            <w:shd w:val="clear" w:color="auto" w:fill="auto"/>
            <w:vAlign w:val="center"/>
          </w:tcPr>
          <w:p w14:paraId="13BC431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0.09 </w:t>
            </w:r>
          </w:p>
        </w:tc>
        <w:tc>
          <w:tcPr>
            <w:tcW w:w="3492" w:type="dxa"/>
            <w:tcBorders>
              <w:top w:val="nil"/>
              <w:left w:val="nil"/>
              <w:bottom w:val="single" w:color="auto" w:sz="4" w:space="0"/>
              <w:right w:val="single" w:color="auto" w:sz="4" w:space="0"/>
            </w:tcBorders>
            <w:shd w:val="clear" w:color="auto" w:fill="auto"/>
            <w:vAlign w:val="center"/>
          </w:tcPr>
          <w:p w14:paraId="37E15DA7">
            <w:pPr>
              <w:shd w:val="clear"/>
              <w:jc w:val="right"/>
              <w:rPr>
                <w:rFonts w:hint="eastAsia" w:ascii="宋体" w:hAnsi="宋体" w:eastAsia="宋体" w:cs="宋体"/>
                <w:i w:val="0"/>
                <w:iCs w:val="0"/>
                <w:color w:val="000000"/>
                <w:sz w:val="22"/>
                <w:szCs w:val="22"/>
                <w:u w:val="none"/>
              </w:rPr>
            </w:pPr>
          </w:p>
        </w:tc>
        <w:tc>
          <w:tcPr>
            <w:tcW w:w="3000" w:type="dxa"/>
            <w:tcBorders>
              <w:top w:val="nil"/>
              <w:left w:val="nil"/>
              <w:bottom w:val="single" w:color="auto" w:sz="4" w:space="0"/>
              <w:right w:val="single" w:color="auto" w:sz="8" w:space="0"/>
            </w:tcBorders>
            <w:shd w:val="clear" w:color="auto" w:fill="auto"/>
            <w:vAlign w:val="center"/>
          </w:tcPr>
          <w:p w14:paraId="375549B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0.09 </w:t>
            </w:r>
          </w:p>
        </w:tc>
      </w:tr>
      <w:tr w14:paraId="18C6753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0E5C1B4">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2012304</w:t>
            </w:r>
          </w:p>
        </w:tc>
        <w:tc>
          <w:tcPr>
            <w:tcW w:w="3527" w:type="dxa"/>
            <w:tcBorders>
              <w:top w:val="nil"/>
              <w:left w:val="nil"/>
              <w:bottom w:val="single" w:color="auto" w:sz="4" w:space="0"/>
              <w:right w:val="single" w:color="auto" w:sz="4" w:space="0"/>
            </w:tcBorders>
            <w:shd w:val="clear" w:color="auto" w:fill="auto"/>
            <w:vAlign w:val="center"/>
          </w:tcPr>
          <w:p w14:paraId="013AAF34">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民族工作专项</w:t>
            </w:r>
          </w:p>
        </w:tc>
        <w:tc>
          <w:tcPr>
            <w:tcW w:w="3000" w:type="dxa"/>
            <w:tcBorders>
              <w:top w:val="nil"/>
              <w:left w:val="nil"/>
              <w:bottom w:val="single" w:color="auto" w:sz="4" w:space="0"/>
              <w:right w:val="single" w:color="auto" w:sz="4" w:space="0"/>
            </w:tcBorders>
            <w:shd w:val="clear" w:color="auto" w:fill="auto"/>
            <w:vAlign w:val="center"/>
          </w:tcPr>
          <w:p w14:paraId="2D10F0A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0.09 </w:t>
            </w:r>
          </w:p>
        </w:tc>
        <w:tc>
          <w:tcPr>
            <w:tcW w:w="3492" w:type="dxa"/>
            <w:tcBorders>
              <w:top w:val="nil"/>
              <w:left w:val="nil"/>
              <w:bottom w:val="single" w:color="auto" w:sz="4" w:space="0"/>
              <w:right w:val="single" w:color="auto" w:sz="4" w:space="0"/>
            </w:tcBorders>
            <w:shd w:val="clear" w:color="auto" w:fill="auto"/>
            <w:vAlign w:val="center"/>
          </w:tcPr>
          <w:p w14:paraId="570B3DBF">
            <w:pPr>
              <w:shd w:val="clear"/>
              <w:jc w:val="right"/>
              <w:rPr>
                <w:rFonts w:hint="eastAsia" w:ascii="宋体" w:hAnsi="宋体" w:eastAsia="宋体" w:cs="宋体"/>
                <w:i w:val="0"/>
                <w:iCs w:val="0"/>
                <w:color w:val="000000"/>
                <w:sz w:val="22"/>
                <w:szCs w:val="22"/>
                <w:u w:val="none"/>
              </w:rPr>
            </w:pPr>
          </w:p>
        </w:tc>
        <w:tc>
          <w:tcPr>
            <w:tcW w:w="3000" w:type="dxa"/>
            <w:tcBorders>
              <w:top w:val="nil"/>
              <w:left w:val="nil"/>
              <w:bottom w:val="single" w:color="auto" w:sz="4" w:space="0"/>
              <w:right w:val="single" w:color="auto" w:sz="8" w:space="0"/>
            </w:tcBorders>
            <w:shd w:val="clear" w:color="auto" w:fill="auto"/>
            <w:vAlign w:val="center"/>
          </w:tcPr>
          <w:p w14:paraId="6C8F5D1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0.09 </w:t>
            </w:r>
          </w:p>
        </w:tc>
      </w:tr>
      <w:tr w14:paraId="7AB5D49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893B9BE">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20133</w:t>
            </w:r>
          </w:p>
        </w:tc>
        <w:tc>
          <w:tcPr>
            <w:tcW w:w="3527" w:type="dxa"/>
            <w:tcBorders>
              <w:top w:val="nil"/>
              <w:left w:val="nil"/>
              <w:bottom w:val="single" w:color="auto" w:sz="4" w:space="0"/>
              <w:right w:val="single" w:color="auto" w:sz="4" w:space="0"/>
            </w:tcBorders>
            <w:shd w:val="clear" w:color="auto" w:fill="auto"/>
            <w:vAlign w:val="center"/>
          </w:tcPr>
          <w:p w14:paraId="70C8CBFC">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宣传事务</w:t>
            </w:r>
          </w:p>
        </w:tc>
        <w:tc>
          <w:tcPr>
            <w:tcW w:w="3000" w:type="dxa"/>
            <w:tcBorders>
              <w:top w:val="nil"/>
              <w:left w:val="nil"/>
              <w:bottom w:val="single" w:color="auto" w:sz="4" w:space="0"/>
              <w:right w:val="single" w:color="auto" w:sz="4" w:space="0"/>
            </w:tcBorders>
            <w:shd w:val="clear" w:color="auto" w:fill="auto"/>
            <w:vAlign w:val="center"/>
          </w:tcPr>
          <w:p w14:paraId="3262C96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193.27 </w:t>
            </w:r>
          </w:p>
        </w:tc>
        <w:tc>
          <w:tcPr>
            <w:tcW w:w="3492" w:type="dxa"/>
            <w:tcBorders>
              <w:top w:val="nil"/>
              <w:left w:val="nil"/>
              <w:bottom w:val="single" w:color="auto" w:sz="4" w:space="0"/>
              <w:right w:val="single" w:color="auto" w:sz="4" w:space="0"/>
            </w:tcBorders>
            <w:shd w:val="clear" w:color="auto" w:fill="auto"/>
            <w:vAlign w:val="center"/>
          </w:tcPr>
          <w:p w14:paraId="719CEEF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193.27 </w:t>
            </w:r>
          </w:p>
        </w:tc>
        <w:tc>
          <w:tcPr>
            <w:tcW w:w="3000" w:type="dxa"/>
            <w:tcBorders>
              <w:top w:val="nil"/>
              <w:left w:val="nil"/>
              <w:bottom w:val="single" w:color="auto" w:sz="4" w:space="0"/>
              <w:right w:val="single" w:color="auto" w:sz="8" w:space="0"/>
            </w:tcBorders>
            <w:shd w:val="clear" w:color="auto" w:fill="auto"/>
            <w:vAlign w:val="center"/>
          </w:tcPr>
          <w:p w14:paraId="737BFB4E">
            <w:pPr>
              <w:shd w:val="clear"/>
              <w:jc w:val="right"/>
              <w:rPr>
                <w:rFonts w:hint="eastAsia" w:ascii="宋体" w:hAnsi="宋体" w:eastAsia="宋体" w:cs="宋体"/>
                <w:i w:val="0"/>
                <w:iCs w:val="0"/>
                <w:color w:val="000000"/>
                <w:sz w:val="22"/>
                <w:szCs w:val="22"/>
                <w:u w:val="none"/>
              </w:rPr>
            </w:pPr>
          </w:p>
        </w:tc>
      </w:tr>
      <w:tr w14:paraId="7374F45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940AA97">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2013301</w:t>
            </w:r>
          </w:p>
        </w:tc>
        <w:tc>
          <w:tcPr>
            <w:tcW w:w="3527" w:type="dxa"/>
            <w:tcBorders>
              <w:top w:val="nil"/>
              <w:left w:val="nil"/>
              <w:bottom w:val="single" w:color="auto" w:sz="4" w:space="0"/>
              <w:right w:val="single" w:color="auto" w:sz="4" w:space="0"/>
            </w:tcBorders>
            <w:shd w:val="clear" w:color="auto" w:fill="auto"/>
            <w:vAlign w:val="center"/>
          </w:tcPr>
          <w:p w14:paraId="4167680C">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14:paraId="076787C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193.27 </w:t>
            </w:r>
          </w:p>
        </w:tc>
        <w:tc>
          <w:tcPr>
            <w:tcW w:w="3492" w:type="dxa"/>
            <w:tcBorders>
              <w:top w:val="nil"/>
              <w:left w:val="nil"/>
              <w:bottom w:val="single" w:color="auto" w:sz="4" w:space="0"/>
              <w:right w:val="single" w:color="auto" w:sz="4" w:space="0"/>
            </w:tcBorders>
            <w:shd w:val="clear" w:color="auto" w:fill="auto"/>
            <w:vAlign w:val="center"/>
          </w:tcPr>
          <w:p w14:paraId="779EEE2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193.27 </w:t>
            </w:r>
          </w:p>
        </w:tc>
        <w:tc>
          <w:tcPr>
            <w:tcW w:w="3000" w:type="dxa"/>
            <w:tcBorders>
              <w:top w:val="nil"/>
              <w:left w:val="nil"/>
              <w:bottom w:val="single" w:color="auto" w:sz="4" w:space="0"/>
              <w:right w:val="single" w:color="auto" w:sz="8" w:space="0"/>
            </w:tcBorders>
            <w:shd w:val="clear" w:color="auto" w:fill="auto"/>
            <w:vAlign w:val="center"/>
          </w:tcPr>
          <w:p w14:paraId="096DA1EB">
            <w:pPr>
              <w:shd w:val="clear"/>
              <w:jc w:val="right"/>
              <w:rPr>
                <w:rFonts w:hint="eastAsia" w:ascii="宋体" w:hAnsi="宋体" w:eastAsia="宋体" w:cs="宋体"/>
                <w:i w:val="0"/>
                <w:iCs w:val="0"/>
                <w:color w:val="000000"/>
                <w:sz w:val="22"/>
                <w:szCs w:val="22"/>
                <w:u w:val="none"/>
              </w:rPr>
            </w:pPr>
          </w:p>
        </w:tc>
      </w:tr>
      <w:tr w14:paraId="096557F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98CF1BA">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20136</w:t>
            </w:r>
          </w:p>
        </w:tc>
        <w:tc>
          <w:tcPr>
            <w:tcW w:w="3527" w:type="dxa"/>
            <w:tcBorders>
              <w:top w:val="nil"/>
              <w:left w:val="nil"/>
              <w:bottom w:val="single" w:color="auto" w:sz="4" w:space="0"/>
              <w:right w:val="single" w:color="auto" w:sz="4" w:space="0"/>
            </w:tcBorders>
            <w:shd w:val="clear" w:color="auto" w:fill="auto"/>
            <w:vAlign w:val="center"/>
          </w:tcPr>
          <w:p w14:paraId="1AE49265">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其他共产党事务支出</w:t>
            </w:r>
          </w:p>
        </w:tc>
        <w:tc>
          <w:tcPr>
            <w:tcW w:w="3000" w:type="dxa"/>
            <w:tcBorders>
              <w:top w:val="nil"/>
              <w:left w:val="nil"/>
              <w:bottom w:val="single" w:color="auto" w:sz="4" w:space="0"/>
              <w:right w:val="single" w:color="auto" w:sz="4" w:space="0"/>
            </w:tcBorders>
            <w:shd w:val="clear" w:color="auto" w:fill="auto"/>
            <w:vAlign w:val="center"/>
          </w:tcPr>
          <w:p w14:paraId="75C8972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0.89 </w:t>
            </w:r>
          </w:p>
        </w:tc>
        <w:tc>
          <w:tcPr>
            <w:tcW w:w="3492" w:type="dxa"/>
            <w:tcBorders>
              <w:top w:val="nil"/>
              <w:left w:val="nil"/>
              <w:bottom w:val="single" w:color="auto" w:sz="4" w:space="0"/>
              <w:right w:val="single" w:color="auto" w:sz="4" w:space="0"/>
            </w:tcBorders>
            <w:shd w:val="clear" w:color="auto" w:fill="auto"/>
            <w:vAlign w:val="center"/>
          </w:tcPr>
          <w:p w14:paraId="38384AAF">
            <w:pPr>
              <w:shd w:val="clear"/>
              <w:jc w:val="right"/>
              <w:rPr>
                <w:rFonts w:hint="eastAsia" w:ascii="宋体" w:hAnsi="宋体" w:eastAsia="宋体" w:cs="宋体"/>
                <w:i w:val="0"/>
                <w:iCs w:val="0"/>
                <w:color w:val="000000"/>
                <w:sz w:val="22"/>
                <w:szCs w:val="22"/>
                <w:u w:val="none"/>
              </w:rPr>
            </w:pPr>
          </w:p>
        </w:tc>
        <w:tc>
          <w:tcPr>
            <w:tcW w:w="3000" w:type="dxa"/>
            <w:tcBorders>
              <w:top w:val="nil"/>
              <w:left w:val="nil"/>
              <w:bottom w:val="single" w:color="auto" w:sz="4" w:space="0"/>
              <w:right w:val="single" w:color="auto" w:sz="8" w:space="0"/>
            </w:tcBorders>
            <w:shd w:val="clear" w:color="auto" w:fill="auto"/>
            <w:vAlign w:val="center"/>
          </w:tcPr>
          <w:p w14:paraId="1367F79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0.89 </w:t>
            </w:r>
          </w:p>
        </w:tc>
      </w:tr>
      <w:tr w14:paraId="50449F58">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65CD8CE">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2013602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3E36B50">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68DDC3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0.89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ADDCAFB">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806A8C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0.89 </w:t>
            </w:r>
          </w:p>
        </w:tc>
      </w:tr>
      <w:tr w14:paraId="0042EF99">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84D08E5">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9542FCA">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教育支出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183CF9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512.49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45DCE7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31.34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650BFF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481.15 </w:t>
            </w:r>
          </w:p>
        </w:tc>
      </w:tr>
      <w:tr w14:paraId="5B69AE74">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23F71D5">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DBFFB4C">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普通教育</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943A54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411.00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AF5B552">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637CEE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411.00 </w:t>
            </w:r>
          </w:p>
        </w:tc>
      </w:tr>
      <w:tr w14:paraId="3EBE4AE8">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3CA693B">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2050201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9677EED">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学前教育</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D5AB4C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411.00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B693964">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27F8189">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411.00 </w:t>
            </w:r>
          </w:p>
        </w:tc>
      </w:tr>
      <w:tr w14:paraId="43330CF0">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D8F4D84">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CBBFFFE">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进修及培训</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3C2780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101.49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11F079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31.34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DD22B9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70.15 </w:t>
            </w:r>
          </w:p>
        </w:tc>
      </w:tr>
      <w:tr w14:paraId="30F88BF8">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3E71262">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2050803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813B02C">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培训支出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75EE8E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101.49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8A47459">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31.34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FAF7A2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70.15 </w:t>
            </w:r>
          </w:p>
        </w:tc>
      </w:tr>
      <w:tr w14:paraId="1F76249F">
        <w:tblPrEx>
          <w:tblCellMar>
            <w:top w:w="0" w:type="dxa"/>
            <w:left w:w="108" w:type="dxa"/>
            <w:bottom w:w="0" w:type="dxa"/>
            <w:right w:w="108" w:type="dxa"/>
          </w:tblCellMar>
        </w:tblPrEx>
        <w:trPr>
          <w:trHeight w:val="50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E9328E8">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206</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4C75994">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科学技术支出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C743D2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35.41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F03CD7B">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44E3AA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35.41 </w:t>
            </w:r>
          </w:p>
        </w:tc>
      </w:tr>
      <w:tr w14:paraId="5E1317B5">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386CCAE">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20606</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DF2206D">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社会科学</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D8B89D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13.91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81E1465">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D6F9B2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13.91 </w:t>
            </w:r>
          </w:p>
        </w:tc>
      </w:tr>
      <w:tr w14:paraId="2A702B3A">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7F60AD4">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2060602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332DAFD">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社会科学研究</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00D13D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3.06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D2826DC">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E125A2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3.06 </w:t>
            </w:r>
          </w:p>
        </w:tc>
      </w:tr>
      <w:tr w14:paraId="165818B7">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686ADC4">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2060603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78912E1">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社科基金支出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0036EE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10.85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B1C3F44">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B7A165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10.85 </w:t>
            </w:r>
          </w:p>
        </w:tc>
      </w:tr>
      <w:tr w14:paraId="59B787FA">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3A06760">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20699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D9C7E08">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2F812B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21.50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BF229B8">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8AEAD9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21.50 </w:t>
            </w:r>
          </w:p>
        </w:tc>
      </w:tr>
      <w:tr w14:paraId="3447382F">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8B120F0">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2069999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DED0286">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14B7E7F">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21.50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039502C">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7F5BBD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21.50 </w:t>
            </w:r>
          </w:p>
        </w:tc>
      </w:tr>
      <w:tr w14:paraId="177C58DB">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FE99D95">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0BD81CC">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30AFA7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103,258.94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BEF066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25,109.92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3707DF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78,149.02 </w:t>
            </w:r>
          </w:p>
        </w:tc>
      </w:tr>
      <w:tr w14:paraId="39CADA0A">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405099F">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01A3AB9">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文化和旅游</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07A46C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67,496.87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E4ED1C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19,068.34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B407E6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48,428.53 </w:t>
            </w:r>
          </w:p>
        </w:tc>
      </w:tr>
      <w:tr w14:paraId="4ADD56B7">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02DBD4E">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2070101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1671FB0">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6BA85E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3,416.66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B2CC7B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3,416.66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C6A4402">
            <w:pPr>
              <w:shd w:val="clear"/>
              <w:jc w:val="right"/>
              <w:rPr>
                <w:rFonts w:hint="eastAsia" w:ascii="宋体" w:hAnsi="宋体" w:eastAsia="宋体" w:cs="宋体"/>
                <w:i w:val="0"/>
                <w:iCs w:val="0"/>
                <w:color w:val="000000"/>
                <w:sz w:val="22"/>
                <w:szCs w:val="22"/>
                <w:u w:val="none"/>
              </w:rPr>
            </w:pPr>
          </w:p>
        </w:tc>
      </w:tr>
      <w:tr w14:paraId="1D98A868">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B94507B">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2070102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EFCFE12">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C5B560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128.22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D3725C4">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17BCE5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128.22 </w:t>
            </w:r>
          </w:p>
        </w:tc>
      </w:tr>
      <w:tr w14:paraId="7C5CB79D">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83691C6">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2070104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DF6A495">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图书馆</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11CC74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8,778.79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B7BDE8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5,250.38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ED261F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3,528.41 </w:t>
            </w:r>
          </w:p>
        </w:tc>
      </w:tr>
      <w:tr w14:paraId="6CD61DF4">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2218592">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2070107</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66B36F7">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艺术表演团体</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E1AF809">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6,213.63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405571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5,467.66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E09E03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745.97 </w:t>
            </w:r>
          </w:p>
        </w:tc>
      </w:tr>
      <w:tr w14:paraId="31F59877">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CC09342">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2070109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CC69904">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群众文化</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FF2E21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1,878.94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A8175D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1,306.42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D2E6A1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572.52 </w:t>
            </w:r>
          </w:p>
        </w:tc>
      </w:tr>
      <w:tr w14:paraId="0523358E">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B114E76">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2070110</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4EEB7C5">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文化和旅游交流与合作</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222524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73.17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6C3943C">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DE1F74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73.17 </w:t>
            </w:r>
          </w:p>
        </w:tc>
      </w:tr>
      <w:tr w14:paraId="652CC894">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0589F1A">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2070111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D20122E">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文化创作与保护</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95F816F">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1,407.30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7963C0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966.50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491E44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440.80 </w:t>
            </w:r>
          </w:p>
        </w:tc>
      </w:tr>
      <w:tr w14:paraId="5916D4DD">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4D7B5C4">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2070112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2BC3DED">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文化和旅游市场管理</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4C4A24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156.36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4506B6A">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C4C012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156.36 </w:t>
            </w:r>
          </w:p>
        </w:tc>
      </w:tr>
      <w:tr w14:paraId="4852273E">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35E36AE">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2070113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59697BB">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旅游宣传</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2E5C9A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4,163.22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AF12805">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8EC18C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4,163.22 </w:t>
            </w:r>
          </w:p>
        </w:tc>
      </w:tr>
      <w:tr w14:paraId="75EB1F1A">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C881C05">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2070114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CE6C54B">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文化和旅游管理事务</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D71CBE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442.57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392FCD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52.66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886E6D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389.91 </w:t>
            </w:r>
          </w:p>
        </w:tc>
      </w:tr>
      <w:tr w14:paraId="00A2F82C">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1064DEF">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2070199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7AA4508">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其他文化和旅游支出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9EE002F">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40,838.01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407A93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2,608.05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ED9594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38,229.96 </w:t>
            </w:r>
          </w:p>
        </w:tc>
      </w:tr>
      <w:tr w14:paraId="0BCD0A2C">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DD000B4">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AFE6446">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文物</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858A81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32,542.90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9D35D4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6,041.59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7578BB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26,501.31 </w:t>
            </w:r>
          </w:p>
        </w:tc>
      </w:tr>
      <w:tr w14:paraId="1EB125C4">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A30D1D2">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2070201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6A96EFA">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38FF31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759.36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608DF8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759.36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9671539">
            <w:pPr>
              <w:shd w:val="clear"/>
              <w:jc w:val="right"/>
              <w:rPr>
                <w:rFonts w:hint="eastAsia" w:ascii="宋体" w:hAnsi="宋体" w:eastAsia="宋体" w:cs="宋体"/>
                <w:i w:val="0"/>
                <w:iCs w:val="0"/>
                <w:color w:val="000000"/>
                <w:sz w:val="22"/>
                <w:szCs w:val="22"/>
                <w:u w:val="none"/>
              </w:rPr>
            </w:pPr>
          </w:p>
        </w:tc>
      </w:tr>
      <w:tr w14:paraId="4377F1D0">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922DADA">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2070204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77DD37C">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文物保护</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288DE6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7,919.37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50101C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1,261.58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77D588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6,657.79 </w:t>
            </w:r>
          </w:p>
        </w:tc>
      </w:tr>
      <w:tr w14:paraId="7B187524">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22B9620">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2070205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88DE7EF">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博物馆</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E102F1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19,531.71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BA0C34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4,020.65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D29928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15,511.06 </w:t>
            </w:r>
          </w:p>
        </w:tc>
      </w:tr>
      <w:tr w14:paraId="09D1AE4A">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69F372F">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2070299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2835E7E">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其他文物支出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DBB7B5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4,332.47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37D0F38">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6EB831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4,332.47 </w:t>
            </w:r>
          </w:p>
        </w:tc>
      </w:tr>
      <w:tr w14:paraId="490CB459">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7523A04">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2AC658A">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13BAF1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3,219.17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87661C6">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DF418D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3,219.17 </w:t>
            </w:r>
          </w:p>
        </w:tc>
      </w:tr>
      <w:tr w14:paraId="5AE3E14D">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F1A35B0">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2079999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BE1344E">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3D0E1D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3,219.17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B83D21C">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C79A9C9">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3,219.17 </w:t>
            </w:r>
          </w:p>
        </w:tc>
      </w:tr>
      <w:tr w14:paraId="12763BDA">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2A891B3">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377A7BF">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AA25B5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5,247.91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143E75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5,247.91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6D3FE48">
            <w:pPr>
              <w:shd w:val="clear"/>
              <w:jc w:val="right"/>
              <w:rPr>
                <w:rFonts w:hint="eastAsia" w:ascii="宋体" w:hAnsi="宋体" w:eastAsia="宋体" w:cs="宋体"/>
                <w:i w:val="0"/>
                <w:iCs w:val="0"/>
                <w:color w:val="000000"/>
                <w:sz w:val="22"/>
                <w:szCs w:val="22"/>
                <w:u w:val="none"/>
              </w:rPr>
            </w:pPr>
          </w:p>
        </w:tc>
      </w:tr>
      <w:tr w14:paraId="06EDF1AF">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C612A11">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6CA4373">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EC7F8A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5,149.54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333FA2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5,149.54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584472C">
            <w:pPr>
              <w:shd w:val="clear"/>
              <w:jc w:val="right"/>
              <w:rPr>
                <w:rFonts w:hint="eastAsia" w:ascii="宋体" w:hAnsi="宋体" w:eastAsia="宋体" w:cs="宋体"/>
                <w:i w:val="0"/>
                <w:iCs w:val="0"/>
                <w:color w:val="000000"/>
                <w:sz w:val="22"/>
                <w:szCs w:val="22"/>
                <w:u w:val="none"/>
              </w:rPr>
            </w:pPr>
          </w:p>
        </w:tc>
      </w:tr>
      <w:tr w14:paraId="396338D8">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E46AD40">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2080501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29211CC">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行政单位离退休</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4F4999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673.12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A47366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673.12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7511F9C">
            <w:pPr>
              <w:shd w:val="clear"/>
              <w:jc w:val="right"/>
              <w:rPr>
                <w:rFonts w:hint="eastAsia" w:ascii="宋体" w:hAnsi="宋体" w:eastAsia="宋体" w:cs="宋体"/>
                <w:i w:val="0"/>
                <w:iCs w:val="0"/>
                <w:color w:val="000000"/>
                <w:sz w:val="22"/>
                <w:szCs w:val="22"/>
                <w:u w:val="none"/>
              </w:rPr>
            </w:pPr>
          </w:p>
        </w:tc>
      </w:tr>
      <w:tr w14:paraId="2D4CC240">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CEEA2AE">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2080502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D8A53ED">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事业单位离退休</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FA2DA9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1,618.13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459D33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1,618.13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8AA072F">
            <w:pPr>
              <w:shd w:val="clear"/>
              <w:jc w:val="right"/>
              <w:rPr>
                <w:rFonts w:hint="eastAsia" w:ascii="宋体" w:hAnsi="宋体" w:eastAsia="宋体" w:cs="宋体"/>
                <w:i w:val="0"/>
                <w:iCs w:val="0"/>
                <w:color w:val="000000"/>
                <w:sz w:val="22"/>
                <w:szCs w:val="22"/>
                <w:u w:val="none"/>
              </w:rPr>
            </w:pPr>
          </w:p>
        </w:tc>
      </w:tr>
      <w:tr w14:paraId="105F806B">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421564F">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08A0457">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61323B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2,469.46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13D06A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2,469.46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C3CAAFB">
            <w:pPr>
              <w:shd w:val="clear"/>
              <w:jc w:val="right"/>
              <w:rPr>
                <w:rFonts w:hint="eastAsia" w:ascii="宋体" w:hAnsi="宋体" w:eastAsia="宋体" w:cs="宋体"/>
                <w:i w:val="0"/>
                <w:iCs w:val="0"/>
                <w:color w:val="000000"/>
                <w:sz w:val="22"/>
                <w:szCs w:val="22"/>
                <w:u w:val="none"/>
              </w:rPr>
            </w:pPr>
          </w:p>
        </w:tc>
      </w:tr>
      <w:tr w14:paraId="1E3C939D">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AD735EB">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2080506</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94DF7F8">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机关事业单位职业年金缴费支出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F06A8B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388.83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E419D1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388.83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0FD7529">
            <w:pPr>
              <w:shd w:val="clear"/>
              <w:jc w:val="right"/>
              <w:rPr>
                <w:rFonts w:hint="eastAsia" w:ascii="宋体" w:hAnsi="宋体" w:eastAsia="宋体" w:cs="宋体"/>
                <w:i w:val="0"/>
                <w:iCs w:val="0"/>
                <w:color w:val="000000"/>
                <w:sz w:val="22"/>
                <w:szCs w:val="22"/>
                <w:u w:val="none"/>
              </w:rPr>
            </w:pPr>
          </w:p>
        </w:tc>
      </w:tr>
      <w:tr w14:paraId="2BC7B21C">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DBC97D4">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6C18E38">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1F0039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98.37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D43A77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98.37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8B7359E">
            <w:pPr>
              <w:shd w:val="clear"/>
              <w:jc w:val="right"/>
              <w:rPr>
                <w:rFonts w:hint="eastAsia" w:ascii="宋体" w:hAnsi="宋体" w:eastAsia="宋体" w:cs="宋体"/>
                <w:i w:val="0"/>
                <w:iCs w:val="0"/>
                <w:color w:val="000000"/>
                <w:sz w:val="22"/>
                <w:szCs w:val="22"/>
                <w:u w:val="none"/>
              </w:rPr>
            </w:pPr>
          </w:p>
        </w:tc>
      </w:tr>
      <w:tr w14:paraId="4B863513">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CF659ED">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52FED81">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死亡抚恤</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3976CB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98.37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2CA682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98.37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A6F6C50">
            <w:pPr>
              <w:shd w:val="clear"/>
              <w:jc w:val="right"/>
              <w:rPr>
                <w:rFonts w:hint="eastAsia" w:ascii="宋体" w:hAnsi="宋体" w:eastAsia="宋体" w:cs="宋体"/>
                <w:i w:val="0"/>
                <w:iCs w:val="0"/>
                <w:color w:val="000000"/>
                <w:sz w:val="22"/>
                <w:szCs w:val="22"/>
                <w:u w:val="none"/>
              </w:rPr>
            </w:pPr>
          </w:p>
        </w:tc>
      </w:tr>
      <w:tr w14:paraId="73235BAD">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B89733E">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EA3DAB0">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0B09FB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354.57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63C30B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354.57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A13CB78">
            <w:pPr>
              <w:shd w:val="clear"/>
              <w:jc w:val="right"/>
              <w:rPr>
                <w:rFonts w:hint="eastAsia" w:ascii="宋体" w:hAnsi="宋体" w:eastAsia="宋体" w:cs="宋体"/>
                <w:i w:val="0"/>
                <w:iCs w:val="0"/>
                <w:color w:val="000000"/>
                <w:sz w:val="22"/>
                <w:szCs w:val="22"/>
                <w:u w:val="none"/>
              </w:rPr>
            </w:pPr>
          </w:p>
        </w:tc>
      </w:tr>
      <w:tr w14:paraId="17C0E628">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CD16ABD">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C59807A">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卫生健康管理事务</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842695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4.49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6F6262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4.49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C2CD1AE">
            <w:pPr>
              <w:shd w:val="clear"/>
              <w:jc w:val="right"/>
              <w:rPr>
                <w:rFonts w:hint="eastAsia" w:ascii="宋体" w:hAnsi="宋体" w:eastAsia="宋体" w:cs="宋体"/>
                <w:i w:val="0"/>
                <w:iCs w:val="0"/>
                <w:color w:val="000000"/>
                <w:sz w:val="22"/>
                <w:szCs w:val="22"/>
                <w:u w:val="none"/>
              </w:rPr>
            </w:pPr>
          </w:p>
        </w:tc>
      </w:tr>
      <w:tr w14:paraId="0AE227B6">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EF1C39B">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2100102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52A0764">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93B066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4.49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EF542C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4.49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5C7217C">
            <w:pPr>
              <w:shd w:val="clear"/>
              <w:jc w:val="right"/>
              <w:rPr>
                <w:rFonts w:hint="eastAsia" w:ascii="宋体" w:hAnsi="宋体" w:eastAsia="宋体" w:cs="宋体"/>
                <w:i w:val="0"/>
                <w:iCs w:val="0"/>
                <w:color w:val="000000"/>
                <w:sz w:val="22"/>
                <w:szCs w:val="22"/>
                <w:u w:val="none"/>
              </w:rPr>
            </w:pPr>
          </w:p>
        </w:tc>
      </w:tr>
      <w:tr w14:paraId="1732BDEC">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2BED28D">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2662532">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A5D3F3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350.08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9D8E849">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350.08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4503005">
            <w:pPr>
              <w:shd w:val="clear"/>
              <w:jc w:val="right"/>
              <w:rPr>
                <w:rFonts w:hint="eastAsia" w:ascii="宋体" w:hAnsi="宋体" w:eastAsia="宋体" w:cs="宋体"/>
                <w:i w:val="0"/>
                <w:iCs w:val="0"/>
                <w:color w:val="000000"/>
                <w:sz w:val="22"/>
                <w:szCs w:val="22"/>
                <w:u w:val="none"/>
              </w:rPr>
            </w:pPr>
          </w:p>
        </w:tc>
      </w:tr>
      <w:tr w14:paraId="1057AA69">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DA7DAB4">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F18F255">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FEBC05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26.66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F8B5AA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26.66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7B3BD07">
            <w:pPr>
              <w:shd w:val="clear"/>
              <w:jc w:val="right"/>
              <w:rPr>
                <w:rFonts w:hint="eastAsia" w:ascii="宋体" w:hAnsi="宋体" w:eastAsia="宋体" w:cs="宋体"/>
                <w:i w:val="0"/>
                <w:iCs w:val="0"/>
                <w:color w:val="000000"/>
                <w:sz w:val="22"/>
                <w:szCs w:val="22"/>
                <w:u w:val="none"/>
              </w:rPr>
            </w:pPr>
          </w:p>
        </w:tc>
      </w:tr>
      <w:tr w14:paraId="75C1E5B4">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9818722">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2101102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106F77E">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事业单位医疗</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BAB351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97.72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BB6AE3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97.72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3D71292">
            <w:pPr>
              <w:shd w:val="clear"/>
              <w:jc w:val="right"/>
              <w:rPr>
                <w:rFonts w:hint="eastAsia" w:ascii="宋体" w:hAnsi="宋体" w:eastAsia="宋体" w:cs="宋体"/>
                <w:i w:val="0"/>
                <w:iCs w:val="0"/>
                <w:color w:val="000000"/>
                <w:sz w:val="22"/>
                <w:szCs w:val="22"/>
                <w:u w:val="none"/>
              </w:rPr>
            </w:pPr>
          </w:p>
        </w:tc>
      </w:tr>
      <w:tr w14:paraId="62D7FA78">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5A90EAD">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2101103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E85D836">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公务员医疗补助</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E56362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225.70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F0F6CF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225.70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5B48F1E">
            <w:pPr>
              <w:shd w:val="clear"/>
              <w:jc w:val="right"/>
              <w:rPr>
                <w:rFonts w:hint="eastAsia" w:ascii="宋体" w:hAnsi="宋体" w:eastAsia="宋体" w:cs="宋体"/>
                <w:i w:val="0"/>
                <w:iCs w:val="0"/>
                <w:color w:val="000000"/>
                <w:sz w:val="22"/>
                <w:szCs w:val="22"/>
                <w:u w:val="none"/>
              </w:rPr>
            </w:pPr>
          </w:p>
        </w:tc>
      </w:tr>
      <w:tr w14:paraId="5C38634E">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20F1231">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079A771">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299C81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3,134.33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F892C0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3,125.29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68F3DD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9.04 </w:t>
            </w:r>
          </w:p>
        </w:tc>
      </w:tr>
      <w:tr w14:paraId="51F58F5E">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B5FEFA0">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7D27A46">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E2CFBD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3,134.33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2880C1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3,125.29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273183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9.04 </w:t>
            </w:r>
          </w:p>
        </w:tc>
      </w:tr>
      <w:tr w14:paraId="176C0AF0">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DC337A2">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C78E567">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B27F8F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2,412.35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E29E3F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2,403.31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D9B786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9.04 </w:t>
            </w:r>
          </w:p>
        </w:tc>
      </w:tr>
      <w:tr w14:paraId="6A3FC59D">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413471D">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2210203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4B42D49">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购房补贴</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E84736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721.98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40CFAC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721.98 </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B711A94">
            <w:pPr>
              <w:shd w:val="clear"/>
              <w:jc w:val="right"/>
              <w:rPr>
                <w:rFonts w:hint="eastAsia" w:ascii="宋体" w:hAnsi="宋体" w:eastAsia="宋体" w:cs="宋体"/>
                <w:i w:val="0"/>
                <w:iCs w:val="0"/>
                <w:color w:val="000000"/>
                <w:sz w:val="22"/>
                <w:szCs w:val="22"/>
                <w:u w:val="none"/>
              </w:rPr>
            </w:pPr>
          </w:p>
        </w:tc>
      </w:tr>
    </w:tbl>
    <w:p w14:paraId="63BF3F16">
      <w:pPr>
        <w:widowControl/>
        <w:shd w:val="clear"/>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4F4F5AB9">
      <w:pPr>
        <w:widowControl/>
        <w:shd w:val="clear"/>
        <w:jc w:val="left"/>
        <w:rPr>
          <w:rFonts w:ascii="Times New Roman" w:hAnsi="Times New Roman" w:eastAsia="仿宋_GB2312" w:cs="Times New Roman"/>
          <w:bCs/>
          <w:kern w:val="0"/>
          <w:szCs w:val="21"/>
        </w:rPr>
      </w:pPr>
    </w:p>
    <w:p w14:paraId="62FF464D">
      <w:pPr>
        <w:widowControl/>
        <w:shd w:val="clear"/>
        <w:jc w:val="left"/>
        <w:rPr>
          <w:rFonts w:ascii="Times New Roman" w:hAnsi="Times New Roman" w:eastAsia="仿宋_GB2312" w:cs="Times New Roman"/>
          <w:bCs/>
          <w:kern w:val="0"/>
          <w:szCs w:val="21"/>
        </w:rPr>
      </w:pPr>
      <w:r>
        <w:br w:type="page"/>
      </w:r>
    </w:p>
    <w:p w14:paraId="1C978FD1">
      <w:pPr>
        <w:widowControl/>
        <w:shd w:val="clear"/>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7F35C0DB">
      <w:pPr>
        <w:widowControl/>
        <w:shd w:val="clear"/>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Cs w:val="21"/>
        </w:rPr>
        <w:t>湖南省文化和旅游厅</w:t>
      </w:r>
      <w:r>
        <w:rPr>
          <w:rFonts w:ascii="Times New Roman" w:hAnsi="Times New Roman" w:eastAsia="仿宋_GB2312" w:cs="Times New Roman"/>
          <w:color w:val="000000"/>
          <w:kern w:val="0"/>
          <w:szCs w:val="21"/>
        </w:rPr>
        <w:t xml:space="preserve">                                                                                                          公开06表</w:t>
      </w:r>
    </w:p>
    <w:p w14:paraId="58DEE506">
      <w:pPr>
        <w:widowControl/>
        <w:shd w:val="clear"/>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0"/>
        <w:tblW w:w="14904" w:type="dxa"/>
        <w:jc w:val="center"/>
        <w:tblLayout w:type="fixed"/>
        <w:tblCellMar>
          <w:top w:w="0" w:type="dxa"/>
          <w:left w:w="108" w:type="dxa"/>
          <w:bottom w:w="0" w:type="dxa"/>
          <w:right w:w="108" w:type="dxa"/>
        </w:tblCellMar>
      </w:tblPr>
      <w:tblGrid>
        <w:gridCol w:w="1081"/>
        <w:gridCol w:w="2850"/>
        <w:gridCol w:w="1241"/>
        <w:gridCol w:w="841"/>
        <w:gridCol w:w="2018"/>
        <w:gridCol w:w="933"/>
        <w:gridCol w:w="1217"/>
        <w:gridCol w:w="3517"/>
        <w:gridCol w:w="1206"/>
      </w:tblGrid>
      <w:tr w14:paraId="45FC7B0E">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5C1933F8">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06BC8D07">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241" w:type="dxa"/>
            <w:tcBorders>
              <w:top w:val="single" w:color="auto" w:sz="4" w:space="0"/>
              <w:left w:val="nil"/>
              <w:bottom w:val="single" w:color="auto" w:sz="4" w:space="0"/>
              <w:right w:val="single" w:color="auto" w:sz="4" w:space="0"/>
            </w:tcBorders>
            <w:shd w:val="clear" w:color="auto" w:fill="auto"/>
            <w:vAlign w:val="center"/>
          </w:tcPr>
          <w:p w14:paraId="781E1616">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841" w:type="dxa"/>
            <w:tcBorders>
              <w:top w:val="single" w:color="auto" w:sz="4" w:space="0"/>
              <w:left w:val="nil"/>
              <w:bottom w:val="single" w:color="auto" w:sz="4" w:space="0"/>
              <w:right w:val="single" w:color="auto" w:sz="4" w:space="0"/>
            </w:tcBorders>
            <w:shd w:val="clear" w:color="auto" w:fill="auto"/>
            <w:vAlign w:val="center"/>
          </w:tcPr>
          <w:p w14:paraId="03B7D6E7">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53541D60">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5FA83E52">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5173E0DA">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0E9305CB">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206" w:type="dxa"/>
            <w:tcBorders>
              <w:top w:val="single" w:color="auto" w:sz="4" w:space="0"/>
              <w:left w:val="nil"/>
              <w:bottom w:val="single" w:color="auto" w:sz="4" w:space="0"/>
              <w:right w:val="single" w:color="auto" w:sz="4" w:space="0"/>
            </w:tcBorders>
            <w:shd w:val="clear" w:color="auto" w:fill="auto"/>
            <w:vAlign w:val="center"/>
          </w:tcPr>
          <w:p w14:paraId="1CB7F492">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3CB4ECB4">
        <w:tblPrEx>
          <w:tblCellMar>
            <w:top w:w="0" w:type="dxa"/>
            <w:left w:w="108" w:type="dxa"/>
            <w:bottom w:w="0" w:type="dxa"/>
            <w:right w:w="108" w:type="dxa"/>
          </w:tblCellMar>
        </w:tblPrEx>
        <w:trPr>
          <w:trHeight w:val="53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58543DA">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301</w:t>
            </w:r>
          </w:p>
        </w:tc>
        <w:tc>
          <w:tcPr>
            <w:tcW w:w="2850" w:type="dxa"/>
            <w:tcBorders>
              <w:top w:val="nil"/>
              <w:left w:val="nil"/>
              <w:bottom w:val="single" w:color="auto" w:sz="4" w:space="0"/>
              <w:right w:val="single" w:color="auto" w:sz="4" w:space="0"/>
            </w:tcBorders>
            <w:shd w:val="clear" w:color="auto" w:fill="auto"/>
            <w:noWrap/>
            <w:vAlign w:val="center"/>
          </w:tcPr>
          <w:p w14:paraId="76D3222E">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工资福利支出</w:t>
            </w:r>
          </w:p>
        </w:tc>
        <w:tc>
          <w:tcPr>
            <w:tcW w:w="1241" w:type="dxa"/>
            <w:tcBorders>
              <w:top w:val="nil"/>
              <w:left w:val="nil"/>
              <w:bottom w:val="single" w:color="auto" w:sz="4" w:space="0"/>
              <w:right w:val="single" w:color="auto" w:sz="4" w:space="0"/>
            </w:tcBorders>
            <w:shd w:val="clear" w:color="auto" w:fill="auto"/>
            <w:noWrap/>
            <w:vAlign w:val="center"/>
          </w:tcPr>
          <w:p w14:paraId="058A2097">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28,299.50</w:t>
            </w:r>
          </w:p>
        </w:tc>
        <w:tc>
          <w:tcPr>
            <w:tcW w:w="841" w:type="dxa"/>
            <w:tcBorders>
              <w:top w:val="nil"/>
              <w:left w:val="nil"/>
              <w:bottom w:val="single" w:color="auto" w:sz="4" w:space="0"/>
              <w:right w:val="single" w:color="auto" w:sz="4" w:space="0"/>
            </w:tcBorders>
            <w:shd w:val="clear" w:color="auto" w:fill="auto"/>
            <w:noWrap/>
            <w:vAlign w:val="center"/>
          </w:tcPr>
          <w:p w14:paraId="57624CBC">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w:t>
            </w:r>
          </w:p>
        </w:tc>
        <w:tc>
          <w:tcPr>
            <w:tcW w:w="2018" w:type="dxa"/>
            <w:tcBorders>
              <w:top w:val="nil"/>
              <w:left w:val="nil"/>
              <w:bottom w:val="single" w:color="auto" w:sz="4" w:space="0"/>
              <w:right w:val="single" w:color="auto" w:sz="4" w:space="0"/>
            </w:tcBorders>
            <w:shd w:val="clear" w:color="auto" w:fill="auto"/>
            <w:noWrap/>
            <w:vAlign w:val="center"/>
          </w:tcPr>
          <w:p w14:paraId="147595FA">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33082DF6">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2,621.44</w:t>
            </w:r>
          </w:p>
        </w:tc>
        <w:tc>
          <w:tcPr>
            <w:tcW w:w="1217" w:type="dxa"/>
            <w:tcBorders>
              <w:top w:val="nil"/>
              <w:left w:val="nil"/>
              <w:bottom w:val="single" w:color="auto" w:sz="4" w:space="0"/>
              <w:right w:val="single" w:color="auto" w:sz="4" w:space="0"/>
            </w:tcBorders>
            <w:shd w:val="clear" w:color="auto" w:fill="auto"/>
            <w:noWrap/>
            <w:vAlign w:val="center"/>
          </w:tcPr>
          <w:p w14:paraId="7829B0E0">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307</w:t>
            </w:r>
          </w:p>
        </w:tc>
        <w:tc>
          <w:tcPr>
            <w:tcW w:w="3517" w:type="dxa"/>
            <w:tcBorders>
              <w:top w:val="nil"/>
              <w:left w:val="nil"/>
              <w:bottom w:val="single" w:color="auto" w:sz="4" w:space="0"/>
              <w:right w:val="single" w:color="auto" w:sz="4" w:space="0"/>
            </w:tcBorders>
            <w:shd w:val="clear" w:color="auto" w:fill="auto"/>
            <w:noWrap/>
            <w:vAlign w:val="center"/>
          </w:tcPr>
          <w:p w14:paraId="34D35BA8">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1206" w:type="dxa"/>
            <w:tcBorders>
              <w:top w:val="nil"/>
              <w:left w:val="nil"/>
              <w:bottom w:val="single" w:color="auto" w:sz="4" w:space="0"/>
              <w:right w:val="single" w:color="auto" w:sz="4" w:space="0"/>
            </w:tcBorders>
            <w:shd w:val="clear" w:color="auto" w:fill="auto"/>
            <w:noWrap/>
            <w:vAlign w:val="center"/>
          </w:tcPr>
          <w:p w14:paraId="7196C659">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7513CACD">
        <w:tblPrEx>
          <w:tblCellMar>
            <w:top w:w="0" w:type="dxa"/>
            <w:left w:w="108" w:type="dxa"/>
            <w:bottom w:w="0" w:type="dxa"/>
            <w:right w:w="108" w:type="dxa"/>
          </w:tblCellMar>
        </w:tblPrEx>
        <w:trPr>
          <w:trHeight w:val="53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1A25F5">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30101</w:t>
            </w:r>
          </w:p>
        </w:tc>
        <w:tc>
          <w:tcPr>
            <w:tcW w:w="2850" w:type="dxa"/>
            <w:tcBorders>
              <w:top w:val="nil"/>
              <w:left w:val="nil"/>
              <w:bottom w:val="single" w:color="auto" w:sz="4" w:space="0"/>
              <w:right w:val="single" w:color="auto" w:sz="4" w:space="0"/>
            </w:tcBorders>
            <w:shd w:val="clear" w:color="auto" w:fill="auto"/>
            <w:noWrap/>
            <w:vAlign w:val="center"/>
          </w:tcPr>
          <w:p w14:paraId="6F086B73">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基本工资</w:t>
            </w:r>
          </w:p>
        </w:tc>
        <w:tc>
          <w:tcPr>
            <w:tcW w:w="1241" w:type="dxa"/>
            <w:tcBorders>
              <w:top w:val="nil"/>
              <w:left w:val="nil"/>
              <w:bottom w:val="single" w:color="auto" w:sz="4" w:space="0"/>
              <w:right w:val="single" w:color="auto" w:sz="4" w:space="0"/>
            </w:tcBorders>
            <w:shd w:val="clear" w:color="auto" w:fill="auto"/>
            <w:noWrap/>
            <w:vAlign w:val="center"/>
          </w:tcPr>
          <w:p w14:paraId="40B990BF">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7,913.57</w:t>
            </w:r>
          </w:p>
        </w:tc>
        <w:tc>
          <w:tcPr>
            <w:tcW w:w="841" w:type="dxa"/>
            <w:tcBorders>
              <w:top w:val="nil"/>
              <w:left w:val="nil"/>
              <w:bottom w:val="single" w:color="auto" w:sz="4" w:space="0"/>
              <w:right w:val="single" w:color="auto" w:sz="4" w:space="0"/>
            </w:tcBorders>
            <w:shd w:val="clear" w:color="auto" w:fill="auto"/>
            <w:noWrap/>
            <w:vAlign w:val="center"/>
          </w:tcPr>
          <w:p w14:paraId="3378EA4D">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30201</w:t>
            </w:r>
          </w:p>
        </w:tc>
        <w:tc>
          <w:tcPr>
            <w:tcW w:w="2018" w:type="dxa"/>
            <w:tcBorders>
              <w:top w:val="nil"/>
              <w:left w:val="nil"/>
              <w:bottom w:val="single" w:color="auto" w:sz="4" w:space="0"/>
              <w:right w:val="single" w:color="auto" w:sz="4" w:space="0"/>
            </w:tcBorders>
            <w:shd w:val="clear" w:color="auto" w:fill="auto"/>
            <w:noWrap/>
            <w:vAlign w:val="center"/>
          </w:tcPr>
          <w:p w14:paraId="3EB93A42">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办公费</w:t>
            </w:r>
          </w:p>
        </w:tc>
        <w:tc>
          <w:tcPr>
            <w:tcW w:w="933" w:type="dxa"/>
            <w:tcBorders>
              <w:top w:val="nil"/>
              <w:left w:val="nil"/>
              <w:bottom w:val="single" w:color="auto" w:sz="4" w:space="0"/>
              <w:right w:val="single" w:color="auto" w:sz="4" w:space="0"/>
            </w:tcBorders>
            <w:shd w:val="clear" w:color="auto" w:fill="auto"/>
            <w:noWrap/>
            <w:vAlign w:val="center"/>
          </w:tcPr>
          <w:p w14:paraId="50AA7E8C">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124.66</w:t>
            </w:r>
          </w:p>
        </w:tc>
        <w:tc>
          <w:tcPr>
            <w:tcW w:w="1217" w:type="dxa"/>
            <w:tcBorders>
              <w:top w:val="nil"/>
              <w:left w:val="nil"/>
              <w:bottom w:val="single" w:color="auto" w:sz="4" w:space="0"/>
              <w:right w:val="single" w:color="auto" w:sz="4" w:space="0"/>
            </w:tcBorders>
            <w:shd w:val="clear" w:color="auto" w:fill="auto"/>
            <w:noWrap/>
            <w:vAlign w:val="center"/>
          </w:tcPr>
          <w:p w14:paraId="32100BEC">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30701</w:t>
            </w:r>
          </w:p>
        </w:tc>
        <w:tc>
          <w:tcPr>
            <w:tcW w:w="3517" w:type="dxa"/>
            <w:tcBorders>
              <w:top w:val="nil"/>
              <w:left w:val="nil"/>
              <w:bottom w:val="single" w:color="auto" w:sz="4" w:space="0"/>
              <w:right w:val="single" w:color="auto" w:sz="4" w:space="0"/>
            </w:tcBorders>
            <w:shd w:val="clear" w:color="auto" w:fill="auto"/>
            <w:noWrap/>
            <w:vAlign w:val="center"/>
          </w:tcPr>
          <w:p w14:paraId="24E85992">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国内债务付息</w:t>
            </w:r>
          </w:p>
        </w:tc>
        <w:tc>
          <w:tcPr>
            <w:tcW w:w="1206" w:type="dxa"/>
            <w:tcBorders>
              <w:top w:val="nil"/>
              <w:left w:val="nil"/>
              <w:bottom w:val="single" w:color="auto" w:sz="4" w:space="0"/>
              <w:right w:val="single" w:color="auto" w:sz="4" w:space="0"/>
            </w:tcBorders>
            <w:shd w:val="clear" w:color="auto" w:fill="auto"/>
            <w:noWrap/>
            <w:vAlign w:val="center"/>
          </w:tcPr>
          <w:p w14:paraId="0DE28986">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0CAE2FCA">
        <w:tblPrEx>
          <w:tblCellMar>
            <w:top w:w="0" w:type="dxa"/>
            <w:left w:w="108" w:type="dxa"/>
            <w:bottom w:w="0" w:type="dxa"/>
            <w:right w:w="108" w:type="dxa"/>
          </w:tblCellMar>
        </w:tblPrEx>
        <w:trPr>
          <w:trHeight w:val="53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C7EA76">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30102</w:t>
            </w:r>
          </w:p>
        </w:tc>
        <w:tc>
          <w:tcPr>
            <w:tcW w:w="2850" w:type="dxa"/>
            <w:tcBorders>
              <w:top w:val="nil"/>
              <w:left w:val="nil"/>
              <w:bottom w:val="single" w:color="auto" w:sz="4" w:space="0"/>
              <w:right w:val="single" w:color="auto" w:sz="4" w:space="0"/>
            </w:tcBorders>
            <w:shd w:val="clear" w:color="auto" w:fill="auto"/>
            <w:noWrap/>
            <w:vAlign w:val="center"/>
          </w:tcPr>
          <w:p w14:paraId="4C1EBF6B">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津贴补贴</w:t>
            </w:r>
          </w:p>
        </w:tc>
        <w:tc>
          <w:tcPr>
            <w:tcW w:w="1241" w:type="dxa"/>
            <w:tcBorders>
              <w:top w:val="nil"/>
              <w:left w:val="nil"/>
              <w:bottom w:val="single" w:color="auto" w:sz="4" w:space="0"/>
              <w:right w:val="single" w:color="auto" w:sz="4" w:space="0"/>
            </w:tcBorders>
            <w:shd w:val="clear" w:color="auto" w:fill="auto"/>
            <w:noWrap/>
            <w:vAlign w:val="center"/>
          </w:tcPr>
          <w:p w14:paraId="237F3290">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2,690.91</w:t>
            </w:r>
          </w:p>
        </w:tc>
        <w:tc>
          <w:tcPr>
            <w:tcW w:w="841" w:type="dxa"/>
            <w:tcBorders>
              <w:top w:val="nil"/>
              <w:left w:val="nil"/>
              <w:bottom w:val="single" w:color="auto" w:sz="4" w:space="0"/>
              <w:right w:val="single" w:color="auto" w:sz="4" w:space="0"/>
            </w:tcBorders>
            <w:shd w:val="clear" w:color="auto" w:fill="auto"/>
            <w:noWrap/>
            <w:vAlign w:val="center"/>
          </w:tcPr>
          <w:p w14:paraId="70E61AC0">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30202</w:t>
            </w:r>
          </w:p>
        </w:tc>
        <w:tc>
          <w:tcPr>
            <w:tcW w:w="2018" w:type="dxa"/>
            <w:tcBorders>
              <w:top w:val="nil"/>
              <w:left w:val="nil"/>
              <w:bottom w:val="single" w:color="auto" w:sz="4" w:space="0"/>
              <w:right w:val="single" w:color="auto" w:sz="4" w:space="0"/>
            </w:tcBorders>
            <w:shd w:val="clear" w:color="auto" w:fill="auto"/>
            <w:noWrap/>
            <w:vAlign w:val="center"/>
          </w:tcPr>
          <w:p w14:paraId="53E39438">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印刷费</w:t>
            </w:r>
          </w:p>
        </w:tc>
        <w:tc>
          <w:tcPr>
            <w:tcW w:w="933" w:type="dxa"/>
            <w:tcBorders>
              <w:top w:val="nil"/>
              <w:left w:val="nil"/>
              <w:bottom w:val="single" w:color="auto" w:sz="4" w:space="0"/>
              <w:right w:val="single" w:color="auto" w:sz="4" w:space="0"/>
            </w:tcBorders>
            <w:shd w:val="clear" w:color="auto" w:fill="auto"/>
            <w:noWrap/>
            <w:vAlign w:val="center"/>
          </w:tcPr>
          <w:p w14:paraId="6035E5A9">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34.64</w:t>
            </w:r>
          </w:p>
        </w:tc>
        <w:tc>
          <w:tcPr>
            <w:tcW w:w="1217" w:type="dxa"/>
            <w:tcBorders>
              <w:top w:val="nil"/>
              <w:left w:val="nil"/>
              <w:bottom w:val="single" w:color="auto" w:sz="4" w:space="0"/>
              <w:right w:val="single" w:color="auto" w:sz="4" w:space="0"/>
            </w:tcBorders>
            <w:shd w:val="clear" w:color="auto" w:fill="auto"/>
            <w:noWrap/>
            <w:vAlign w:val="center"/>
          </w:tcPr>
          <w:p w14:paraId="7FFAE483">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30702</w:t>
            </w:r>
          </w:p>
        </w:tc>
        <w:tc>
          <w:tcPr>
            <w:tcW w:w="3517" w:type="dxa"/>
            <w:tcBorders>
              <w:top w:val="nil"/>
              <w:left w:val="nil"/>
              <w:bottom w:val="single" w:color="auto" w:sz="4" w:space="0"/>
              <w:right w:val="single" w:color="auto" w:sz="4" w:space="0"/>
            </w:tcBorders>
            <w:shd w:val="clear" w:color="auto" w:fill="auto"/>
            <w:noWrap/>
            <w:vAlign w:val="center"/>
          </w:tcPr>
          <w:p w14:paraId="5A0BE977">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国外债务付息</w:t>
            </w:r>
          </w:p>
        </w:tc>
        <w:tc>
          <w:tcPr>
            <w:tcW w:w="1206" w:type="dxa"/>
            <w:tcBorders>
              <w:top w:val="nil"/>
              <w:left w:val="nil"/>
              <w:bottom w:val="single" w:color="auto" w:sz="4" w:space="0"/>
              <w:right w:val="single" w:color="auto" w:sz="4" w:space="0"/>
            </w:tcBorders>
            <w:shd w:val="clear" w:color="auto" w:fill="auto"/>
            <w:noWrap/>
            <w:vAlign w:val="center"/>
          </w:tcPr>
          <w:p w14:paraId="799E3371">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2E210C27">
        <w:tblPrEx>
          <w:tblCellMar>
            <w:top w:w="0" w:type="dxa"/>
            <w:left w:w="108" w:type="dxa"/>
            <w:bottom w:w="0" w:type="dxa"/>
            <w:right w:w="108" w:type="dxa"/>
          </w:tblCellMar>
        </w:tblPrEx>
        <w:trPr>
          <w:trHeight w:val="53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8FDD632">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30103</w:t>
            </w:r>
          </w:p>
        </w:tc>
        <w:tc>
          <w:tcPr>
            <w:tcW w:w="2850" w:type="dxa"/>
            <w:tcBorders>
              <w:top w:val="nil"/>
              <w:left w:val="nil"/>
              <w:bottom w:val="single" w:color="auto" w:sz="4" w:space="0"/>
              <w:right w:val="single" w:color="auto" w:sz="4" w:space="0"/>
            </w:tcBorders>
            <w:shd w:val="clear" w:color="auto" w:fill="auto"/>
            <w:noWrap/>
            <w:vAlign w:val="center"/>
          </w:tcPr>
          <w:p w14:paraId="43037449">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奖金</w:t>
            </w:r>
          </w:p>
        </w:tc>
        <w:tc>
          <w:tcPr>
            <w:tcW w:w="1241" w:type="dxa"/>
            <w:tcBorders>
              <w:top w:val="nil"/>
              <w:left w:val="nil"/>
              <w:bottom w:val="single" w:color="auto" w:sz="4" w:space="0"/>
              <w:right w:val="single" w:color="auto" w:sz="4" w:space="0"/>
            </w:tcBorders>
            <w:shd w:val="clear" w:color="auto" w:fill="auto"/>
            <w:noWrap/>
            <w:vAlign w:val="center"/>
          </w:tcPr>
          <w:p w14:paraId="44AD841D">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571.68</w:t>
            </w:r>
          </w:p>
        </w:tc>
        <w:tc>
          <w:tcPr>
            <w:tcW w:w="841" w:type="dxa"/>
            <w:tcBorders>
              <w:top w:val="nil"/>
              <w:left w:val="nil"/>
              <w:bottom w:val="single" w:color="auto" w:sz="4" w:space="0"/>
              <w:right w:val="single" w:color="auto" w:sz="4" w:space="0"/>
            </w:tcBorders>
            <w:shd w:val="clear" w:color="auto" w:fill="auto"/>
            <w:noWrap/>
            <w:vAlign w:val="center"/>
          </w:tcPr>
          <w:p w14:paraId="64E7A2D7">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30204</w:t>
            </w:r>
          </w:p>
        </w:tc>
        <w:tc>
          <w:tcPr>
            <w:tcW w:w="2018" w:type="dxa"/>
            <w:tcBorders>
              <w:top w:val="nil"/>
              <w:left w:val="nil"/>
              <w:bottom w:val="single" w:color="auto" w:sz="4" w:space="0"/>
              <w:right w:val="single" w:color="auto" w:sz="4" w:space="0"/>
            </w:tcBorders>
            <w:shd w:val="clear" w:color="auto" w:fill="auto"/>
            <w:noWrap/>
            <w:vAlign w:val="center"/>
          </w:tcPr>
          <w:p w14:paraId="7A374F95">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手续费</w:t>
            </w:r>
          </w:p>
        </w:tc>
        <w:tc>
          <w:tcPr>
            <w:tcW w:w="933" w:type="dxa"/>
            <w:tcBorders>
              <w:top w:val="nil"/>
              <w:left w:val="nil"/>
              <w:bottom w:val="single" w:color="auto" w:sz="4" w:space="0"/>
              <w:right w:val="single" w:color="auto" w:sz="4" w:space="0"/>
            </w:tcBorders>
            <w:shd w:val="clear" w:color="auto" w:fill="auto"/>
            <w:noWrap/>
            <w:vAlign w:val="center"/>
          </w:tcPr>
          <w:p w14:paraId="65A576AD">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7D888E81">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310</w:t>
            </w:r>
          </w:p>
        </w:tc>
        <w:tc>
          <w:tcPr>
            <w:tcW w:w="3517" w:type="dxa"/>
            <w:tcBorders>
              <w:top w:val="nil"/>
              <w:left w:val="nil"/>
              <w:bottom w:val="single" w:color="auto" w:sz="4" w:space="0"/>
              <w:right w:val="single" w:color="auto" w:sz="4" w:space="0"/>
            </w:tcBorders>
            <w:shd w:val="clear" w:color="auto" w:fill="auto"/>
            <w:noWrap/>
            <w:vAlign w:val="center"/>
          </w:tcPr>
          <w:p w14:paraId="506E4613">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资本性支出</w:t>
            </w:r>
          </w:p>
        </w:tc>
        <w:tc>
          <w:tcPr>
            <w:tcW w:w="1206" w:type="dxa"/>
            <w:tcBorders>
              <w:top w:val="nil"/>
              <w:left w:val="nil"/>
              <w:bottom w:val="single" w:color="auto" w:sz="4" w:space="0"/>
              <w:right w:val="single" w:color="auto" w:sz="4" w:space="0"/>
            </w:tcBorders>
            <w:shd w:val="clear" w:color="auto" w:fill="auto"/>
            <w:noWrap/>
            <w:vAlign w:val="center"/>
          </w:tcPr>
          <w:p w14:paraId="310A96B7">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4.24</w:t>
            </w:r>
          </w:p>
        </w:tc>
      </w:tr>
      <w:tr w14:paraId="79801F97">
        <w:tblPrEx>
          <w:tblCellMar>
            <w:top w:w="0" w:type="dxa"/>
            <w:left w:w="108" w:type="dxa"/>
            <w:bottom w:w="0" w:type="dxa"/>
            <w:right w:w="108" w:type="dxa"/>
          </w:tblCellMar>
        </w:tblPrEx>
        <w:trPr>
          <w:trHeight w:val="53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D85E249">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30106</w:t>
            </w:r>
          </w:p>
        </w:tc>
        <w:tc>
          <w:tcPr>
            <w:tcW w:w="2850" w:type="dxa"/>
            <w:tcBorders>
              <w:top w:val="nil"/>
              <w:left w:val="nil"/>
              <w:bottom w:val="single" w:color="auto" w:sz="4" w:space="0"/>
              <w:right w:val="single" w:color="auto" w:sz="4" w:space="0"/>
            </w:tcBorders>
            <w:shd w:val="clear" w:color="auto" w:fill="auto"/>
            <w:noWrap/>
            <w:vAlign w:val="center"/>
          </w:tcPr>
          <w:p w14:paraId="248642EE">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伙食补助费</w:t>
            </w:r>
          </w:p>
        </w:tc>
        <w:tc>
          <w:tcPr>
            <w:tcW w:w="1241" w:type="dxa"/>
            <w:tcBorders>
              <w:top w:val="nil"/>
              <w:left w:val="nil"/>
              <w:bottom w:val="single" w:color="auto" w:sz="4" w:space="0"/>
              <w:right w:val="single" w:color="auto" w:sz="4" w:space="0"/>
            </w:tcBorders>
            <w:shd w:val="clear" w:color="auto" w:fill="auto"/>
            <w:noWrap/>
            <w:vAlign w:val="center"/>
          </w:tcPr>
          <w:p w14:paraId="078C8796">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50.19</w:t>
            </w:r>
          </w:p>
        </w:tc>
        <w:tc>
          <w:tcPr>
            <w:tcW w:w="841" w:type="dxa"/>
            <w:tcBorders>
              <w:top w:val="nil"/>
              <w:left w:val="nil"/>
              <w:bottom w:val="single" w:color="auto" w:sz="4" w:space="0"/>
              <w:right w:val="single" w:color="auto" w:sz="4" w:space="0"/>
            </w:tcBorders>
            <w:shd w:val="clear" w:color="auto" w:fill="auto"/>
            <w:noWrap/>
            <w:vAlign w:val="center"/>
          </w:tcPr>
          <w:p w14:paraId="06F91735">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30205</w:t>
            </w:r>
          </w:p>
        </w:tc>
        <w:tc>
          <w:tcPr>
            <w:tcW w:w="2018" w:type="dxa"/>
            <w:tcBorders>
              <w:top w:val="nil"/>
              <w:left w:val="nil"/>
              <w:bottom w:val="single" w:color="auto" w:sz="4" w:space="0"/>
              <w:right w:val="single" w:color="auto" w:sz="4" w:space="0"/>
            </w:tcBorders>
            <w:shd w:val="clear" w:color="auto" w:fill="auto"/>
            <w:noWrap/>
            <w:vAlign w:val="center"/>
          </w:tcPr>
          <w:p w14:paraId="28063C93">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水费</w:t>
            </w:r>
          </w:p>
        </w:tc>
        <w:tc>
          <w:tcPr>
            <w:tcW w:w="933" w:type="dxa"/>
            <w:tcBorders>
              <w:top w:val="nil"/>
              <w:left w:val="nil"/>
              <w:bottom w:val="single" w:color="auto" w:sz="4" w:space="0"/>
              <w:right w:val="single" w:color="auto" w:sz="4" w:space="0"/>
            </w:tcBorders>
            <w:shd w:val="clear" w:color="auto" w:fill="auto"/>
            <w:noWrap/>
            <w:vAlign w:val="center"/>
          </w:tcPr>
          <w:p w14:paraId="4F45F5AB">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33.42</w:t>
            </w:r>
          </w:p>
        </w:tc>
        <w:tc>
          <w:tcPr>
            <w:tcW w:w="1217" w:type="dxa"/>
            <w:tcBorders>
              <w:top w:val="nil"/>
              <w:left w:val="nil"/>
              <w:bottom w:val="single" w:color="auto" w:sz="4" w:space="0"/>
              <w:right w:val="single" w:color="auto" w:sz="4" w:space="0"/>
            </w:tcBorders>
            <w:shd w:val="clear" w:color="auto" w:fill="auto"/>
            <w:noWrap/>
            <w:vAlign w:val="center"/>
          </w:tcPr>
          <w:p w14:paraId="2D2ED90D">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31001</w:t>
            </w:r>
          </w:p>
        </w:tc>
        <w:tc>
          <w:tcPr>
            <w:tcW w:w="3517" w:type="dxa"/>
            <w:tcBorders>
              <w:top w:val="nil"/>
              <w:left w:val="nil"/>
              <w:bottom w:val="single" w:color="auto" w:sz="4" w:space="0"/>
              <w:right w:val="single" w:color="auto" w:sz="4" w:space="0"/>
            </w:tcBorders>
            <w:shd w:val="clear" w:color="auto" w:fill="auto"/>
            <w:noWrap/>
            <w:vAlign w:val="center"/>
          </w:tcPr>
          <w:p w14:paraId="11FE595B">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房屋建筑物购建</w:t>
            </w:r>
          </w:p>
        </w:tc>
        <w:tc>
          <w:tcPr>
            <w:tcW w:w="1206" w:type="dxa"/>
            <w:tcBorders>
              <w:top w:val="nil"/>
              <w:left w:val="nil"/>
              <w:bottom w:val="single" w:color="auto" w:sz="4" w:space="0"/>
              <w:right w:val="single" w:color="auto" w:sz="4" w:space="0"/>
            </w:tcBorders>
            <w:shd w:val="clear" w:color="auto" w:fill="auto"/>
            <w:noWrap/>
            <w:vAlign w:val="center"/>
          </w:tcPr>
          <w:p w14:paraId="0DEDD206">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51278193">
        <w:tblPrEx>
          <w:tblCellMar>
            <w:top w:w="0" w:type="dxa"/>
            <w:left w:w="108" w:type="dxa"/>
            <w:bottom w:w="0" w:type="dxa"/>
            <w:right w:w="108" w:type="dxa"/>
          </w:tblCellMar>
        </w:tblPrEx>
        <w:trPr>
          <w:trHeight w:val="53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D2036BE">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30107</w:t>
            </w:r>
          </w:p>
        </w:tc>
        <w:tc>
          <w:tcPr>
            <w:tcW w:w="2850" w:type="dxa"/>
            <w:tcBorders>
              <w:top w:val="nil"/>
              <w:left w:val="nil"/>
              <w:bottom w:val="single" w:color="auto" w:sz="4" w:space="0"/>
              <w:right w:val="single" w:color="auto" w:sz="4" w:space="0"/>
            </w:tcBorders>
            <w:shd w:val="clear" w:color="auto" w:fill="auto"/>
            <w:noWrap/>
            <w:vAlign w:val="center"/>
          </w:tcPr>
          <w:p w14:paraId="140E51EE">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绩效工资</w:t>
            </w:r>
          </w:p>
        </w:tc>
        <w:tc>
          <w:tcPr>
            <w:tcW w:w="1241" w:type="dxa"/>
            <w:tcBorders>
              <w:top w:val="nil"/>
              <w:left w:val="nil"/>
              <w:bottom w:val="single" w:color="auto" w:sz="4" w:space="0"/>
              <w:right w:val="single" w:color="auto" w:sz="4" w:space="0"/>
            </w:tcBorders>
            <w:shd w:val="clear" w:color="auto" w:fill="auto"/>
            <w:noWrap/>
            <w:vAlign w:val="center"/>
          </w:tcPr>
          <w:p w14:paraId="1E8C2088">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8,508.16</w:t>
            </w:r>
          </w:p>
        </w:tc>
        <w:tc>
          <w:tcPr>
            <w:tcW w:w="841" w:type="dxa"/>
            <w:tcBorders>
              <w:top w:val="nil"/>
              <w:left w:val="nil"/>
              <w:bottom w:val="single" w:color="auto" w:sz="4" w:space="0"/>
              <w:right w:val="single" w:color="auto" w:sz="4" w:space="0"/>
            </w:tcBorders>
            <w:shd w:val="clear" w:color="auto" w:fill="auto"/>
            <w:noWrap/>
            <w:vAlign w:val="center"/>
          </w:tcPr>
          <w:p w14:paraId="54C1F074">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30206</w:t>
            </w:r>
          </w:p>
        </w:tc>
        <w:tc>
          <w:tcPr>
            <w:tcW w:w="2018" w:type="dxa"/>
            <w:tcBorders>
              <w:top w:val="nil"/>
              <w:left w:val="nil"/>
              <w:bottom w:val="single" w:color="auto" w:sz="4" w:space="0"/>
              <w:right w:val="single" w:color="auto" w:sz="4" w:space="0"/>
            </w:tcBorders>
            <w:shd w:val="clear" w:color="auto" w:fill="auto"/>
            <w:noWrap/>
            <w:vAlign w:val="center"/>
          </w:tcPr>
          <w:p w14:paraId="20E753D7">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电费</w:t>
            </w:r>
          </w:p>
        </w:tc>
        <w:tc>
          <w:tcPr>
            <w:tcW w:w="933" w:type="dxa"/>
            <w:tcBorders>
              <w:top w:val="nil"/>
              <w:left w:val="nil"/>
              <w:bottom w:val="single" w:color="auto" w:sz="4" w:space="0"/>
              <w:right w:val="single" w:color="auto" w:sz="4" w:space="0"/>
            </w:tcBorders>
            <w:shd w:val="clear" w:color="auto" w:fill="auto"/>
            <w:noWrap/>
            <w:vAlign w:val="center"/>
          </w:tcPr>
          <w:p w14:paraId="2B2497EF">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192.86</w:t>
            </w:r>
          </w:p>
        </w:tc>
        <w:tc>
          <w:tcPr>
            <w:tcW w:w="1217" w:type="dxa"/>
            <w:tcBorders>
              <w:top w:val="nil"/>
              <w:left w:val="nil"/>
              <w:bottom w:val="single" w:color="auto" w:sz="4" w:space="0"/>
              <w:right w:val="single" w:color="auto" w:sz="4" w:space="0"/>
            </w:tcBorders>
            <w:shd w:val="clear" w:color="auto" w:fill="auto"/>
            <w:noWrap/>
            <w:vAlign w:val="center"/>
          </w:tcPr>
          <w:p w14:paraId="1004008F">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31002</w:t>
            </w:r>
          </w:p>
        </w:tc>
        <w:tc>
          <w:tcPr>
            <w:tcW w:w="3517" w:type="dxa"/>
            <w:tcBorders>
              <w:top w:val="nil"/>
              <w:left w:val="nil"/>
              <w:bottom w:val="single" w:color="auto" w:sz="4" w:space="0"/>
              <w:right w:val="single" w:color="auto" w:sz="4" w:space="0"/>
            </w:tcBorders>
            <w:shd w:val="clear" w:color="auto" w:fill="auto"/>
            <w:noWrap/>
            <w:vAlign w:val="center"/>
          </w:tcPr>
          <w:p w14:paraId="4EBEE73A">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办公设备购置</w:t>
            </w:r>
          </w:p>
        </w:tc>
        <w:tc>
          <w:tcPr>
            <w:tcW w:w="1206" w:type="dxa"/>
            <w:tcBorders>
              <w:top w:val="nil"/>
              <w:left w:val="nil"/>
              <w:bottom w:val="single" w:color="auto" w:sz="4" w:space="0"/>
              <w:right w:val="single" w:color="auto" w:sz="4" w:space="0"/>
            </w:tcBorders>
            <w:shd w:val="clear" w:color="auto" w:fill="auto"/>
            <w:noWrap/>
            <w:vAlign w:val="center"/>
          </w:tcPr>
          <w:p w14:paraId="6A732330">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3.20</w:t>
            </w:r>
          </w:p>
        </w:tc>
      </w:tr>
      <w:tr w14:paraId="23127214">
        <w:tblPrEx>
          <w:tblCellMar>
            <w:top w:w="0" w:type="dxa"/>
            <w:left w:w="108" w:type="dxa"/>
            <w:bottom w:w="0" w:type="dxa"/>
            <w:right w:w="108" w:type="dxa"/>
          </w:tblCellMar>
        </w:tblPrEx>
        <w:trPr>
          <w:trHeight w:val="53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7F54BFB">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30108</w:t>
            </w:r>
          </w:p>
        </w:tc>
        <w:tc>
          <w:tcPr>
            <w:tcW w:w="2850" w:type="dxa"/>
            <w:tcBorders>
              <w:top w:val="nil"/>
              <w:left w:val="nil"/>
              <w:bottom w:val="single" w:color="auto" w:sz="4" w:space="0"/>
              <w:right w:val="single" w:color="auto" w:sz="4" w:space="0"/>
            </w:tcBorders>
            <w:shd w:val="clear" w:color="auto" w:fill="auto"/>
            <w:noWrap/>
            <w:vAlign w:val="center"/>
          </w:tcPr>
          <w:p w14:paraId="2F64E46E">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机关事业单位基本养老保险缴费</w:t>
            </w:r>
          </w:p>
        </w:tc>
        <w:tc>
          <w:tcPr>
            <w:tcW w:w="1241" w:type="dxa"/>
            <w:tcBorders>
              <w:top w:val="nil"/>
              <w:left w:val="nil"/>
              <w:bottom w:val="single" w:color="auto" w:sz="4" w:space="0"/>
              <w:right w:val="single" w:color="auto" w:sz="4" w:space="0"/>
            </w:tcBorders>
            <w:shd w:val="clear" w:color="auto" w:fill="auto"/>
            <w:noWrap/>
            <w:vAlign w:val="center"/>
          </w:tcPr>
          <w:p w14:paraId="2639E436">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2,569.57</w:t>
            </w:r>
          </w:p>
        </w:tc>
        <w:tc>
          <w:tcPr>
            <w:tcW w:w="841" w:type="dxa"/>
            <w:tcBorders>
              <w:top w:val="nil"/>
              <w:left w:val="nil"/>
              <w:bottom w:val="single" w:color="auto" w:sz="4" w:space="0"/>
              <w:right w:val="single" w:color="auto" w:sz="4" w:space="0"/>
            </w:tcBorders>
            <w:shd w:val="clear" w:color="auto" w:fill="auto"/>
            <w:noWrap/>
            <w:vAlign w:val="center"/>
          </w:tcPr>
          <w:p w14:paraId="1E687244">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30207</w:t>
            </w:r>
          </w:p>
        </w:tc>
        <w:tc>
          <w:tcPr>
            <w:tcW w:w="2018" w:type="dxa"/>
            <w:tcBorders>
              <w:top w:val="nil"/>
              <w:left w:val="nil"/>
              <w:bottom w:val="single" w:color="auto" w:sz="4" w:space="0"/>
              <w:right w:val="single" w:color="auto" w:sz="4" w:space="0"/>
            </w:tcBorders>
            <w:shd w:val="clear" w:color="auto" w:fill="auto"/>
            <w:noWrap/>
            <w:vAlign w:val="center"/>
          </w:tcPr>
          <w:p w14:paraId="05F7A26E">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邮电费</w:t>
            </w:r>
          </w:p>
        </w:tc>
        <w:tc>
          <w:tcPr>
            <w:tcW w:w="933" w:type="dxa"/>
            <w:tcBorders>
              <w:top w:val="nil"/>
              <w:left w:val="nil"/>
              <w:bottom w:val="single" w:color="auto" w:sz="4" w:space="0"/>
              <w:right w:val="single" w:color="auto" w:sz="4" w:space="0"/>
            </w:tcBorders>
            <w:shd w:val="clear" w:color="auto" w:fill="auto"/>
            <w:noWrap/>
            <w:vAlign w:val="center"/>
          </w:tcPr>
          <w:p w14:paraId="33C12F56">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69.10</w:t>
            </w:r>
          </w:p>
        </w:tc>
        <w:tc>
          <w:tcPr>
            <w:tcW w:w="1217" w:type="dxa"/>
            <w:tcBorders>
              <w:top w:val="nil"/>
              <w:left w:val="nil"/>
              <w:bottom w:val="single" w:color="auto" w:sz="4" w:space="0"/>
              <w:right w:val="single" w:color="auto" w:sz="4" w:space="0"/>
            </w:tcBorders>
            <w:shd w:val="clear" w:color="auto" w:fill="auto"/>
            <w:noWrap/>
            <w:vAlign w:val="center"/>
          </w:tcPr>
          <w:p w14:paraId="2B7678F8">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31003</w:t>
            </w:r>
          </w:p>
        </w:tc>
        <w:tc>
          <w:tcPr>
            <w:tcW w:w="3517" w:type="dxa"/>
            <w:tcBorders>
              <w:top w:val="nil"/>
              <w:left w:val="nil"/>
              <w:bottom w:val="single" w:color="auto" w:sz="4" w:space="0"/>
              <w:right w:val="single" w:color="auto" w:sz="4" w:space="0"/>
            </w:tcBorders>
            <w:shd w:val="clear" w:color="auto" w:fill="auto"/>
            <w:noWrap/>
            <w:vAlign w:val="center"/>
          </w:tcPr>
          <w:p w14:paraId="576C15E2">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专用设备购置</w:t>
            </w:r>
          </w:p>
        </w:tc>
        <w:tc>
          <w:tcPr>
            <w:tcW w:w="1206" w:type="dxa"/>
            <w:tcBorders>
              <w:top w:val="nil"/>
              <w:left w:val="nil"/>
              <w:bottom w:val="single" w:color="auto" w:sz="4" w:space="0"/>
              <w:right w:val="single" w:color="auto" w:sz="4" w:space="0"/>
            </w:tcBorders>
            <w:shd w:val="clear" w:color="auto" w:fill="auto"/>
            <w:noWrap/>
            <w:vAlign w:val="center"/>
          </w:tcPr>
          <w:p w14:paraId="63DDE38E">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4A20540A">
        <w:tblPrEx>
          <w:tblCellMar>
            <w:top w:w="0" w:type="dxa"/>
            <w:left w:w="108" w:type="dxa"/>
            <w:bottom w:w="0" w:type="dxa"/>
            <w:right w:w="108" w:type="dxa"/>
          </w:tblCellMar>
        </w:tblPrEx>
        <w:trPr>
          <w:trHeight w:val="53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D188B7">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30109</w:t>
            </w:r>
          </w:p>
        </w:tc>
        <w:tc>
          <w:tcPr>
            <w:tcW w:w="2850" w:type="dxa"/>
            <w:tcBorders>
              <w:top w:val="nil"/>
              <w:left w:val="nil"/>
              <w:bottom w:val="single" w:color="auto" w:sz="4" w:space="0"/>
              <w:right w:val="single" w:color="auto" w:sz="4" w:space="0"/>
            </w:tcBorders>
            <w:shd w:val="clear" w:color="auto" w:fill="auto"/>
            <w:noWrap/>
            <w:vAlign w:val="center"/>
          </w:tcPr>
          <w:p w14:paraId="770B2572">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职业年金缴费</w:t>
            </w:r>
          </w:p>
        </w:tc>
        <w:tc>
          <w:tcPr>
            <w:tcW w:w="1241" w:type="dxa"/>
            <w:tcBorders>
              <w:top w:val="nil"/>
              <w:left w:val="nil"/>
              <w:bottom w:val="single" w:color="auto" w:sz="4" w:space="0"/>
              <w:right w:val="single" w:color="auto" w:sz="4" w:space="0"/>
            </w:tcBorders>
            <w:shd w:val="clear" w:color="auto" w:fill="auto"/>
            <w:noWrap/>
            <w:vAlign w:val="center"/>
          </w:tcPr>
          <w:p w14:paraId="42CCF01E">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410.37</w:t>
            </w:r>
          </w:p>
        </w:tc>
        <w:tc>
          <w:tcPr>
            <w:tcW w:w="841" w:type="dxa"/>
            <w:tcBorders>
              <w:top w:val="nil"/>
              <w:left w:val="nil"/>
              <w:bottom w:val="single" w:color="auto" w:sz="4" w:space="0"/>
              <w:right w:val="single" w:color="auto" w:sz="4" w:space="0"/>
            </w:tcBorders>
            <w:shd w:val="clear" w:color="auto" w:fill="auto"/>
            <w:noWrap/>
            <w:vAlign w:val="center"/>
          </w:tcPr>
          <w:p w14:paraId="2629A607">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30208</w:t>
            </w:r>
          </w:p>
        </w:tc>
        <w:tc>
          <w:tcPr>
            <w:tcW w:w="2018" w:type="dxa"/>
            <w:tcBorders>
              <w:top w:val="nil"/>
              <w:left w:val="nil"/>
              <w:bottom w:val="single" w:color="auto" w:sz="4" w:space="0"/>
              <w:right w:val="single" w:color="auto" w:sz="4" w:space="0"/>
            </w:tcBorders>
            <w:shd w:val="clear" w:color="auto" w:fill="auto"/>
            <w:noWrap/>
            <w:vAlign w:val="center"/>
          </w:tcPr>
          <w:p w14:paraId="1646A79E">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取暖费</w:t>
            </w:r>
          </w:p>
        </w:tc>
        <w:tc>
          <w:tcPr>
            <w:tcW w:w="933" w:type="dxa"/>
            <w:tcBorders>
              <w:top w:val="nil"/>
              <w:left w:val="nil"/>
              <w:bottom w:val="single" w:color="auto" w:sz="4" w:space="0"/>
              <w:right w:val="single" w:color="auto" w:sz="4" w:space="0"/>
            </w:tcBorders>
            <w:shd w:val="clear" w:color="auto" w:fill="auto"/>
            <w:noWrap/>
            <w:vAlign w:val="center"/>
          </w:tcPr>
          <w:p w14:paraId="2C501A43">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32.60</w:t>
            </w:r>
          </w:p>
        </w:tc>
        <w:tc>
          <w:tcPr>
            <w:tcW w:w="1217" w:type="dxa"/>
            <w:tcBorders>
              <w:top w:val="nil"/>
              <w:left w:val="nil"/>
              <w:bottom w:val="single" w:color="auto" w:sz="4" w:space="0"/>
              <w:right w:val="single" w:color="auto" w:sz="4" w:space="0"/>
            </w:tcBorders>
            <w:shd w:val="clear" w:color="auto" w:fill="auto"/>
            <w:noWrap/>
            <w:vAlign w:val="center"/>
          </w:tcPr>
          <w:p w14:paraId="0BBCF661">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31005</w:t>
            </w:r>
          </w:p>
        </w:tc>
        <w:tc>
          <w:tcPr>
            <w:tcW w:w="3517" w:type="dxa"/>
            <w:tcBorders>
              <w:top w:val="nil"/>
              <w:left w:val="nil"/>
              <w:bottom w:val="single" w:color="auto" w:sz="4" w:space="0"/>
              <w:right w:val="single" w:color="auto" w:sz="4" w:space="0"/>
            </w:tcBorders>
            <w:shd w:val="clear" w:color="auto" w:fill="auto"/>
            <w:noWrap/>
            <w:vAlign w:val="center"/>
          </w:tcPr>
          <w:p w14:paraId="23A997CA">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基础设施建设</w:t>
            </w:r>
          </w:p>
        </w:tc>
        <w:tc>
          <w:tcPr>
            <w:tcW w:w="1206" w:type="dxa"/>
            <w:tcBorders>
              <w:top w:val="nil"/>
              <w:left w:val="nil"/>
              <w:bottom w:val="single" w:color="auto" w:sz="4" w:space="0"/>
              <w:right w:val="single" w:color="auto" w:sz="4" w:space="0"/>
            </w:tcBorders>
            <w:shd w:val="clear" w:color="auto" w:fill="auto"/>
            <w:noWrap/>
            <w:vAlign w:val="center"/>
          </w:tcPr>
          <w:p w14:paraId="58ACDC72">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40674400">
        <w:tblPrEx>
          <w:tblCellMar>
            <w:top w:w="0" w:type="dxa"/>
            <w:left w:w="108" w:type="dxa"/>
            <w:bottom w:w="0" w:type="dxa"/>
            <w:right w:w="108" w:type="dxa"/>
          </w:tblCellMar>
        </w:tblPrEx>
        <w:trPr>
          <w:trHeight w:val="53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C47B4DC">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30110</w:t>
            </w:r>
          </w:p>
        </w:tc>
        <w:tc>
          <w:tcPr>
            <w:tcW w:w="2850" w:type="dxa"/>
            <w:tcBorders>
              <w:top w:val="nil"/>
              <w:left w:val="nil"/>
              <w:bottom w:val="single" w:color="auto" w:sz="4" w:space="0"/>
              <w:right w:val="single" w:color="auto" w:sz="4" w:space="0"/>
            </w:tcBorders>
            <w:shd w:val="clear" w:color="auto" w:fill="auto"/>
            <w:noWrap/>
            <w:vAlign w:val="center"/>
          </w:tcPr>
          <w:p w14:paraId="4F7809D2">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职工基本医疗保险缴费</w:t>
            </w:r>
          </w:p>
        </w:tc>
        <w:tc>
          <w:tcPr>
            <w:tcW w:w="1241" w:type="dxa"/>
            <w:tcBorders>
              <w:top w:val="nil"/>
              <w:left w:val="nil"/>
              <w:bottom w:val="single" w:color="auto" w:sz="4" w:space="0"/>
              <w:right w:val="single" w:color="auto" w:sz="4" w:space="0"/>
            </w:tcBorders>
            <w:shd w:val="clear" w:color="auto" w:fill="auto"/>
            <w:noWrap/>
            <w:vAlign w:val="center"/>
          </w:tcPr>
          <w:p w14:paraId="72CA6AE6">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1,676.31</w:t>
            </w:r>
          </w:p>
        </w:tc>
        <w:tc>
          <w:tcPr>
            <w:tcW w:w="841" w:type="dxa"/>
            <w:tcBorders>
              <w:top w:val="nil"/>
              <w:left w:val="nil"/>
              <w:bottom w:val="single" w:color="auto" w:sz="4" w:space="0"/>
              <w:right w:val="single" w:color="auto" w:sz="4" w:space="0"/>
            </w:tcBorders>
            <w:shd w:val="clear" w:color="auto" w:fill="auto"/>
            <w:noWrap/>
            <w:vAlign w:val="center"/>
          </w:tcPr>
          <w:p w14:paraId="4F53DC34">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30209</w:t>
            </w:r>
          </w:p>
        </w:tc>
        <w:tc>
          <w:tcPr>
            <w:tcW w:w="2018" w:type="dxa"/>
            <w:tcBorders>
              <w:top w:val="nil"/>
              <w:left w:val="nil"/>
              <w:bottom w:val="single" w:color="auto" w:sz="4" w:space="0"/>
              <w:right w:val="single" w:color="auto" w:sz="4" w:space="0"/>
            </w:tcBorders>
            <w:shd w:val="clear" w:color="auto" w:fill="auto"/>
            <w:noWrap/>
            <w:vAlign w:val="center"/>
          </w:tcPr>
          <w:p w14:paraId="2E2F7702">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物业管理费</w:t>
            </w:r>
          </w:p>
        </w:tc>
        <w:tc>
          <w:tcPr>
            <w:tcW w:w="933" w:type="dxa"/>
            <w:tcBorders>
              <w:top w:val="nil"/>
              <w:left w:val="nil"/>
              <w:bottom w:val="single" w:color="auto" w:sz="4" w:space="0"/>
              <w:right w:val="single" w:color="auto" w:sz="4" w:space="0"/>
            </w:tcBorders>
            <w:shd w:val="clear" w:color="auto" w:fill="auto"/>
            <w:noWrap/>
            <w:vAlign w:val="center"/>
          </w:tcPr>
          <w:p w14:paraId="4D561647">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150.77</w:t>
            </w:r>
          </w:p>
        </w:tc>
        <w:tc>
          <w:tcPr>
            <w:tcW w:w="1217" w:type="dxa"/>
            <w:tcBorders>
              <w:top w:val="nil"/>
              <w:left w:val="nil"/>
              <w:bottom w:val="single" w:color="auto" w:sz="4" w:space="0"/>
              <w:right w:val="single" w:color="auto" w:sz="4" w:space="0"/>
            </w:tcBorders>
            <w:shd w:val="clear" w:color="auto" w:fill="auto"/>
            <w:noWrap/>
            <w:vAlign w:val="center"/>
          </w:tcPr>
          <w:p w14:paraId="0104342A">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31006</w:t>
            </w:r>
          </w:p>
        </w:tc>
        <w:tc>
          <w:tcPr>
            <w:tcW w:w="3517" w:type="dxa"/>
            <w:tcBorders>
              <w:top w:val="nil"/>
              <w:left w:val="nil"/>
              <w:bottom w:val="single" w:color="auto" w:sz="4" w:space="0"/>
              <w:right w:val="single" w:color="auto" w:sz="4" w:space="0"/>
            </w:tcBorders>
            <w:shd w:val="clear" w:color="auto" w:fill="auto"/>
            <w:noWrap/>
            <w:vAlign w:val="center"/>
          </w:tcPr>
          <w:p w14:paraId="76BE2763">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大型修缮</w:t>
            </w:r>
          </w:p>
        </w:tc>
        <w:tc>
          <w:tcPr>
            <w:tcW w:w="1206" w:type="dxa"/>
            <w:tcBorders>
              <w:top w:val="nil"/>
              <w:left w:val="nil"/>
              <w:bottom w:val="single" w:color="auto" w:sz="4" w:space="0"/>
              <w:right w:val="single" w:color="auto" w:sz="4" w:space="0"/>
            </w:tcBorders>
            <w:shd w:val="clear" w:color="auto" w:fill="auto"/>
            <w:noWrap/>
            <w:vAlign w:val="center"/>
          </w:tcPr>
          <w:p w14:paraId="16885D00">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5728BA48">
        <w:tblPrEx>
          <w:tblCellMar>
            <w:top w:w="0" w:type="dxa"/>
            <w:left w:w="108" w:type="dxa"/>
            <w:bottom w:w="0" w:type="dxa"/>
            <w:right w:w="108" w:type="dxa"/>
          </w:tblCellMar>
        </w:tblPrEx>
        <w:trPr>
          <w:trHeight w:val="53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28418FF">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30111</w:t>
            </w:r>
          </w:p>
        </w:tc>
        <w:tc>
          <w:tcPr>
            <w:tcW w:w="2850" w:type="dxa"/>
            <w:tcBorders>
              <w:top w:val="nil"/>
              <w:left w:val="nil"/>
              <w:bottom w:val="single" w:color="auto" w:sz="4" w:space="0"/>
              <w:right w:val="single" w:color="auto" w:sz="4" w:space="0"/>
            </w:tcBorders>
            <w:shd w:val="clear" w:color="auto" w:fill="auto"/>
            <w:noWrap/>
            <w:vAlign w:val="center"/>
          </w:tcPr>
          <w:p w14:paraId="7A1D054D">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公务员医疗补助缴费</w:t>
            </w:r>
          </w:p>
        </w:tc>
        <w:tc>
          <w:tcPr>
            <w:tcW w:w="1241" w:type="dxa"/>
            <w:tcBorders>
              <w:top w:val="nil"/>
              <w:left w:val="nil"/>
              <w:bottom w:val="single" w:color="auto" w:sz="4" w:space="0"/>
              <w:right w:val="single" w:color="auto" w:sz="4" w:space="0"/>
            </w:tcBorders>
            <w:shd w:val="clear" w:color="auto" w:fill="auto"/>
            <w:noWrap/>
            <w:vAlign w:val="center"/>
          </w:tcPr>
          <w:p w14:paraId="47AD359A">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225.80</w:t>
            </w:r>
          </w:p>
        </w:tc>
        <w:tc>
          <w:tcPr>
            <w:tcW w:w="841" w:type="dxa"/>
            <w:tcBorders>
              <w:top w:val="nil"/>
              <w:left w:val="nil"/>
              <w:bottom w:val="single" w:color="auto" w:sz="4" w:space="0"/>
              <w:right w:val="single" w:color="auto" w:sz="4" w:space="0"/>
            </w:tcBorders>
            <w:shd w:val="clear" w:color="auto" w:fill="auto"/>
            <w:noWrap/>
            <w:vAlign w:val="center"/>
          </w:tcPr>
          <w:p w14:paraId="593F5E93">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30211</w:t>
            </w:r>
          </w:p>
        </w:tc>
        <w:tc>
          <w:tcPr>
            <w:tcW w:w="2018" w:type="dxa"/>
            <w:tcBorders>
              <w:top w:val="nil"/>
              <w:left w:val="nil"/>
              <w:bottom w:val="single" w:color="auto" w:sz="4" w:space="0"/>
              <w:right w:val="single" w:color="auto" w:sz="4" w:space="0"/>
            </w:tcBorders>
            <w:shd w:val="clear" w:color="auto" w:fill="auto"/>
            <w:noWrap/>
            <w:vAlign w:val="center"/>
          </w:tcPr>
          <w:p w14:paraId="58377AD2">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差旅费</w:t>
            </w:r>
          </w:p>
        </w:tc>
        <w:tc>
          <w:tcPr>
            <w:tcW w:w="933" w:type="dxa"/>
            <w:tcBorders>
              <w:top w:val="nil"/>
              <w:left w:val="nil"/>
              <w:bottom w:val="single" w:color="auto" w:sz="4" w:space="0"/>
              <w:right w:val="single" w:color="auto" w:sz="4" w:space="0"/>
            </w:tcBorders>
            <w:shd w:val="clear" w:color="auto" w:fill="auto"/>
            <w:noWrap/>
            <w:vAlign w:val="center"/>
          </w:tcPr>
          <w:p w14:paraId="2BF70F08">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187.06</w:t>
            </w:r>
          </w:p>
        </w:tc>
        <w:tc>
          <w:tcPr>
            <w:tcW w:w="1217" w:type="dxa"/>
            <w:tcBorders>
              <w:top w:val="nil"/>
              <w:left w:val="nil"/>
              <w:bottom w:val="single" w:color="auto" w:sz="4" w:space="0"/>
              <w:right w:val="single" w:color="auto" w:sz="4" w:space="0"/>
            </w:tcBorders>
            <w:shd w:val="clear" w:color="auto" w:fill="auto"/>
            <w:noWrap/>
            <w:vAlign w:val="center"/>
          </w:tcPr>
          <w:p w14:paraId="78AB0E4B">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31007</w:t>
            </w:r>
          </w:p>
        </w:tc>
        <w:tc>
          <w:tcPr>
            <w:tcW w:w="3517" w:type="dxa"/>
            <w:tcBorders>
              <w:top w:val="nil"/>
              <w:left w:val="nil"/>
              <w:bottom w:val="single" w:color="auto" w:sz="4" w:space="0"/>
              <w:right w:val="single" w:color="auto" w:sz="4" w:space="0"/>
            </w:tcBorders>
            <w:shd w:val="clear" w:color="auto" w:fill="auto"/>
            <w:noWrap/>
            <w:vAlign w:val="center"/>
          </w:tcPr>
          <w:p w14:paraId="1BEC53A4">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信息网络及软件购置更新</w:t>
            </w:r>
          </w:p>
        </w:tc>
        <w:tc>
          <w:tcPr>
            <w:tcW w:w="1206" w:type="dxa"/>
            <w:tcBorders>
              <w:top w:val="nil"/>
              <w:left w:val="nil"/>
              <w:bottom w:val="single" w:color="auto" w:sz="4" w:space="0"/>
              <w:right w:val="single" w:color="auto" w:sz="4" w:space="0"/>
            </w:tcBorders>
            <w:shd w:val="clear" w:color="auto" w:fill="auto"/>
            <w:noWrap/>
            <w:vAlign w:val="center"/>
          </w:tcPr>
          <w:p w14:paraId="4C20F0F1">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68D3D28E">
        <w:tblPrEx>
          <w:tblCellMar>
            <w:top w:w="0" w:type="dxa"/>
            <w:left w:w="108" w:type="dxa"/>
            <w:bottom w:w="0" w:type="dxa"/>
            <w:right w:w="108" w:type="dxa"/>
          </w:tblCellMar>
        </w:tblPrEx>
        <w:trPr>
          <w:trHeight w:val="53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4F8678B">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30112</w:t>
            </w:r>
          </w:p>
        </w:tc>
        <w:tc>
          <w:tcPr>
            <w:tcW w:w="2850" w:type="dxa"/>
            <w:tcBorders>
              <w:top w:val="nil"/>
              <w:left w:val="nil"/>
              <w:bottom w:val="single" w:color="auto" w:sz="4" w:space="0"/>
              <w:right w:val="single" w:color="auto" w:sz="4" w:space="0"/>
            </w:tcBorders>
            <w:shd w:val="clear" w:color="auto" w:fill="auto"/>
            <w:noWrap/>
            <w:vAlign w:val="center"/>
          </w:tcPr>
          <w:p w14:paraId="74844FB4">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其他社会保障缴费</w:t>
            </w:r>
          </w:p>
        </w:tc>
        <w:tc>
          <w:tcPr>
            <w:tcW w:w="1241" w:type="dxa"/>
            <w:tcBorders>
              <w:top w:val="nil"/>
              <w:left w:val="nil"/>
              <w:bottom w:val="single" w:color="auto" w:sz="4" w:space="0"/>
              <w:right w:val="single" w:color="auto" w:sz="4" w:space="0"/>
            </w:tcBorders>
            <w:shd w:val="clear" w:color="auto" w:fill="auto"/>
            <w:noWrap/>
            <w:vAlign w:val="center"/>
          </w:tcPr>
          <w:p w14:paraId="12136871">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410.18</w:t>
            </w:r>
          </w:p>
        </w:tc>
        <w:tc>
          <w:tcPr>
            <w:tcW w:w="841" w:type="dxa"/>
            <w:tcBorders>
              <w:top w:val="nil"/>
              <w:left w:val="nil"/>
              <w:bottom w:val="single" w:color="auto" w:sz="4" w:space="0"/>
              <w:right w:val="single" w:color="auto" w:sz="4" w:space="0"/>
            </w:tcBorders>
            <w:shd w:val="clear" w:color="auto" w:fill="auto"/>
            <w:noWrap/>
            <w:vAlign w:val="center"/>
          </w:tcPr>
          <w:p w14:paraId="439F2695">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30212</w:t>
            </w:r>
          </w:p>
        </w:tc>
        <w:tc>
          <w:tcPr>
            <w:tcW w:w="2018" w:type="dxa"/>
            <w:tcBorders>
              <w:top w:val="nil"/>
              <w:left w:val="nil"/>
              <w:bottom w:val="single" w:color="auto" w:sz="4" w:space="0"/>
              <w:right w:val="single" w:color="auto" w:sz="4" w:space="0"/>
            </w:tcBorders>
            <w:shd w:val="clear" w:color="auto" w:fill="auto"/>
            <w:noWrap/>
            <w:vAlign w:val="center"/>
          </w:tcPr>
          <w:p w14:paraId="66DB7A59">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因公出国（境）费用</w:t>
            </w:r>
          </w:p>
        </w:tc>
        <w:tc>
          <w:tcPr>
            <w:tcW w:w="933" w:type="dxa"/>
            <w:tcBorders>
              <w:top w:val="nil"/>
              <w:left w:val="nil"/>
              <w:bottom w:val="single" w:color="auto" w:sz="4" w:space="0"/>
              <w:right w:val="single" w:color="auto" w:sz="4" w:space="0"/>
            </w:tcBorders>
            <w:shd w:val="clear" w:color="auto" w:fill="auto"/>
            <w:noWrap/>
            <w:vAlign w:val="center"/>
          </w:tcPr>
          <w:p w14:paraId="0F4F456F">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424C2A5D">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31008</w:t>
            </w:r>
          </w:p>
        </w:tc>
        <w:tc>
          <w:tcPr>
            <w:tcW w:w="3517" w:type="dxa"/>
            <w:tcBorders>
              <w:top w:val="nil"/>
              <w:left w:val="nil"/>
              <w:bottom w:val="single" w:color="auto" w:sz="4" w:space="0"/>
              <w:right w:val="single" w:color="auto" w:sz="4" w:space="0"/>
            </w:tcBorders>
            <w:shd w:val="clear" w:color="auto" w:fill="auto"/>
            <w:noWrap/>
            <w:vAlign w:val="center"/>
          </w:tcPr>
          <w:p w14:paraId="7494795F">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物资储备</w:t>
            </w:r>
          </w:p>
        </w:tc>
        <w:tc>
          <w:tcPr>
            <w:tcW w:w="1206" w:type="dxa"/>
            <w:tcBorders>
              <w:top w:val="nil"/>
              <w:left w:val="nil"/>
              <w:bottom w:val="single" w:color="auto" w:sz="4" w:space="0"/>
              <w:right w:val="single" w:color="auto" w:sz="4" w:space="0"/>
            </w:tcBorders>
            <w:shd w:val="clear" w:color="auto" w:fill="auto"/>
            <w:noWrap/>
            <w:vAlign w:val="center"/>
          </w:tcPr>
          <w:p w14:paraId="6E133EA9">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6FA74859">
        <w:tblPrEx>
          <w:tblCellMar>
            <w:top w:w="0" w:type="dxa"/>
            <w:left w:w="108" w:type="dxa"/>
            <w:bottom w:w="0" w:type="dxa"/>
            <w:right w:w="108" w:type="dxa"/>
          </w:tblCellMar>
        </w:tblPrEx>
        <w:trPr>
          <w:trHeight w:val="53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8054CC1">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30113</w:t>
            </w:r>
          </w:p>
        </w:tc>
        <w:tc>
          <w:tcPr>
            <w:tcW w:w="2850" w:type="dxa"/>
            <w:tcBorders>
              <w:top w:val="nil"/>
              <w:left w:val="nil"/>
              <w:bottom w:val="single" w:color="auto" w:sz="4" w:space="0"/>
              <w:right w:val="single" w:color="auto" w:sz="4" w:space="0"/>
            </w:tcBorders>
            <w:shd w:val="clear" w:color="auto" w:fill="auto"/>
            <w:noWrap/>
            <w:vAlign w:val="center"/>
          </w:tcPr>
          <w:p w14:paraId="1C1B27D1">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住房公积金</w:t>
            </w:r>
          </w:p>
        </w:tc>
        <w:tc>
          <w:tcPr>
            <w:tcW w:w="1241" w:type="dxa"/>
            <w:tcBorders>
              <w:top w:val="nil"/>
              <w:left w:val="nil"/>
              <w:bottom w:val="single" w:color="auto" w:sz="4" w:space="0"/>
              <w:right w:val="single" w:color="auto" w:sz="4" w:space="0"/>
            </w:tcBorders>
            <w:shd w:val="clear" w:color="auto" w:fill="auto"/>
            <w:noWrap/>
            <w:vAlign w:val="center"/>
          </w:tcPr>
          <w:p w14:paraId="6D077A08">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2,431.35</w:t>
            </w:r>
          </w:p>
        </w:tc>
        <w:tc>
          <w:tcPr>
            <w:tcW w:w="841" w:type="dxa"/>
            <w:tcBorders>
              <w:top w:val="nil"/>
              <w:left w:val="nil"/>
              <w:bottom w:val="single" w:color="auto" w:sz="4" w:space="0"/>
              <w:right w:val="single" w:color="auto" w:sz="4" w:space="0"/>
            </w:tcBorders>
            <w:shd w:val="clear" w:color="auto" w:fill="auto"/>
            <w:noWrap/>
            <w:vAlign w:val="center"/>
          </w:tcPr>
          <w:p w14:paraId="26A8F05F">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30213</w:t>
            </w:r>
          </w:p>
        </w:tc>
        <w:tc>
          <w:tcPr>
            <w:tcW w:w="2018" w:type="dxa"/>
            <w:tcBorders>
              <w:top w:val="nil"/>
              <w:left w:val="nil"/>
              <w:bottom w:val="single" w:color="auto" w:sz="4" w:space="0"/>
              <w:right w:val="single" w:color="auto" w:sz="4" w:space="0"/>
            </w:tcBorders>
            <w:shd w:val="clear" w:color="auto" w:fill="auto"/>
            <w:noWrap/>
            <w:vAlign w:val="center"/>
          </w:tcPr>
          <w:p w14:paraId="38E6B198">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维修（护）费</w:t>
            </w:r>
          </w:p>
        </w:tc>
        <w:tc>
          <w:tcPr>
            <w:tcW w:w="933" w:type="dxa"/>
            <w:tcBorders>
              <w:top w:val="nil"/>
              <w:left w:val="nil"/>
              <w:bottom w:val="single" w:color="auto" w:sz="4" w:space="0"/>
              <w:right w:val="single" w:color="auto" w:sz="4" w:space="0"/>
            </w:tcBorders>
            <w:shd w:val="clear" w:color="auto" w:fill="auto"/>
            <w:noWrap/>
            <w:vAlign w:val="center"/>
          </w:tcPr>
          <w:p w14:paraId="68441FD7">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410.88</w:t>
            </w:r>
          </w:p>
        </w:tc>
        <w:tc>
          <w:tcPr>
            <w:tcW w:w="1217" w:type="dxa"/>
            <w:tcBorders>
              <w:top w:val="nil"/>
              <w:left w:val="nil"/>
              <w:bottom w:val="single" w:color="auto" w:sz="4" w:space="0"/>
              <w:right w:val="single" w:color="auto" w:sz="4" w:space="0"/>
            </w:tcBorders>
            <w:shd w:val="clear" w:color="auto" w:fill="auto"/>
            <w:noWrap/>
            <w:vAlign w:val="center"/>
          </w:tcPr>
          <w:p w14:paraId="541D6A01">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31009</w:t>
            </w:r>
          </w:p>
        </w:tc>
        <w:tc>
          <w:tcPr>
            <w:tcW w:w="3517" w:type="dxa"/>
            <w:tcBorders>
              <w:top w:val="nil"/>
              <w:left w:val="nil"/>
              <w:bottom w:val="single" w:color="auto" w:sz="4" w:space="0"/>
              <w:right w:val="single" w:color="auto" w:sz="4" w:space="0"/>
            </w:tcBorders>
            <w:shd w:val="clear" w:color="auto" w:fill="auto"/>
            <w:noWrap/>
            <w:vAlign w:val="center"/>
          </w:tcPr>
          <w:p w14:paraId="796F7F76">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土地补偿</w:t>
            </w:r>
          </w:p>
        </w:tc>
        <w:tc>
          <w:tcPr>
            <w:tcW w:w="1206" w:type="dxa"/>
            <w:tcBorders>
              <w:top w:val="nil"/>
              <w:left w:val="nil"/>
              <w:bottom w:val="single" w:color="auto" w:sz="4" w:space="0"/>
              <w:right w:val="single" w:color="auto" w:sz="4" w:space="0"/>
            </w:tcBorders>
            <w:shd w:val="clear" w:color="auto" w:fill="auto"/>
            <w:noWrap/>
            <w:vAlign w:val="center"/>
          </w:tcPr>
          <w:p w14:paraId="47B1AACE">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60AFE283">
        <w:tblPrEx>
          <w:tblCellMar>
            <w:top w:w="0" w:type="dxa"/>
            <w:left w:w="108" w:type="dxa"/>
            <w:bottom w:w="0" w:type="dxa"/>
            <w:right w:w="108" w:type="dxa"/>
          </w:tblCellMar>
        </w:tblPrEx>
        <w:trPr>
          <w:trHeight w:val="53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323116E">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30114</w:t>
            </w:r>
          </w:p>
        </w:tc>
        <w:tc>
          <w:tcPr>
            <w:tcW w:w="2850" w:type="dxa"/>
            <w:tcBorders>
              <w:top w:val="nil"/>
              <w:left w:val="nil"/>
              <w:bottom w:val="single" w:color="auto" w:sz="4" w:space="0"/>
              <w:right w:val="single" w:color="auto" w:sz="4" w:space="0"/>
            </w:tcBorders>
            <w:shd w:val="clear" w:color="auto" w:fill="auto"/>
            <w:noWrap/>
            <w:vAlign w:val="center"/>
          </w:tcPr>
          <w:p w14:paraId="2D3E9C4E">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医疗费</w:t>
            </w:r>
          </w:p>
        </w:tc>
        <w:tc>
          <w:tcPr>
            <w:tcW w:w="1241" w:type="dxa"/>
            <w:tcBorders>
              <w:top w:val="nil"/>
              <w:left w:val="nil"/>
              <w:bottom w:val="single" w:color="auto" w:sz="4" w:space="0"/>
              <w:right w:val="single" w:color="auto" w:sz="4" w:space="0"/>
            </w:tcBorders>
            <w:shd w:val="clear" w:color="auto" w:fill="auto"/>
            <w:noWrap/>
            <w:vAlign w:val="center"/>
          </w:tcPr>
          <w:p w14:paraId="4729FA6C">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27.90</w:t>
            </w:r>
          </w:p>
        </w:tc>
        <w:tc>
          <w:tcPr>
            <w:tcW w:w="841" w:type="dxa"/>
            <w:tcBorders>
              <w:top w:val="nil"/>
              <w:left w:val="nil"/>
              <w:bottom w:val="single" w:color="auto" w:sz="4" w:space="0"/>
              <w:right w:val="single" w:color="auto" w:sz="4" w:space="0"/>
            </w:tcBorders>
            <w:shd w:val="clear" w:color="auto" w:fill="auto"/>
            <w:noWrap/>
            <w:vAlign w:val="center"/>
          </w:tcPr>
          <w:p w14:paraId="5AA32883">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30214</w:t>
            </w:r>
          </w:p>
        </w:tc>
        <w:tc>
          <w:tcPr>
            <w:tcW w:w="2018" w:type="dxa"/>
            <w:tcBorders>
              <w:top w:val="nil"/>
              <w:left w:val="nil"/>
              <w:bottom w:val="single" w:color="auto" w:sz="4" w:space="0"/>
              <w:right w:val="single" w:color="auto" w:sz="4" w:space="0"/>
            </w:tcBorders>
            <w:shd w:val="clear" w:color="auto" w:fill="auto"/>
            <w:noWrap/>
            <w:vAlign w:val="center"/>
          </w:tcPr>
          <w:p w14:paraId="16F41210">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租赁费</w:t>
            </w:r>
          </w:p>
        </w:tc>
        <w:tc>
          <w:tcPr>
            <w:tcW w:w="933" w:type="dxa"/>
            <w:tcBorders>
              <w:top w:val="nil"/>
              <w:left w:val="nil"/>
              <w:bottom w:val="single" w:color="auto" w:sz="4" w:space="0"/>
              <w:right w:val="single" w:color="auto" w:sz="4" w:space="0"/>
            </w:tcBorders>
            <w:shd w:val="clear" w:color="auto" w:fill="auto"/>
            <w:noWrap/>
            <w:vAlign w:val="center"/>
          </w:tcPr>
          <w:p w14:paraId="36CB5FD7">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10.67</w:t>
            </w:r>
          </w:p>
        </w:tc>
        <w:tc>
          <w:tcPr>
            <w:tcW w:w="1217" w:type="dxa"/>
            <w:tcBorders>
              <w:top w:val="nil"/>
              <w:left w:val="nil"/>
              <w:bottom w:val="single" w:color="auto" w:sz="4" w:space="0"/>
              <w:right w:val="single" w:color="auto" w:sz="4" w:space="0"/>
            </w:tcBorders>
            <w:shd w:val="clear" w:color="auto" w:fill="auto"/>
            <w:noWrap/>
            <w:vAlign w:val="center"/>
          </w:tcPr>
          <w:p w14:paraId="4D2D9701">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31010</w:t>
            </w:r>
          </w:p>
        </w:tc>
        <w:tc>
          <w:tcPr>
            <w:tcW w:w="3517" w:type="dxa"/>
            <w:tcBorders>
              <w:top w:val="nil"/>
              <w:left w:val="nil"/>
              <w:bottom w:val="single" w:color="auto" w:sz="4" w:space="0"/>
              <w:right w:val="single" w:color="auto" w:sz="4" w:space="0"/>
            </w:tcBorders>
            <w:shd w:val="clear" w:color="auto" w:fill="auto"/>
            <w:noWrap/>
            <w:vAlign w:val="center"/>
          </w:tcPr>
          <w:p w14:paraId="5ED4BDF3">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安置补助</w:t>
            </w:r>
          </w:p>
        </w:tc>
        <w:tc>
          <w:tcPr>
            <w:tcW w:w="1206" w:type="dxa"/>
            <w:tcBorders>
              <w:top w:val="nil"/>
              <w:left w:val="nil"/>
              <w:bottom w:val="single" w:color="auto" w:sz="4" w:space="0"/>
              <w:right w:val="single" w:color="auto" w:sz="4" w:space="0"/>
            </w:tcBorders>
            <w:shd w:val="clear" w:color="auto" w:fill="auto"/>
            <w:noWrap/>
            <w:vAlign w:val="center"/>
          </w:tcPr>
          <w:p w14:paraId="6A86891C">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79FCDD15">
        <w:tblPrEx>
          <w:tblCellMar>
            <w:top w:w="0" w:type="dxa"/>
            <w:left w:w="108" w:type="dxa"/>
            <w:bottom w:w="0" w:type="dxa"/>
            <w:right w:w="108" w:type="dxa"/>
          </w:tblCellMar>
        </w:tblPrEx>
        <w:trPr>
          <w:trHeight w:val="53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1CD1B99">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30199</w:t>
            </w:r>
          </w:p>
        </w:tc>
        <w:tc>
          <w:tcPr>
            <w:tcW w:w="2850" w:type="dxa"/>
            <w:tcBorders>
              <w:top w:val="nil"/>
              <w:left w:val="nil"/>
              <w:bottom w:val="single" w:color="auto" w:sz="4" w:space="0"/>
              <w:right w:val="single" w:color="auto" w:sz="4" w:space="0"/>
            </w:tcBorders>
            <w:shd w:val="clear" w:color="auto" w:fill="auto"/>
            <w:noWrap/>
            <w:vAlign w:val="center"/>
          </w:tcPr>
          <w:p w14:paraId="54FC9E30">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其他工资福利支出</w:t>
            </w:r>
          </w:p>
        </w:tc>
        <w:tc>
          <w:tcPr>
            <w:tcW w:w="1241" w:type="dxa"/>
            <w:tcBorders>
              <w:top w:val="nil"/>
              <w:left w:val="nil"/>
              <w:bottom w:val="single" w:color="auto" w:sz="4" w:space="0"/>
              <w:right w:val="single" w:color="auto" w:sz="4" w:space="0"/>
            </w:tcBorders>
            <w:shd w:val="clear" w:color="auto" w:fill="auto"/>
            <w:noWrap/>
            <w:vAlign w:val="center"/>
          </w:tcPr>
          <w:p w14:paraId="5CCF30E1">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813.50</w:t>
            </w:r>
          </w:p>
        </w:tc>
        <w:tc>
          <w:tcPr>
            <w:tcW w:w="841" w:type="dxa"/>
            <w:tcBorders>
              <w:top w:val="nil"/>
              <w:left w:val="nil"/>
              <w:bottom w:val="single" w:color="auto" w:sz="4" w:space="0"/>
              <w:right w:val="single" w:color="auto" w:sz="4" w:space="0"/>
            </w:tcBorders>
            <w:shd w:val="clear" w:color="auto" w:fill="auto"/>
            <w:noWrap/>
            <w:vAlign w:val="center"/>
          </w:tcPr>
          <w:p w14:paraId="37C38E30">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30215</w:t>
            </w:r>
          </w:p>
        </w:tc>
        <w:tc>
          <w:tcPr>
            <w:tcW w:w="2018" w:type="dxa"/>
            <w:tcBorders>
              <w:top w:val="nil"/>
              <w:left w:val="nil"/>
              <w:bottom w:val="single" w:color="auto" w:sz="4" w:space="0"/>
              <w:right w:val="single" w:color="auto" w:sz="4" w:space="0"/>
            </w:tcBorders>
            <w:shd w:val="clear" w:color="auto" w:fill="auto"/>
            <w:noWrap/>
            <w:vAlign w:val="center"/>
          </w:tcPr>
          <w:p w14:paraId="42F30779">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会议费</w:t>
            </w:r>
          </w:p>
        </w:tc>
        <w:tc>
          <w:tcPr>
            <w:tcW w:w="933" w:type="dxa"/>
            <w:tcBorders>
              <w:top w:val="nil"/>
              <w:left w:val="nil"/>
              <w:bottom w:val="single" w:color="auto" w:sz="4" w:space="0"/>
              <w:right w:val="single" w:color="auto" w:sz="4" w:space="0"/>
            </w:tcBorders>
            <w:shd w:val="clear" w:color="auto" w:fill="auto"/>
            <w:noWrap/>
            <w:vAlign w:val="center"/>
          </w:tcPr>
          <w:p w14:paraId="0B1F16A0">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25.74</w:t>
            </w:r>
          </w:p>
        </w:tc>
        <w:tc>
          <w:tcPr>
            <w:tcW w:w="1217" w:type="dxa"/>
            <w:tcBorders>
              <w:top w:val="nil"/>
              <w:left w:val="nil"/>
              <w:bottom w:val="single" w:color="auto" w:sz="4" w:space="0"/>
              <w:right w:val="single" w:color="auto" w:sz="4" w:space="0"/>
            </w:tcBorders>
            <w:shd w:val="clear" w:color="auto" w:fill="auto"/>
            <w:noWrap/>
            <w:vAlign w:val="center"/>
          </w:tcPr>
          <w:p w14:paraId="65830701">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31011</w:t>
            </w:r>
          </w:p>
        </w:tc>
        <w:tc>
          <w:tcPr>
            <w:tcW w:w="3517" w:type="dxa"/>
            <w:tcBorders>
              <w:top w:val="nil"/>
              <w:left w:val="nil"/>
              <w:bottom w:val="single" w:color="auto" w:sz="4" w:space="0"/>
              <w:right w:val="single" w:color="auto" w:sz="4" w:space="0"/>
            </w:tcBorders>
            <w:shd w:val="clear" w:color="auto" w:fill="auto"/>
            <w:noWrap/>
            <w:vAlign w:val="center"/>
          </w:tcPr>
          <w:p w14:paraId="39FD7539">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地上附着物和青苗补偿</w:t>
            </w:r>
          </w:p>
        </w:tc>
        <w:tc>
          <w:tcPr>
            <w:tcW w:w="1206" w:type="dxa"/>
            <w:tcBorders>
              <w:top w:val="nil"/>
              <w:left w:val="nil"/>
              <w:bottom w:val="single" w:color="auto" w:sz="4" w:space="0"/>
              <w:right w:val="single" w:color="auto" w:sz="4" w:space="0"/>
            </w:tcBorders>
            <w:shd w:val="clear" w:color="auto" w:fill="auto"/>
            <w:noWrap/>
            <w:vAlign w:val="center"/>
          </w:tcPr>
          <w:p w14:paraId="67CEDE5D">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449DEBA1">
        <w:tblPrEx>
          <w:tblCellMar>
            <w:top w:w="0" w:type="dxa"/>
            <w:left w:w="108" w:type="dxa"/>
            <w:bottom w:w="0" w:type="dxa"/>
            <w:right w:w="108" w:type="dxa"/>
          </w:tblCellMar>
        </w:tblPrEx>
        <w:trPr>
          <w:trHeight w:val="53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022A462">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303</w:t>
            </w:r>
          </w:p>
        </w:tc>
        <w:tc>
          <w:tcPr>
            <w:tcW w:w="2850" w:type="dxa"/>
            <w:tcBorders>
              <w:top w:val="nil"/>
              <w:left w:val="nil"/>
              <w:bottom w:val="single" w:color="auto" w:sz="4" w:space="0"/>
              <w:right w:val="single" w:color="auto" w:sz="4" w:space="0"/>
            </w:tcBorders>
            <w:shd w:val="clear" w:color="auto" w:fill="auto"/>
            <w:noWrap/>
            <w:vAlign w:val="center"/>
          </w:tcPr>
          <w:p w14:paraId="4A85BC97">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1241" w:type="dxa"/>
            <w:tcBorders>
              <w:top w:val="nil"/>
              <w:left w:val="nil"/>
              <w:bottom w:val="single" w:color="auto" w:sz="4" w:space="0"/>
              <w:right w:val="single" w:color="auto" w:sz="4" w:space="0"/>
            </w:tcBorders>
            <w:shd w:val="clear" w:color="auto" w:fill="auto"/>
            <w:noWrap/>
            <w:vAlign w:val="center"/>
          </w:tcPr>
          <w:p w14:paraId="7DC7975A">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3,137.12</w:t>
            </w:r>
          </w:p>
        </w:tc>
        <w:tc>
          <w:tcPr>
            <w:tcW w:w="841" w:type="dxa"/>
            <w:tcBorders>
              <w:top w:val="nil"/>
              <w:left w:val="nil"/>
              <w:bottom w:val="single" w:color="auto" w:sz="4" w:space="0"/>
              <w:right w:val="single" w:color="auto" w:sz="4" w:space="0"/>
            </w:tcBorders>
            <w:shd w:val="clear" w:color="auto" w:fill="auto"/>
            <w:noWrap/>
            <w:vAlign w:val="center"/>
          </w:tcPr>
          <w:p w14:paraId="4DA6CADC">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30216</w:t>
            </w:r>
          </w:p>
        </w:tc>
        <w:tc>
          <w:tcPr>
            <w:tcW w:w="2018" w:type="dxa"/>
            <w:tcBorders>
              <w:top w:val="nil"/>
              <w:left w:val="nil"/>
              <w:bottom w:val="single" w:color="auto" w:sz="4" w:space="0"/>
              <w:right w:val="single" w:color="auto" w:sz="4" w:space="0"/>
            </w:tcBorders>
            <w:shd w:val="clear" w:color="auto" w:fill="auto"/>
            <w:noWrap/>
            <w:vAlign w:val="center"/>
          </w:tcPr>
          <w:p w14:paraId="0258853C">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培训费</w:t>
            </w:r>
          </w:p>
        </w:tc>
        <w:tc>
          <w:tcPr>
            <w:tcW w:w="933" w:type="dxa"/>
            <w:tcBorders>
              <w:top w:val="nil"/>
              <w:left w:val="nil"/>
              <w:bottom w:val="single" w:color="auto" w:sz="4" w:space="0"/>
              <w:right w:val="single" w:color="auto" w:sz="4" w:space="0"/>
            </w:tcBorders>
            <w:shd w:val="clear" w:color="auto" w:fill="auto"/>
            <w:noWrap/>
            <w:vAlign w:val="center"/>
          </w:tcPr>
          <w:p w14:paraId="420AD55C">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100.38</w:t>
            </w:r>
          </w:p>
        </w:tc>
        <w:tc>
          <w:tcPr>
            <w:tcW w:w="1217" w:type="dxa"/>
            <w:tcBorders>
              <w:top w:val="nil"/>
              <w:left w:val="nil"/>
              <w:bottom w:val="single" w:color="auto" w:sz="4" w:space="0"/>
              <w:right w:val="single" w:color="auto" w:sz="4" w:space="0"/>
            </w:tcBorders>
            <w:shd w:val="clear" w:color="auto" w:fill="auto"/>
            <w:noWrap/>
            <w:vAlign w:val="center"/>
          </w:tcPr>
          <w:p w14:paraId="26F4F38A">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31012</w:t>
            </w:r>
          </w:p>
        </w:tc>
        <w:tc>
          <w:tcPr>
            <w:tcW w:w="3517" w:type="dxa"/>
            <w:tcBorders>
              <w:top w:val="nil"/>
              <w:left w:val="nil"/>
              <w:bottom w:val="single" w:color="auto" w:sz="4" w:space="0"/>
              <w:right w:val="single" w:color="auto" w:sz="4" w:space="0"/>
            </w:tcBorders>
            <w:shd w:val="clear" w:color="auto" w:fill="auto"/>
            <w:noWrap/>
            <w:vAlign w:val="center"/>
          </w:tcPr>
          <w:p w14:paraId="68608EF3">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拆迁补偿</w:t>
            </w:r>
          </w:p>
        </w:tc>
        <w:tc>
          <w:tcPr>
            <w:tcW w:w="1206" w:type="dxa"/>
            <w:tcBorders>
              <w:top w:val="nil"/>
              <w:left w:val="nil"/>
              <w:bottom w:val="single" w:color="auto" w:sz="4" w:space="0"/>
              <w:right w:val="single" w:color="auto" w:sz="4" w:space="0"/>
            </w:tcBorders>
            <w:shd w:val="clear" w:color="auto" w:fill="auto"/>
            <w:noWrap/>
            <w:vAlign w:val="center"/>
          </w:tcPr>
          <w:p w14:paraId="714BB423">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06207CC4">
        <w:tblPrEx>
          <w:tblCellMar>
            <w:top w:w="0" w:type="dxa"/>
            <w:left w:w="108" w:type="dxa"/>
            <w:bottom w:w="0" w:type="dxa"/>
            <w:right w:w="108" w:type="dxa"/>
          </w:tblCellMar>
        </w:tblPrEx>
        <w:trPr>
          <w:trHeight w:val="53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A7B099F">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30301</w:t>
            </w:r>
          </w:p>
        </w:tc>
        <w:tc>
          <w:tcPr>
            <w:tcW w:w="2850" w:type="dxa"/>
            <w:tcBorders>
              <w:top w:val="nil"/>
              <w:left w:val="nil"/>
              <w:bottom w:val="single" w:color="auto" w:sz="4" w:space="0"/>
              <w:right w:val="single" w:color="auto" w:sz="4" w:space="0"/>
            </w:tcBorders>
            <w:shd w:val="clear" w:color="auto" w:fill="auto"/>
            <w:noWrap/>
            <w:vAlign w:val="center"/>
          </w:tcPr>
          <w:p w14:paraId="6536EA25">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离休费</w:t>
            </w:r>
          </w:p>
        </w:tc>
        <w:tc>
          <w:tcPr>
            <w:tcW w:w="1241" w:type="dxa"/>
            <w:tcBorders>
              <w:top w:val="nil"/>
              <w:left w:val="nil"/>
              <w:bottom w:val="single" w:color="auto" w:sz="4" w:space="0"/>
              <w:right w:val="single" w:color="auto" w:sz="4" w:space="0"/>
            </w:tcBorders>
            <w:shd w:val="clear" w:color="auto" w:fill="auto"/>
            <w:noWrap/>
            <w:vAlign w:val="center"/>
          </w:tcPr>
          <w:p w14:paraId="19A4E675">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177.51</w:t>
            </w:r>
          </w:p>
        </w:tc>
        <w:tc>
          <w:tcPr>
            <w:tcW w:w="841" w:type="dxa"/>
            <w:tcBorders>
              <w:top w:val="nil"/>
              <w:left w:val="nil"/>
              <w:bottom w:val="single" w:color="auto" w:sz="4" w:space="0"/>
              <w:right w:val="single" w:color="auto" w:sz="4" w:space="0"/>
            </w:tcBorders>
            <w:shd w:val="clear" w:color="auto" w:fill="auto"/>
            <w:noWrap/>
            <w:vAlign w:val="center"/>
          </w:tcPr>
          <w:p w14:paraId="6252413C">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30217</w:t>
            </w:r>
          </w:p>
        </w:tc>
        <w:tc>
          <w:tcPr>
            <w:tcW w:w="2018" w:type="dxa"/>
            <w:tcBorders>
              <w:top w:val="nil"/>
              <w:left w:val="nil"/>
              <w:bottom w:val="single" w:color="auto" w:sz="4" w:space="0"/>
              <w:right w:val="single" w:color="auto" w:sz="4" w:space="0"/>
            </w:tcBorders>
            <w:shd w:val="clear" w:color="auto" w:fill="auto"/>
            <w:noWrap/>
            <w:vAlign w:val="center"/>
          </w:tcPr>
          <w:p w14:paraId="200D1DD9">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公务接待费</w:t>
            </w:r>
          </w:p>
        </w:tc>
        <w:tc>
          <w:tcPr>
            <w:tcW w:w="933" w:type="dxa"/>
            <w:tcBorders>
              <w:top w:val="nil"/>
              <w:left w:val="nil"/>
              <w:bottom w:val="single" w:color="auto" w:sz="4" w:space="0"/>
              <w:right w:val="single" w:color="auto" w:sz="4" w:space="0"/>
            </w:tcBorders>
            <w:shd w:val="clear" w:color="auto" w:fill="auto"/>
            <w:noWrap/>
            <w:vAlign w:val="center"/>
          </w:tcPr>
          <w:p w14:paraId="0786A885">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11.19</w:t>
            </w:r>
          </w:p>
        </w:tc>
        <w:tc>
          <w:tcPr>
            <w:tcW w:w="1217" w:type="dxa"/>
            <w:tcBorders>
              <w:top w:val="nil"/>
              <w:left w:val="nil"/>
              <w:bottom w:val="single" w:color="auto" w:sz="4" w:space="0"/>
              <w:right w:val="single" w:color="auto" w:sz="4" w:space="0"/>
            </w:tcBorders>
            <w:shd w:val="clear" w:color="auto" w:fill="auto"/>
            <w:noWrap/>
            <w:vAlign w:val="center"/>
          </w:tcPr>
          <w:p w14:paraId="0A7E22C9">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31013</w:t>
            </w:r>
          </w:p>
        </w:tc>
        <w:tc>
          <w:tcPr>
            <w:tcW w:w="3517" w:type="dxa"/>
            <w:tcBorders>
              <w:top w:val="nil"/>
              <w:left w:val="nil"/>
              <w:bottom w:val="single" w:color="auto" w:sz="4" w:space="0"/>
              <w:right w:val="single" w:color="auto" w:sz="4" w:space="0"/>
            </w:tcBorders>
            <w:shd w:val="clear" w:color="auto" w:fill="auto"/>
            <w:noWrap/>
            <w:vAlign w:val="center"/>
          </w:tcPr>
          <w:p w14:paraId="0C4BC013">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公务用车购置</w:t>
            </w:r>
          </w:p>
        </w:tc>
        <w:tc>
          <w:tcPr>
            <w:tcW w:w="1206" w:type="dxa"/>
            <w:tcBorders>
              <w:top w:val="nil"/>
              <w:left w:val="nil"/>
              <w:bottom w:val="single" w:color="auto" w:sz="4" w:space="0"/>
              <w:right w:val="single" w:color="auto" w:sz="4" w:space="0"/>
            </w:tcBorders>
            <w:shd w:val="clear" w:color="auto" w:fill="auto"/>
            <w:noWrap/>
            <w:vAlign w:val="center"/>
          </w:tcPr>
          <w:p w14:paraId="2D54DCF3">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1CF09137">
        <w:tblPrEx>
          <w:tblCellMar>
            <w:top w:w="0" w:type="dxa"/>
            <w:left w:w="108" w:type="dxa"/>
            <w:bottom w:w="0" w:type="dxa"/>
            <w:right w:w="108" w:type="dxa"/>
          </w:tblCellMar>
        </w:tblPrEx>
        <w:trPr>
          <w:trHeight w:val="53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7BE9852">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30302</w:t>
            </w:r>
          </w:p>
        </w:tc>
        <w:tc>
          <w:tcPr>
            <w:tcW w:w="2850" w:type="dxa"/>
            <w:tcBorders>
              <w:top w:val="nil"/>
              <w:left w:val="nil"/>
              <w:bottom w:val="single" w:color="auto" w:sz="4" w:space="0"/>
              <w:right w:val="single" w:color="auto" w:sz="4" w:space="0"/>
            </w:tcBorders>
            <w:shd w:val="clear" w:color="auto" w:fill="auto"/>
            <w:noWrap/>
            <w:vAlign w:val="center"/>
          </w:tcPr>
          <w:p w14:paraId="30EDE077">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退休费</w:t>
            </w:r>
          </w:p>
        </w:tc>
        <w:tc>
          <w:tcPr>
            <w:tcW w:w="1241" w:type="dxa"/>
            <w:tcBorders>
              <w:top w:val="nil"/>
              <w:left w:val="nil"/>
              <w:bottom w:val="single" w:color="auto" w:sz="4" w:space="0"/>
              <w:right w:val="single" w:color="auto" w:sz="4" w:space="0"/>
            </w:tcBorders>
            <w:shd w:val="clear" w:color="auto" w:fill="auto"/>
            <w:noWrap/>
            <w:vAlign w:val="center"/>
          </w:tcPr>
          <w:p w14:paraId="5FE75F78">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2,158.85</w:t>
            </w:r>
          </w:p>
        </w:tc>
        <w:tc>
          <w:tcPr>
            <w:tcW w:w="841" w:type="dxa"/>
            <w:tcBorders>
              <w:top w:val="nil"/>
              <w:left w:val="nil"/>
              <w:bottom w:val="single" w:color="auto" w:sz="4" w:space="0"/>
              <w:right w:val="single" w:color="auto" w:sz="4" w:space="0"/>
            </w:tcBorders>
            <w:shd w:val="clear" w:color="auto" w:fill="auto"/>
            <w:noWrap/>
            <w:vAlign w:val="center"/>
          </w:tcPr>
          <w:p w14:paraId="7AAC0EA3">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30218</w:t>
            </w:r>
          </w:p>
        </w:tc>
        <w:tc>
          <w:tcPr>
            <w:tcW w:w="2018" w:type="dxa"/>
            <w:tcBorders>
              <w:top w:val="nil"/>
              <w:left w:val="nil"/>
              <w:bottom w:val="single" w:color="auto" w:sz="4" w:space="0"/>
              <w:right w:val="single" w:color="auto" w:sz="4" w:space="0"/>
            </w:tcBorders>
            <w:shd w:val="clear" w:color="auto" w:fill="auto"/>
            <w:noWrap/>
            <w:vAlign w:val="center"/>
          </w:tcPr>
          <w:p w14:paraId="3554C5FE">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专用材料费</w:t>
            </w:r>
          </w:p>
        </w:tc>
        <w:tc>
          <w:tcPr>
            <w:tcW w:w="933" w:type="dxa"/>
            <w:tcBorders>
              <w:top w:val="nil"/>
              <w:left w:val="nil"/>
              <w:bottom w:val="single" w:color="auto" w:sz="4" w:space="0"/>
              <w:right w:val="single" w:color="auto" w:sz="4" w:space="0"/>
            </w:tcBorders>
            <w:shd w:val="clear" w:color="auto" w:fill="auto"/>
            <w:noWrap/>
            <w:vAlign w:val="center"/>
          </w:tcPr>
          <w:p w14:paraId="0B500A85">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17.35</w:t>
            </w:r>
          </w:p>
        </w:tc>
        <w:tc>
          <w:tcPr>
            <w:tcW w:w="1217" w:type="dxa"/>
            <w:tcBorders>
              <w:top w:val="nil"/>
              <w:left w:val="nil"/>
              <w:bottom w:val="single" w:color="auto" w:sz="4" w:space="0"/>
              <w:right w:val="single" w:color="auto" w:sz="4" w:space="0"/>
            </w:tcBorders>
            <w:shd w:val="clear" w:color="auto" w:fill="auto"/>
            <w:noWrap/>
            <w:vAlign w:val="center"/>
          </w:tcPr>
          <w:p w14:paraId="4F910392">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31019</w:t>
            </w:r>
          </w:p>
        </w:tc>
        <w:tc>
          <w:tcPr>
            <w:tcW w:w="3517" w:type="dxa"/>
            <w:tcBorders>
              <w:top w:val="nil"/>
              <w:left w:val="nil"/>
              <w:bottom w:val="single" w:color="auto" w:sz="4" w:space="0"/>
              <w:right w:val="single" w:color="auto" w:sz="4" w:space="0"/>
            </w:tcBorders>
            <w:shd w:val="clear" w:color="auto" w:fill="auto"/>
            <w:noWrap/>
            <w:vAlign w:val="center"/>
          </w:tcPr>
          <w:p w14:paraId="49A51D97">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其他交通工具购置</w:t>
            </w:r>
          </w:p>
        </w:tc>
        <w:tc>
          <w:tcPr>
            <w:tcW w:w="1206" w:type="dxa"/>
            <w:tcBorders>
              <w:top w:val="nil"/>
              <w:left w:val="nil"/>
              <w:bottom w:val="single" w:color="auto" w:sz="4" w:space="0"/>
              <w:right w:val="single" w:color="auto" w:sz="4" w:space="0"/>
            </w:tcBorders>
            <w:shd w:val="clear" w:color="auto" w:fill="auto"/>
            <w:noWrap/>
            <w:vAlign w:val="center"/>
          </w:tcPr>
          <w:p w14:paraId="2B974056">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0A42EF8C">
        <w:tblPrEx>
          <w:tblCellMar>
            <w:top w:w="0" w:type="dxa"/>
            <w:left w:w="108" w:type="dxa"/>
            <w:bottom w:w="0" w:type="dxa"/>
            <w:right w:w="108" w:type="dxa"/>
          </w:tblCellMar>
        </w:tblPrEx>
        <w:trPr>
          <w:trHeight w:val="53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CD240E">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30303</w:t>
            </w:r>
          </w:p>
        </w:tc>
        <w:tc>
          <w:tcPr>
            <w:tcW w:w="2850" w:type="dxa"/>
            <w:tcBorders>
              <w:top w:val="nil"/>
              <w:left w:val="nil"/>
              <w:bottom w:val="single" w:color="auto" w:sz="4" w:space="0"/>
              <w:right w:val="single" w:color="auto" w:sz="4" w:space="0"/>
            </w:tcBorders>
            <w:shd w:val="clear" w:color="auto" w:fill="auto"/>
            <w:noWrap/>
            <w:vAlign w:val="center"/>
          </w:tcPr>
          <w:p w14:paraId="16EFFCA0">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退职（役）费</w:t>
            </w:r>
          </w:p>
        </w:tc>
        <w:tc>
          <w:tcPr>
            <w:tcW w:w="1241" w:type="dxa"/>
            <w:tcBorders>
              <w:top w:val="nil"/>
              <w:left w:val="nil"/>
              <w:bottom w:val="single" w:color="auto" w:sz="4" w:space="0"/>
              <w:right w:val="single" w:color="auto" w:sz="4" w:space="0"/>
            </w:tcBorders>
            <w:shd w:val="clear" w:color="auto" w:fill="auto"/>
            <w:noWrap/>
            <w:vAlign w:val="center"/>
          </w:tcPr>
          <w:p w14:paraId="0A9081B9">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841" w:type="dxa"/>
            <w:tcBorders>
              <w:top w:val="nil"/>
              <w:left w:val="nil"/>
              <w:bottom w:val="single" w:color="auto" w:sz="4" w:space="0"/>
              <w:right w:val="single" w:color="auto" w:sz="4" w:space="0"/>
            </w:tcBorders>
            <w:shd w:val="clear" w:color="auto" w:fill="auto"/>
            <w:noWrap/>
            <w:vAlign w:val="center"/>
          </w:tcPr>
          <w:p w14:paraId="5205ED3A">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30224</w:t>
            </w:r>
          </w:p>
        </w:tc>
        <w:tc>
          <w:tcPr>
            <w:tcW w:w="2018" w:type="dxa"/>
            <w:tcBorders>
              <w:top w:val="nil"/>
              <w:left w:val="nil"/>
              <w:bottom w:val="single" w:color="auto" w:sz="4" w:space="0"/>
              <w:right w:val="single" w:color="auto" w:sz="4" w:space="0"/>
            </w:tcBorders>
            <w:shd w:val="clear" w:color="auto" w:fill="auto"/>
            <w:noWrap/>
            <w:vAlign w:val="center"/>
          </w:tcPr>
          <w:p w14:paraId="6D295FE4">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被装购置费</w:t>
            </w:r>
          </w:p>
        </w:tc>
        <w:tc>
          <w:tcPr>
            <w:tcW w:w="933" w:type="dxa"/>
            <w:tcBorders>
              <w:top w:val="nil"/>
              <w:left w:val="nil"/>
              <w:bottom w:val="single" w:color="auto" w:sz="4" w:space="0"/>
              <w:right w:val="single" w:color="auto" w:sz="4" w:space="0"/>
            </w:tcBorders>
            <w:shd w:val="clear" w:color="auto" w:fill="auto"/>
            <w:noWrap/>
            <w:vAlign w:val="center"/>
          </w:tcPr>
          <w:p w14:paraId="4322392E">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498A75DD">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31021</w:t>
            </w:r>
          </w:p>
        </w:tc>
        <w:tc>
          <w:tcPr>
            <w:tcW w:w="3517" w:type="dxa"/>
            <w:tcBorders>
              <w:top w:val="nil"/>
              <w:left w:val="nil"/>
              <w:bottom w:val="single" w:color="auto" w:sz="4" w:space="0"/>
              <w:right w:val="single" w:color="auto" w:sz="4" w:space="0"/>
            </w:tcBorders>
            <w:shd w:val="clear" w:color="auto" w:fill="auto"/>
            <w:noWrap/>
            <w:vAlign w:val="center"/>
          </w:tcPr>
          <w:p w14:paraId="26083393">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文物和陈列品购置</w:t>
            </w:r>
          </w:p>
        </w:tc>
        <w:tc>
          <w:tcPr>
            <w:tcW w:w="1206" w:type="dxa"/>
            <w:tcBorders>
              <w:top w:val="nil"/>
              <w:left w:val="nil"/>
              <w:bottom w:val="single" w:color="auto" w:sz="4" w:space="0"/>
              <w:right w:val="single" w:color="auto" w:sz="4" w:space="0"/>
            </w:tcBorders>
            <w:shd w:val="clear" w:color="auto" w:fill="auto"/>
            <w:noWrap/>
            <w:vAlign w:val="center"/>
          </w:tcPr>
          <w:p w14:paraId="73A74D4D">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5E88D0DB">
        <w:tblPrEx>
          <w:tblCellMar>
            <w:top w:w="0" w:type="dxa"/>
            <w:left w:w="108" w:type="dxa"/>
            <w:bottom w:w="0" w:type="dxa"/>
            <w:right w:w="108" w:type="dxa"/>
          </w:tblCellMar>
        </w:tblPrEx>
        <w:trPr>
          <w:trHeight w:val="53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B57EBC1">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30304</w:t>
            </w:r>
          </w:p>
        </w:tc>
        <w:tc>
          <w:tcPr>
            <w:tcW w:w="2850" w:type="dxa"/>
            <w:tcBorders>
              <w:top w:val="nil"/>
              <w:left w:val="nil"/>
              <w:bottom w:val="single" w:color="auto" w:sz="4" w:space="0"/>
              <w:right w:val="single" w:color="auto" w:sz="4" w:space="0"/>
            </w:tcBorders>
            <w:shd w:val="clear" w:color="auto" w:fill="auto"/>
            <w:noWrap/>
            <w:vAlign w:val="center"/>
          </w:tcPr>
          <w:p w14:paraId="674EE5C7">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抚恤金</w:t>
            </w:r>
          </w:p>
        </w:tc>
        <w:tc>
          <w:tcPr>
            <w:tcW w:w="1241" w:type="dxa"/>
            <w:tcBorders>
              <w:top w:val="nil"/>
              <w:left w:val="nil"/>
              <w:bottom w:val="single" w:color="auto" w:sz="4" w:space="0"/>
              <w:right w:val="single" w:color="auto" w:sz="4" w:space="0"/>
            </w:tcBorders>
            <w:shd w:val="clear" w:color="auto" w:fill="auto"/>
            <w:noWrap/>
            <w:vAlign w:val="center"/>
          </w:tcPr>
          <w:p w14:paraId="6C62843A">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181.80</w:t>
            </w:r>
          </w:p>
        </w:tc>
        <w:tc>
          <w:tcPr>
            <w:tcW w:w="841" w:type="dxa"/>
            <w:tcBorders>
              <w:top w:val="nil"/>
              <w:left w:val="nil"/>
              <w:bottom w:val="single" w:color="auto" w:sz="4" w:space="0"/>
              <w:right w:val="single" w:color="auto" w:sz="4" w:space="0"/>
            </w:tcBorders>
            <w:shd w:val="clear" w:color="auto" w:fill="auto"/>
            <w:noWrap/>
            <w:vAlign w:val="center"/>
          </w:tcPr>
          <w:p w14:paraId="49AF143E">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30225</w:t>
            </w:r>
          </w:p>
        </w:tc>
        <w:tc>
          <w:tcPr>
            <w:tcW w:w="2018" w:type="dxa"/>
            <w:tcBorders>
              <w:top w:val="nil"/>
              <w:left w:val="nil"/>
              <w:bottom w:val="single" w:color="auto" w:sz="4" w:space="0"/>
              <w:right w:val="single" w:color="auto" w:sz="4" w:space="0"/>
            </w:tcBorders>
            <w:shd w:val="clear" w:color="auto" w:fill="auto"/>
            <w:noWrap/>
            <w:vAlign w:val="center"/>
          </w:tcPr>
          <w:p w14:paraId="49CD765A">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专用燃料费</w:t>
            </w:r>
          </w:p>
        </w:tc>
        <w:tc>
          <w:tcPr>
            <w:tcW w:w="933" w:type="dxa"/>
            <w:tcBorders>
              <w:top w:val="nil"/>
              <w:left w:val="nil"/>
              <w:bottom w:val="single" w:color="auto" w:sz="4" w:space="0"/>
              <w:right w:val="single" w:color="auto" w:sz="4" w:space="0"/>
            </w:tcBorders>
            <w:shd w:val="clear" w:color="auto" w:fill="auto"/>
            <w:noWrap/>
            <w:vAlign w:val="center"/>
          </w:tcPr>
          <w:p w14:paraId="757CBA9B">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2F099A70">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31022</w:t>
            </w:r>
          </w:p>
        </w:tc>
        <w:tc>
          <w:tcPr>
            <w:tcW w:w="3517" w:type="dxa"/>
            <w:tcBorders>
              <w:top w:val="nil"/>
              <w:left w:val="nil"/>
              <w:bottom w:val="single" w:color="auto" w:sz="4" w:space="0"/>
              <w:right w:val="single" w:color="auto" w:sz="4" w:space="0"/>
            </w:tcBorders>
            <w:shd w:val="clear" w:color="auto" w:fill="auto"/>
            <w:noWrap/>
            <w:vAlign w:val="center"/>
          </w:tcPr>
          <w:p w14:paraId="7448E963">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无形资产购置</w:t>
            </w:r>
          </w:p>
        </w:tc>
        <w:tc>
          <w:tcPr>
            <w:tcW w:w="1206" w:type="dxa"/>
            <w:tcBorders>
              <w:top w:val="nil"/>
              <w:left w:val="nil"/>
              <w:bottom w:val="single" w:color="auto" w:sz="4" w:space="0"/>
              <w:right w:val="single" w:color="auto" w:sz="4" w:space="0"/>
            </w:tcBorders>
            <w:shd w:val="clear" w:color="auto" w:fill="auto"/>
            <w:noWrap/>
            <w:vAlign w:val="center"/>
          </w:tcPr>
          <w:p w14:paraId="4339CF8C">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5E78D676">
        <w:tblPrEx>
          <w:tblCellMar>
            <w:top w:w="0" w:type="dxa"/>
            <w:left w:w="108" w:type="dxa"/>
            <w:bottom w:w="0" w:type="dxa"/>
            <w:right w:w="108" w:type="dxa"/>
          </w:tblCellMar>
        </w:tblPrEx>
        <w:trPr>
          <w:trHeight w:val="53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D7D8387">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30305</w:t>
            </w:r>
          </w:p>
        </w:tc>
        <w:tc>
          <w:tcPr>
            <w:tcW w:w="2850" w:type="dxa"/>
            <w:tcBorders>
              <w:top w:val="nil"/>
              <w:left w:val="nil"/>
              <w:bottom w:val="single" w:color="auto" w:sz="4" w:space="0"/>
              <w:right w:val="single" w:color="auto" w:sz="4" w:space="0"/>
            </w:tcBorders>
            <w:shd w:val="clear" w:color="auto" w:fill="auto"/>
            <w:noWrap/>
            <w:vAlign w:val="center"/>
          </w:tcPr>
          <w:p w14:paraId="79E37B0C">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生活补助</w:t>
            </w:r>
          </w:p>
        </w:tc>
        <w:tc>
          <w:tcPr>
            <w:tcW w:w="1241" w:type="dxa"/>
            <w:tcBorders>
              <w:top w:val="nil"/>
              <w:left w:val="nil"/>
              <w:bottom w:val="single" w:color="auto" w:sz="4" w:space="0"/>
              <w:right w:val="single" w:color="auto" w:sz="4" w:space="0"/>
            </w:tcBorders>
            <w:shd w:val="clear" w:color="auto" w:fill="auto"/>
            <w:noWrap/>
            <w:vAlign w:val="center"/>
          </w:tcPr>
          <w:p w14:paraId="3B285368">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65.60</w:t>
            </w:r>
          </w:p>
        </w:tc>
        <w:tc>
          <w:tcPr>
            <w:tcW w:w="841" w:type="dxa"/>
            <w:tcBorders>
              <w:top w:val="nil"/>
              <w:left w:val="nil"/>
              <w:bottom w:val="single" w:color="auto" w:sz="4" w:space="0"/>
              <w:right w:val="single" w:color="auto" w:sz="4" w:space="0"/>
            </w:tcBorders>
            <w:shd w:val="clear" w:color="auto" w:fill="auto"/>
            <w:noWrap/>
            <w:vAlign w:val="center"/>
          </w:tcPr>
          <w:p w14:paraId="56D37BD0">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30226</w:t>
            </w:r>
          </w:p>
        </w:tc>
        <w:tc>
          <w:tcPr>
            <w:tcW w:w="2018" w:type="dxa"/>
            <w:tcBorders>
              <w:top w:val="nil"/>
              <w:left w:val="nil"/>
              <w:bottom w:val="single" w:color="auto" w:sz="4" w:space="0"/>
              <w:right w:val="single" w:color="auto" w:sz="4" w:space="0"/>
            </w:tcBorders>
            <w:shd w:val="clear" w:color="auto" w:fill="auto"/>
            <w:noWrap/>
            <w:vAlign w:val="center"/>
          </w:tcPr>
          <w:p w14:paraId="788CDC5F">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劳务费</w:t>
            </w:r>
          </w:p>
        </w:tc>
        <w:tc>
          <w:tcPr>
            <w:tcW w:w="933" w:type="dxa"/>
            <w:tcBorders>
              <w:top w:val="nil"/>
              <w:left w:val="nil"/>
              <w:bottom w:val="single" w:color="auto" w:sz="4" w:space="0"/>
              <w:right w:val="single" w:color="auto" w:sz="4" w:space="0"/>
            </w:tcBorders>
            <w:shd w:val="clear" w:color="auto" w:fill="auto"/>
            <w:noWrap/>
            <w:vAlign w:val="center"/>
          </w:tcPr>
          <w:p w14:paraId="7ACD64E0">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259.85</w:t>
            </w:r>
          </w:p>
        </w:tc>
        <w:tc>
          <w:tcPr>
            <w:tcW w:w="1217" w:type="dxa"/>
            <w:tcBorders>
              <w:top w:val="nil"/>
              <w:left w:val="nil"/>
              <w:bottom w:val="single" w:color="auto" w:sz="4" w:space="0"/>
              <w:right w:val="single" w:color="auto" w:sz="4" w:space="0"/>
            </w:tcBorders>
            <w:shd w:val="clear" w:color="auto" w:fill="auto"/>
            <w:noWrap/>
            <w:vAlign w:val="center"/>
          </w:tcPr>
          <w:p w14:paraId="15D6C36C">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31099</w:t>
            </w:r>
          </w:p>
        </w:tc>
        <w:tc>
          <w:tcPr>
            <w:tcW w:w="3517" w:type="dxa"/>
            <w:tcBorders>
              <w:top w:val="nil"/>
              <w:left w:val="nil"/>
              <w:bottom w:val="single" w:color="auto" w:sz="4" w:space="0"/>
              <w:right w:val="single" w:color="auto" w:sz="4" w:space="0"/>
            </w:tcBorders>
            <w:shd w:val="clear" w:color="auto" w:fill="auto"/>
            <w:noWrap/>
            <w:vAlign w:val="center"/>
          </w:tcPr>
          <w:p w14:paraId="5D0907A0">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其他资本性支出</w:t>
            </w:r>
          </w:p>
        </w:tc>
        <w:tc>
          <w:tcPr>
            <w:tcW w:w="1206" w:type="dxa"/>
            <w:tcBorders>
              <w:top w:val="nil"/>
              <w:left w:val="nil"/>
              <w:bottom w:val="single" w:color="auto" w:sz="4" w:space="0"/>
              <w:right w:val="single" w:color="auto" w:sz="4" w:space="0"/>
            </w:tcBorders>
            <w:shd w:val="clear" w:color="auto" w:fill="auto"/>
            <w:noWrap/>
            <w:vAlign w:val="center"/>
          </w:tcPr>
          <w:p w14:paraId="55E0C75B">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1.05</w:t>
            </w:r>
          </w:p>
        </w:tc>
      </w:tr>
      <w:tr w14:paraId="70FF3467">
        <w:tblPrEx>
          <w:tblCellMar>
            <w:top w:w="0" w:type="dxa"/>
            <w:left w:w="108" w:type="dxa"/>
            <w:bottom w:w="0" w:type="dxa"/>
            <w:right w:w="108" w:type="dxa"/>
          </w:tblCellMar>
        </w:tblPrEx>
        <w:trPr>
          <w:trHeight w:val="53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B560B2F">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30306</w:t>
            </w:r>
          </w:p>
        </w:tc>
        <w:tc>
          <w:tcPr>
            <w:tcW w:w="2850" w:type="dxa"/>
            <w:tcBorders>
              <w:top w:val="nil"/>
              <w:left w:val="nil"/>
              <w:bottom w:val="single" w:color="auto" w:sz="4" w:space="0"/>
              <w:right w:val="single" w:color="auto" w:sz="4" w:space="0"/>
            </w:tcBorders>
            <w:shd w:val="clear" w:color="auto" w:fill="auto"/>
            <w:noWrap/>
            <w:vAlign w:val="center"/>
          </w:tcPr>
          <w:p w14:paraId="75E4E551">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救济费</w:t>
            </w:r>
          </w:p>
        </w:tc>
        <w:tc>
          <w:tcPr>
            <w:tcW w:w="1241" w:type="dxa"/>
            <w:tcBorders>
              <w:top w:val="nil"/>
              <w:left w:val="nil"/>
              <w:bottom w:val="single" w:color="auto" w:sz="4" w:space="0"/>
              <w:right w:val="single" w:color="auto" w:sz="4" w:space="0"/>
            </w:tcBorders>
            <w:shd w:val="clear" w:color="auto" w:fill="auto"/>
            <w:noWrap/>
            <w:vAlign w:val="center"/>
          </w:tcPr>
          <w:p w14:paraId="5295CB38">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841" w:type="dxa"/>
            <w:tcBorders>
              <w:top w:val="nil"/>
              <w:left w:val="nil"/>
              <w:bottom w:val="single" w:color="auto" w:sz="4" w:space="0"/>
              <w:right w:val="single" w:color="auto" w:sz="4" w:space="0"/>
            </w:tcBorders>
            <w:shd w:val="clear" w:color="auto" w:fill="auto"/>
            <w:noWrap/>
            <w:vAlign w:val="center"/>
          </w:tcPr>
          <w:p w14:paraId="2BB5CAC9">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30227</w:t>
            </w:r>
          </w:p>
        </w:tc>
        <w:tc>
          <w:tcPr>
            <w:tcW w:w="2018" w:type="dxa"/>
            <w:tcBorders>
              <w:top w:val="nil"/>
              <w:left w:val="nil"/>
              <w:bottom w:val="single" w:color="auto" w:sz="4" w:space="0"/>
              <w:right w:val="single" w:color="auto" w:sz="4" w:space="0"/>
            </w:tcBorders>
            <w:shd w:val="clear" w:color="auto" w:fill="auto"/>
            <w:noWrap/>
            <w:vAlign w:val="center"/>
          </w:tcPr>
          <w:p w14:paraId="632CF239">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委托业务费</w:t>
            </w:r>
          </w:p>
        </w:tc>
        <w:tc>
          <w:tcPr>
            <w:tcW w:w="933" w:type="dxa"/>
            <w:tcBorders>
              <w:top w:val="nil"/>
              <w:left w:val="nil"/>
              <w:bottom w:val="single" w:color="auto" w:sz="4" w:space="0"/>
              <w:right w:val="single" w:color="auto" w:sz="4" w:space="0"/>
            </w:tcBorders>
            <w:shd w:val="clear" w:color="auto" w:fill="auto"/>
            <w:noWrap/>
            <w:vAlign w:val="center"/>
          </w:tcPr>
          <w:p w14:paraId="6126A3EC">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53.44</w:t>
            </w:r>
          </w:p>
        </w:tc>
        <w:tc>
          <w:tcPr>
            <w:tcW w:w="1217" w:type="dxa"/>
            <w:tcBorders>
              <w:top w:val="nil"/>
              <w:left w:val="nil"/>
              <w:bottom w:val="single" w:color="auto" w:sz="4" w:space="0"/>
              <w:right w:val="single" w:color="auto" w:sz="4" w:space="0"/>
            </w:tcBorders>
            <w:shd w:val="clear" w:color="auto" w:fill="auto"/>
            <w:noWrap/>
            <w:vAlign w:val="center"/>
          </w:tcPr>
          <w:p w14:paraId="2133057D">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399</w:t>
            </w:r>
          </w:p>
        </w:tc>
        <w:tc>
          <w:tcPr>
            <w:tcW w:w="3517" w:type="dxa"/>
            <w:tcBorders>
              <w:top w:val="nil"/>
              <w:left w:val="nil"/>
              <w:bottom w:val="single" w:color="auto" w:sz="4" w:space="0"/>
              <w:right w:val="single" w:color="auto" w:sz="4" w:space="0"/>
            </w:tcBorders>
            <w:shd w:val="clear" w:color="auto" w:fill="auto"/>
            <w:noWrap/>
            <w:vAlign w:val="center"/>
          </w:tcPr>
          <w:p w14:paraId="00439BDA">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其他支出</w:t>
            </w:r>
          </w:p>
        </w:tc>
        <w:tc>
          <w:tcPr>
            <w:tcW w:w="1206" w:type="dxa"/>
            <w:tcBorders>
              <w:top w:val="nil"/>
              <w:left w:val="nil"/>
              <w:bottom w:val="single" w:color="auto" w:sz="4" w:space="0"/>
              <w:right w:val="single" w:color="auto" w:sz="4" w:space="0"/>
            </w:tcBorders>
            <w:shd w:val="clear" w:color="auto" w:fill="auto"/>
            <w:noWrap/>
            <w:vAlign w:val="center"/>
          </w:tcPr>
          <w:p w14:paraId="408424A3">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1203C20C">
        <w:tblPrEx>
          <w:tblCellMar>
            <w:top w:w="0" w:type="dxa"/>
            <w:left w:w="108" w:type="dxa"/>
            <w:bottom w:w="0" w:type="dxa"/>
            <w:right w:w="108" w:type="dxa"/>
          </w:tblCellMar>
        </w:tblPrEx>
        <w:trPr>
          <w:trHeight w:val="53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5F246F">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30307</w:t>
            </w:r>
          </w:p>
        </w:tc>
        <w:tc>
          <w:tcPr>
            <w:tcW w:w="2850" w:type="dxa"/>
            <w:tcBorders>
              <w:top w:val="nil"/>
              <w:left w:val="nil"/>
              <w:bottom w:val="single" w:color="auto" w:sz="4" w:space="0"/>
              <w:right w:val="single" w:color="auto" w:sz="4" w:space="0"/>
            </w:tcBorders>
            <w:shd w:val="clear" w:color="auto" w:fill="auto"/>
            <w:noWrap/>
            <w:vAlign w:val="center"/>
          </w:tcPr>
          <w:p w14:paraId="74C2B0B7">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医疗费补助</w:t>
            </w:r>
          </w:p>
        </w:tc>
        <w:tc>
          <w:tcPr>
            <w:tcW w:w="1241" w:type="dxa"/>
            <w:tcBorders>
              <w:top w:val="nil"/>
              <w:left w:val="nil"/>
              <w:bottom w:val="single" w:color="auto" w:sz="4" w:space="0"/>
              <w:right w:val="single" w:color="auto" w:sz="4" w:space="0"/>
            </w:tcBorders>
            <w:shd w:val="clear" w:color="auto" w:fill="auto"/>
            <w:noWrap/>
            <w:vAlign w:val="center"/>
          </w:tcPr>
          <w:p w14:paraId="0CA1C64A">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58.09</w:t>
            </w:r>
          </w:p>
        </w:tc>
        <w:tc>
          <w:tcPr>
            <w:tcW w:w="841" w:type="dxa"/>
            <w:tcBorders>
              <w:top w:val="nil"/>
              <w:left w:val="nil"/>
              <w:bottom w:val="single" w:color="auto" w:sz="4" w:space="0"/>
              <w:right w:val="single" w:color="auto" w:sz="4" w:space="0"/>
            </w:tcBorders>
            <w:shd w:val="clear" w:color="auto" w:fill="auto"/>
            <w:noWrap/>
            <w:vAlign w:val="center"/>
          </w:tcPr>
          <w:p w14:paraId="5AE98941">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30228</w:t>
            </w:r>
          </w:p>
        </w:tc>
        <w:tc>
          <w:tcPr>
            <w:tcW w:w="2018" w:type="dxa"/>
            <w:tcBorders>
              <w:top w:val="nil"/>
              <w:left w:val="nil"/>
              <w:bottom w:val="single" w:color="auto" w:sz="4" w:space="0"/>
              <w:right w:val="single" w:color="auto" w:sz="4" w:space="0"/>
            </w:tcBorders>
            <w:shd w:val="clear" w:color="auto" w:fill="auto"/>
            <w:noWrap/>
            <w:vAlign w:val="center"/>
          </w:tcPr>
          <w:p w14:paraId="75E39960">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工会经费</w:t>
            </w:r>
          </w:p>
        </w:tc>
        <w:tc>
          <w:tcPr>
            <w:tcW w:w="933" w:type="dxa"/>
            <w:tcBorders>
              <w:top w:val="nil"/>
              <w:left w:val="nil"/>
              <w:bottom w:val="single" w:color="auto" w:sz="4" w:space="0"/>
              <w:right w:val="single" w:color="auto" w:sz="4" w:space="0"/>
            </w:tcBorders>
            <w:shd w:val="clear" w:color="auto" w:fill="auto"/>
            <w:noWrap/>
            <w:vAlign w:val="center"/>
          </w:tcPr>
          <w:p w14:paraId="1020DE12">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412.70</w:t>
            </w:r>
          </w:p>
        </w:tc>
        <w:tc>
          <w:tcPr>
            <w:tcW w:w="1217" w:type="dxa"/>
            <w:tcBorders>
              <w:top w:val="nil"/>
              <w:left w:val="nil"/>
              <w:bottom w:val="single" w:color="auto" w:sz="4" w:space="0"/>
              <w:right w:val="single" w:color="auto" w:sz="4" w:space="0"/>
            </w:tcBorders>
            <w:shd w:val="clear" w:color="auto" w:fill="auto"/>
            <w:noWrap/>
            <w:vAlign w:val="center"/>
          </w:tcPr>
          <w:p w14:paraId="6DAF6188">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39907</w:t>
            </w:r>
          </w:p>
        </w:tc>
        <w:tc>
          <w:tcPr>
            <w:tcW w:w="3517" w:type="dxa"/>
            <w:tcBorders>
              <w:top w:val="nil"/>
              <w:left w:val="nil"/>
              <w:bottom w:val="single" w:color="auto" w:sz="4" w:space="0"/>
              <w:right w:val="single" w:color="auto" w:sz="4" w:space="0"/>
            </w:tcBorders>
            <w:shd w:val="clear" w:color="auto" w:fill="auto"/>
            <w:noWrap/>
            <w:vAlign w:val="center"/>
          </w:tcPr>
          <w:p w14:paraId="7E29BFCD">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国家赔偿费用支出</w:t>
            </w:r>
          </w:p>
        </w:tc>
        <w:tc>
          <w:tcPr>
            <w:tcW w:w="1206" w:type="dxa"/>
            <w:tcBorders>
              <w:top w:val="nil"/>
              <w:left w:val="nil"/>
              <w:bottom w:val="single" w:color="auto" w:sz="4" w:space="0"/>
              <w:right w:val="single" w:color="auto" w:sz="4" w:space="0"/>
            </w:tcBorders>
            <w:shd w:val="clear" w:color="auto" w:fill="auto"/>
            <w:noWrap/>
            <w:vAlign w:val="center"/>
          </w:tcPr>
          <w:p w14:paraId="18C81ACC">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04D8A679">
        <w:tblPrEx>
          <w:tblCellMar>
            <w:top w:w="0" w:type="dxa"/>
            <w:left w:w="108" w:type="dxa"/>
            <w:bottom w:w="0" w:type="dxa"/>
            <w:right w:w="108" w:type="dxa"/>
          </w:tblCellMar>
        </w:tblPrEx>
        <w:trPr>
          <w:trHeight w:val="53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081551D">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30308</w:t>
            </w:r>
          </w:p>
        </w:tc>
        <w:tc>
          <w:tcPr>
            <w:tcW w:w="2850" w:type="dxa"/>
            <w:tcBorders>
              <w:top w:val="nil"/>
              <w:left w:val="nil"/>
              <w:bottom w:val="single" w:color="auto" w:sz="4" w:space="0"/>
              <w:right w:val="single" w:color="auto" w:sz="4" w:space="0"/>
            </w:tcBorders>
            <w:shd w:val="clear" w:color="auto" w:fill="auto"/>
            <w:noWrap/>
            <w:vAlign w:val="center"/>
          </w:tcPr>
          <w:p w14:paraId="59B6EDC0">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助学金</w:t>
            </w:r>
          </w:p>
        </w:tc>
        <w:tc>
          <w:tcPr>
            <w:tcW w:w="1241" w:type="dxa"/>
            <w:tcBorders>
              <w:top w:val="nil"/>
              <w:left w:val="nil"/>
              <w:bottom w:val="single" w:color="auto" w:sz="4" w:space="0"/>
              <w:right w:val="single" w:color="auto" w:sz="4" w:space="0"/>
            </w:tcBorders>
            <w:shd w:val="clear" w:color="auto" w:fill="auto"/>
            <w:noWrap/>
            <w:vAlign w:val="center"/>
          </w:tcPr>
          <w:p w14:paraId="5886C6FA">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841" w:type="dxa"/>
            <w:tcBorders>
              <w:top w:val="nil"/>
              <w:left w:val="nil"/>
              <w:bottom w:val="single" w:color="auto" w:sz="4" w:space="0"/>
              <w:right w:val="single" w:color="auto" w:sz="4" w:space="0"/>
            </w:tcBorders>
            <w:shd w:val="clear" w:color="auto" w:fill="auto"/>
            <w:noWrap/>
            <w:vAlign w:val="center"/>
          </w:tcPr>
          <w:p w14:paraId="50828E75">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30229</w:t>
            </w:r>
          </w:p>
        </w:tc>
        <w:tc>
          <w:tcPr>
            <w:tcW w:w="2018" w:type="dxa"/>
            <w:tcBorders>
              <w:top w:val="nil"/>
              <w:left w:val="nil"/>
              <w:bottom w:val="single" w:color="auto" w:sz="4" w:space="0"/>
              <w:right w:val="single" w:color="auto" w:sz="4" w:space="0"/>
            </w:tcBorders>
            <w:shd w:val="clear" w:color="auto" w:fill="auto"/>
            <w:noWrap/>
            <w:vAlign w:val="center"/>
          </w:tcPr>
          <w:p w14:paraId="548CA9E6">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福利费</w:t>
            </w:r>
          </w:p>
        </w:tc>
        <w:tc>
          <w:tcPr>
            <w:tcW w:w="933" w:type="dxa"/>
            <w:tcBorders>
              <w:top w:val="nil"/>
              <w:left w:val="nil"/>
              <w:bottom w:val="single" w:color="auto" w:sz="4" w:space="0"/>
              <w:right w:val="single" w:color="auto" w:sz="4" w:space="0"/>
            </w:tcBorders>
            <w:shd w:val="clear" w:color="auto" w:fill="auto"/>
            <w:noWrap/>
            <w:vAlign w:val="center"/>
          </w:tcPr>
          <w:p w14:paraId="04F57299">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29.91</w:t>
            </w:r>
          </w:p>
        </w:tc>
        <w:tc>
          <w:tcPr>
            <w:tcW w:w="1217" w:type="dxa"/>
            <w:tcBorders>
              <w:top w:val="nil"/>
              <w:left w:val="nil"/>
              <w:bottom w:val="single" w:color="auto" w:sz="4" w:space="0"/>
              <w:right w:val="single" w:color="auto" w:sz="4" w:space="0"/>
            </w:tcBorders>
            <w:shd w:val="clear" w:color="auto" w:fill="auto"/>
            <w:noWrap/>
            <w:vAlign w:val="center"/>
          </w:tcPr>
          <w:p w14:paraId="5AC68767">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39908</w:t>
            </w:r>
          </w:p>
        </w:tc>
        <w:tc>
          <w:tcPr>
            <w:tcW w:w="3517" w:type="dxa"/>
            <w:tcBorders>
              <w:top w:val="nil"/>
              <w:left w:val="nil"/>
              <w:bottom w:val="single" w:color="auto" w:sz="4" w:space="0"/>
              <w:right w:val="single" w:color="auto" w:sz="4" w:space="0"/>
            </w:tcBorders>
            <w:shd w:val="clear" w:color="auto" w:fill="auto"/>
            <w:noWrap/>
            <w:vAlign w:val="center"/>
          </w:tcPr>
          <w:p w14:paraId="6B062CB9">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对民间非营利组织和群众性自治组织补贴</w:t>
            </w:r>
          </w:p>
        </w:tc>
        <w:tc>
          <w:tcPr>
            <w:tcW w:w="1206" w:type="dxa"/>
            <w:tcBorders>
              <w:top w:val="nil"/>
              <w:left w:val="nil"/>
              <w:bottom w:val="single" w:color="auto" w:sz="4" w:space="0"/>
              <w:right w:val="single" w:color="auto" w:sz="4" w:space="0"/>
            </w:tcBorders>
            <w:shd w:val="clear" w:color="auto" w:fill="auto"/>
            <w:noWrap/>
            <w:vAlign w:val="center"/>
          </w:tcPr>
          <w:p w14:paraId="0E5F94EB">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63E45E9E">
        <w:tblPrEx>
          <w:tblCellMar>
            <w:top w:w="0" w:type="dxa"/>
            <w:left w:w="108" w:type="dxa"/>
            <w:bottom w:w="0" w:type="dxa"/>
            <w:right w:w="108" w:type="dxa"/>
          </w:tblCellMar>
        </w:tblPrEx>
        <w:trPr>
          <w:trHeight w:val="53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39A523F">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30309</w:t>
            </w:r>
          </w:p>
        </w:tc>
        <w:tc>
          <w:tcPr>
            <w:tcW w:w="2850" w:type="dxa"/>
            <w:tcBorders>
              <w:top w:val="nil"/>
              <w:left w:val="nil"/>
              <w:bottom w:val="single" w:color="auto" w:sz="4" w:space="0"/>
              <w:right w:val="single" w:color="auto" w:sz="4" w:space="0"/>
            </w:tcBorders>
            <w:shd w:val="clear" w:color="auto" w:fill="auto"/>
            <w:noWrap/>
            <w:vAlign w:val="center"/>
          </w:tcPr>
          <w:p w14:paraId="44B43AA3">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奖励金</w:t>
            </w:r>
          </w:p>
        </w:tc>
        <w:tc>
          <w:tcPr>
            <w:tcW w:w="1241" w:type="dxa"/>
            <w:tcBorders>
              <w:top w:val="nil"/>
              <w:left w:val="nil"/>
              <w:bottom w:val="single" w:color="auto" w:sz="4" w:space="0"/>
              <w:right w:val="single" w:color="auto" w:sz="4" w:space="0"/>
            </w:tcBorders>
            <w:shd w:val="clear" w:color="auto" w:fill="auto"/>
            <w:noWrap/>
            <w:vAlign w:val="center"/>
          </w:tcPr>
          <w:p w14:paraId="24F37DBE">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206.16</w:t>
            </w:r>
          </w:p>
        </w:tc>
        <w:tc>
          <w:tcPr>
            <w:tcW w:w="841" w:type="dxa"/>
            <w:tcBorders>
              <w:top w:val="nil"/>
              <w:left w:val="nil"/>
              <w:bottom w:val="single" w:color="auto" w:sz="4" w:space="0"/>
              <w:right w:val="single" w:color="auto" w:sz="4" w:space="0"/>
            </w:tcBorders>
            <w:shd w:val="clear" w:color="auto" w:fill="auto"/>
            <w:noWrap/>
            <w:vAlign w:val="center"/>
          </w:tcPr>
          <w:p w14:paraId="0319C691">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30231</w:t>
            </w:r>
          </w:p>
        </w:tc>
        <w:tc>
          <w:tcPr>
            <w:tcW w:w="2018" w:type="dxa"/>
            <w:tcBorders>
              <w:top w:val="nil"/>
              <w:left w:val="nil"/>
              <w:bottom w:val="single" w:color="auto" w:sz="4" w:space="0"/>
              <w:right w:val="single" w:color="auto" w:sz="4" w:space="0"/>
            </w:tcBorders>
            <w:shd w:val="clear" w:color="auto" w:fill="auto"/>
            <w:noWrap/>
            <w:vAlign w:val="center"/>
          </w:tcPr>
          <w:p w14:paraId="3155BD75">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18E96EFD">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57.74</w:t>
            </w:r>
          </w:p>
        </w:tc>
        <w:tc>
          <w:tcPr>
            <w:tcW w:w="1217" w:type="dxa"/>
            <w:tcBorders>
              <w:top w:val="nil"/>
              <w:left w:val="nil"/>
              <w:bottom w:val="single" w:color="auto" w:sz="4" w:space="0"/>
              <w:right w:val="single" w:color="auto" w:sz="4" w:space="0"/>
            </w:tcBorders>
            <w:shd w:val="clear" w:color="auto" w:fill="auto"/>
            <w:noWrap/>
            <w:vAlign w:val="center"/>
          </w:tcPr>
          <w:p w14:paraId="46B4A6E8">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39909</w:t>
            </w:r>
          </w:p>
        </w:tc>
        <w:tc>
          <w:tcPr>
            <w:tcW w:w="3517" w:type="dxa"/>
            <w:tcBorders>
              <w:top w:val="nil"/>
              <w:left w:val="nil"/>
              <w:bottom w:val="single" w:color="auto" w:sz="4" w:space="0"/>
              <w:right w:val="single" w:color="auto" w:sz="4" w:space="0"/>
            </w:tcBorders>
            <w:shd w:val="clear" w:color="auto" w:fill="auto"/>
            <w:noWrap/>
            <w:vAlign w:val="center"/>
          </w:tcPr>
          <w:p w14:paraId="12DC1BF9">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经常性赠与</w:t>
            </w:r>
          </w:p>
        </w:tc>
        <w:tc>
          <w:tcPr>
            <w:tcW w:w="1206" w:type="dxa"/>
            <w:tcBorders>
              <w:top w:val="nil"/>
              <w:left w:val="nil"/>
              <w:bottom w:val="single" w:color="auto" w:sz="4" w:space="0"/>
              <w:right w:val="single" w:color="auto" w:sz="4" w:space="0"/>
            </w:tcBorders>
            <w:shd w:val="clear" w:color="auto" w:fill="auto"/>
            <w:noWrap/>
            <w:vAlign w:val="center"/>
          </w:tcPr>
          <w:p w14:paraId="78481FD4">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5CE485F3">
        <w:tblPrEx>
          <w:tblCellMar>
            <w:top w:w="0" w:type="dxa"/>
            <w:left w:w="108" w:type="dxa"/>
            <w:bottom w:w="0" w:type="dxa"/>
            <w:right w:w="108" w:type="dxa"/>
          </w:tblCellMar>
        </w:tblPrEx>
        <w:trPr>
          <w:trHeight w:val="53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FE73D0A">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30310</w:t>
            </w:r>
          </w:p>
        </w:tc>
        <w:tc>
          <w:tcPr>
            <w:tcW w:w="2850" w:type="dxa"/>
            <w:tcBorders>
              <w:top w:val="nil"/>
              <w:left w:val="nil"/>
              <w:bottom w:val="single" w:color="auto" w:sz="4" w:space="0"/>
              <w:right w:val="single" w:color="auto" w:sz="4" w:space="0"/>
            </w:tcBorders>
            <w:shd w:val="clear" w:color="auto" w:fill="auto"/>
            <w:noWrap/>
            <w:vAlign w:val="center"/>
          </w:tcPr>
          <w:p w14:paraId="0E6A0B36">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个人农业生产补贴</w:t>
            </w:r>
          </w:p>
        </w:tc>
        <w:tc>
          <w:tcPr>
            <w:tcW w:w="1241" w:type="dxa"/>
            <w:tcBorders>
              <w:top w:val="nil"/>
              <w:left w:val="nil"/>
              <w:bottom w:val="single" w:color="auto" w:sz="4" w:space="0"/>
              <w:right w:val="single" w:color="auto" w:sz="4" w:space="0"/>
            </w:tcBorders>
            <w:shd w:val="clear" w:color="auto" w:fill="auto"/>
            <w:noWrap/>
            <w:vAlign w:val="center"/>
          </w:tcPr>
          <w:p w14:paraId="0CF330E2">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841" w:type="dxa"/>
            <w:tcBorders>
              <w:top w:val="nil"/>
              <w:left w:val="nil"/>
              <w:bottom w:val="single" w:color="auto" w:sz="4" w:space="0"/>
              <w:right w:val="single" w:color="auto" w:sz="4" w:space="0"/>
            </w:tcBorders>
            <w:shd w:val="clear" w:color="auto" w:fill="auto"/>
            <w:noWrap/>
            <w:vAlign w:val="center"/>
          </w:tcPr>
          <w:p w14:paraId="5FCB2F72">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30239</w:t>
            </w:r>
          </w:p>
        </w:tc>
        <w:tc>
          <w:tcPr>
            <w:tcW w:w="2018" w:type="dxa"/>
            <w:tcBorders>
              <w:top w:val="nil"/>
              <w:left w:val="nil"/>
              <w:bottom w:val="single" w:color="auto" w:sz="4" w:space="0"/>
              <w:right w:val="single" w:color="auto" w:sz="4" w:space="0"/>
            </w:tcBorders>
            <w:shd w:val="clear" w:color="auto" w:fill="auto"/>
            <w:noWrap/>
            <w:vAlign w:val="center"/>
          </w:tcPr>
          <w:p w14:paraId="4517D56E">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其他交通费用</w:t>
            </w:r>
          </w:p>
        </w:tc>
        <w:tc>
          <w:tcPr>
            <w:tcW w:w="933" w:type="dxa"/>
            <w:tcBorders>
              <w:top w:val="nil"/>
              <w:left w:val="nil"/>
              <w:bottom w:val="single" w:color="auto" w:sz="4" w:space="0"/>
              <w:right w:val="single" w:color="auto" w:sz="4" w:space="0"/>
            </w:tcBorders>
            <w:shd w:val="clear" w:color="auto" w:fill="auto"/>
            <w:noWrap/>
            <w:vAlign w:val="center"/>
          </w:tcPr>
          <w:p w14:paraId="32DD2ADB">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231.03</w:t>
            </w:r>
          </w:p>
        </w:tc>
        <w:tc>
          <w:tcPr>
            <w:tcW w:w="1217" w:type="dxa"/>
            <w:tcBorders>
              <w:top w:val="nil"/>
              <w:left w:val="nil"/>
              <w:bottom w:val="single" w:color="auto" w:sz="4" w:space="0"/>
              <w:right w:val="single" w:color="auto" w:sz="4" w:space="0"/>
            </w:tcBorders>
            <w:shd w:val="clear" w:color="auto" w:fill="auto"/>
            <w:noWrap/>
            <w:vAlign w:val="center"/>
          </w:tcPr>
          <w:p w14:paraId="5E088C6D">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39910</w:t>
            </w:r>
          </w:p>
        </w:tc>
        <w:tc>
          <w:tcPr>
            <w:tcW w:w="3517" w:type="dxa"/>
            <w:tcBorders>
              <w:top w:val="nil"/>
              <w:left w:val="nil"/>
              <w:bottom w:val="single" w:color="auto" w:sz="4" w:space="0"/>
              <w:right w:val="single" w:color="auto" w:sz="4" w:space="0"/>
            </w:tcBorders>
            <w:shd w:val="clear" w:color="auto" w:fill="auto"/>
            <w:noWrap/>
            <w:vAlign w:val="center"/>
          </w:tcPr>
          <w:p w14:paraId="6BC2FE50">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资本性赠与</w:t>
            </w:r>
          </w:p>
        </w:tc>
        <w:tc>
          <w:tcPr>
            <w:tcW w:w="1206" w:type="dxa"/>
            <w:tcBorders>
              <w:top w:val="nil"/>
              <w:left w:val="nil"/>
              <w:bottom w:val="single" w:color="auto" w:sz="4" w:space="0"/>
              <w:right w:val="single" w:color="auto" w:sz="4" w:space="0"/>
            </w:tcBorders>
            <w:shd w:val="clear" w:color="auto" w:fill="auto"/>
            <w:noWrap/>
            <w:vAlign w:val="center"/>
          </w:tcPr>
          <w:p w14:paraId="30DAE9A9">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2165DF8B">
        <w:tblPrEx>
          <w:tblCellMar>
            <w:top w:w="0" w:type="dxa"/>
            <w:left w:w="108" w:type="dxa"/>
            <w:bottom w:w="0" w:type="dxa"/>
            <w:right w:w="108" w:type="dxa"/>
          </w:tblCellMar>
        </w:tblPrEx>
        <w:trPr>
          <w:trHeight w:val="53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C7D79A">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30311</w:t>
            </w:r>
          </w:p>
        </w:tc>
        <w:tc>
          <w:tcPr>
            <w:tcW w:w="2850" w:type="dxa"/>
            <w:tcBorders>
              <w:top w:val="nil"/>
              <w:left w:val="nil"/>
              <w:bottom w:val="single" w:color="auto" w:sz="4" w:space="0"/>
              <w:right w:val="single" w:color="auto" w:sz="4" w:space="0"/>
            </w:tcBorders>
            <w:shd w:val="clear" w:color="auto" w:fill="auto"/>
            <w:noWrap/>
            <w:vAlign w:val="center"/>
          </w:tcPr>
          <w:p w14:paraId="69FCA01F">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代缴社会保险费</w:t>
            </w:r>
          </w:p>
        </w:tc>
        <w:tc>
          <w:tcPr>
            <w:tcW w:w="1241" w:type="dxa"/>
            <w:tcBorders>
              <w:top w:val="nil"/>
              <w:left w:val="nil"/>
              <w:bottom w:val="single" w:color="auto" w:sz="4" w:space="0"/>
              <w:right w:val="single" w:color="auto" w:sz="4" w:space="0"/>
            </w:tcBorders>
            <w:shd w:val="clear" w:color="auto" w:fill="auto"/>
            <w:noWrap/>
            <w:vAlign w:val="center"/>
          </w:tcPr>
          <w:p w14:paraId="4AD12ABF">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841" w:type="dxa"/>
            <w:tcBorders>
              <w:top w:val="nil"/>
              <w:left w:val="nil"/>
              <w:bottom w:val="single" w:color="auto" w:sz="4" w:space="0"/>
              <w:right w:val="single" w:color="auto" w:sz="4" w:space="0"/>
            </w:tcBorders>
            <w:shd w:val="clear" w:color="auto" w:fill="auto"/>
            <w:noWrap/>
            <w:vAlign w:val="center"/>
          </w:tcPr>
          <w:p w14:paraId="441BC6AE">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30240</w:t>
            </w:r>
          </w:p>
        </w:tc>
        <w:tc>
          <w:tcPr>
            <w:tcW w:w="2018" w:type="dxa"/>
            <w:tcBorders>
              <w:top w:val="nil"/>
              <w:left w:val="nil"/>
              <w:bottom w:val="single" w:color="auto" w:sz="4" w:space="0"/>
              <w:right w:val="single" w:color="auto" w:sz="4" w:space="0"/>
            </w:tcBorders>
            <w:shd w:val="clear" w:color="auto" w:fill="auto"/>
            <w:noWrap/>
            <w:vAlign w:val="center"/>
          </w:tcPr>
          <w:p w14:paraId="511E8B42">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税金及附加费用</w:t>
            </w:r>
          </w:p>
        </w:tc>
        <w:tc>
          <w:tcPr>
            <w:tcW w:w="933" w:type="dxa"/>
            <w:tcBorders>
              <w:top w:val="nil"/>
              <w:left w:val="nil"/>
              <w:bottom w:val="single" w:color="auto" w:sz="4" w:space="0"/>
              <w:right w:val="single" w:color="auto" w:sz="4" w:space="0"/>
            </w:tcBorders>
            <w:shd w:val="clear" w:color="auto" w:fill="auto"/>
            <w:noWrap/>
            <w:vAlign w:val="center"/>
          </w:tcPr>
          <w:p w14:paraId="3375791A">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0.11</w:t>
            </w:r>
          </w:p>
        </w:tc>
        <w:tc>
          <w:tcPr>
            <w:tcW w:w="1217" w:type="dxa"/>
            <w:tcBorders>
              <w:top w:val="nil"/>
              <w:left w:val="nil"/>
              <w:bottom w:val="single" w:color="auto" w:sz="4" w:space="0"/>
              <w:right w:val="single" w:color="auto" w:sz="4" w:space="0"/>
            </w:tcBorders>
            <w:shd w:val="clear" w:color="auto" w:fill="auto"/>
            <w:noWrap/>
            <w:vAlign w:val="center"/>
          </w:tcPr>
          <w:p w14:paraId="086C3A62">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39999</w:t>
            </w:r>
          </w:p>
        </w:tc>
        <w:tc>
          <w:tcPr>
            <w:tcW w:w="3517" w:type="dxa"/>
            <w:tcBorders>
              <w:top w:val="nil"/>
              <w:left w:val="nil"/>
              <w:bottom w:val="single" w:color="auto" w:sz="4" w:space="0"/>
              <w:right w:val="single" w:color="auto" w:sz="4" w:space="0"/>
            </w:tcBorders>
            <w:shd w:val="clear" w:color="auto" w:fill="auto"/>
            <w:noWrap/>
            <w:vAlign w:val="center"/>
          </w:tcPr>
          <w:p w14:paraId="6196E116">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其他支出</w:t>
            </w:r>
          </w:p>
        </w:tc>
        <w:tc>
          <w:tcPr>
            <w:tcW w:w="1206" w:type="dxa"/>
            <w:tcBorders>
              <w:top w:val="nil"/>
              <w:left w:val="nil"/>
              <w:bottom w:val="single" w:color="auto" w:sz="4" w:space="0"/>
              <w:right w:val="single" w:color="auto" w:sz="4" w:space="0"/>
            </w:tcBorders>
            <w:shd w:val="clear" w:color="auto" w:fill="auto"/>
            <w:noWrap/>
            <w:vAlign w:val="center"/>
          </w:tcPr>
          <w:p w14:paraId="65AF6AFC">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0F7AE5AF">
        <w:tblPrEx>
          <w:tblCellMar>
            <w:top w:w="0" w:type="dxa"/>
            <w:left w:w="108" w:type="dxa"/>
            <w:bottom w:w="0" w:type="dxa"/>
            <w:right w:w="108" w:type="dxa"/>
          </w:tblCellMar>
        </w:tblPrEx>
        <w:trPr>
          <w:trHeight w:val="53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03102D2">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30399</w:t>
            </w:r>
          </w:p>
        </w:tc>
        <w:tc>
          <w:tcPr>
            <w:tcW w:w="2850" w:type="dxa"/>
            <w:tcBorders>
              <w:top w:val="nil"/>
              <w:left w:val="nil"/>
              <w:bottom w:val="single" w:color="auto" w:sz="4" w:space="0"/>
              <w:right w:val="single" w:color="auto" w:sz="4" w:space="0"/>
            </w:tcBorders>
            <w:shd w:val="clear" w:color="auto" w:fill="auto"/>
            <w:noWrap/>
            <w:vAlign w:val="center"/>
          </w:tcPr>
          <w:p w14:paraId="787F4EA2">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其他对个人和家庭的补助</w:t>
            </w:r>
          </w:p>
        </w:tc>
        <w:tc>
          <w:tcPr>
            <w:tcW w:w="1241" w:type="dxa"/>
            <w:tcBorders>
              <w:top w:val="nil"/>
              <w:left w:val="nil"/>
              <w:bottom w:val="single" w:color="auto" w:sz="4" w:space="0"/>
              <w:right w:val="single" w:color="auto" w:sz="4" w:space="0"/>
            </w:tcBorders>
            <w:shd w:val="clear" w:color="auto" w:fill="auto"/>
            <w:noWrap/>
            <w:vAlign w:val="center"/>
          </w:tcPr>
          <w:p w14:paraId="7D556CC1">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289.12</w:t>
            </w:r>
          </w:p>
        </w:tc>
        <w:tc>
          <w:tcPr>
            <w:tcW w:w="841" w:type="dxa"/>
            <w:tcBorders>
              <w:top w:val="nil"/>
              <w:left w:val="nil"/>
              <w:bottom w:val="single" w:color="auto" w:sz="4" w:space="0"/>
              <w:right w:val="single" w:color="auto" w:sz="4" w:space="0"/>
            </w:tcBorders>
            <w:shd w:val="clear" w:color="auto" w:fill="auto"/>
            <w:noWrap/>
            <w:vAlign w:val="center"/>
          </w:tcPr>
          <w:p w14:paraId="56D4C5B6">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30299</w:t>
            </w:r>
          </w:p>
        </w:tc>
        <w:tc>
          <w:tcPr>
            <w:tcW w:w="2018" w:type="dxa"/>
            <w:tcBorders>
              <w:top w:val="nil"/>
              <w:left w:val="nil"/>
              <w:bottom w:val="single" w:color="auto" w:sz="4" w:space="0"/>
              <w:right w:val="single" w:color="auto" w:sz="4" w:space="0"/>
            </w:tcBorders>
            <w:shd w:val="clear" w:color="auto" w:fill="auto"/>
            <w:noWrap/>
            <w:vAlign w:val="center"/>
          </w:tcPr>
          <w:p w14:paraId="45D7F272">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4D23F5BA">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175.35</w:t>
            </w:r>
          </w:p>
        </w:tc>
        <w:tc>
          <w:tcPr>
            <w:tcW w:w="1217" w:type="dxa"/>
            <w:tcBorders>
              <w:top w:val="nil"/>
              <w:left w:val="nil"/>
              <w:bottom w:val="single" w:color="auto" w:sz="4" w:space="0"/>
              <w:right w:val="single" w:color="auto" w:sz="4" w:space="0"/>
            </w:tcBorders>
            <w:shd w:val="clear" w:color="auto" w:fill="auto"/>
            <w:noWrap/>
            <w:vAlign w:val="center"/>
          </w:tcPr>
          <w:p w14:paraId="413FEE48">
            <w:pPr>
              <w:widowControl/>
              <w:shd w:val="clear"/>
              <w:jc w:val="center"/>
              <w:rPr>
                <w:rFonts w:ascii="Times New Roman" w:hAnsi="Times New Roman" w:eastAsia="仿宋_GB2312" w:cs="Times New Roman"/>
                <w:color w:val="000000"/>
                <w:kern w:val="0"/>
                <w:szCs w:val="18"/>
              </w:rPr>
            </w:pPr>
          </w:p>
        </w:tc>
        <w:tc>
          <w:tcPr>
            <w:tcW w:w="3517" w:type="dxa"/>
            <w:tcBorders>
              <w:top w:val="nil"/>
              <w:left w:val="nil"/>
              <w:bottom w:val="single" w:color="auto" w:sz="4" w:space="0"/>
              <w:right w:val="single" w:color="auto" w:sz="4" w:space="0"/>
            </w:tcBorders>
            <w:shd w:val="clear" w:color="auto" w:fill="auto"/>
            <w:noWrap/>
            <w:vAlign w:val="center"/>
          </w:tcPr>
          <w:p w14:paraId="2CE4BC29">
            <w:pPr>
              <w:widowControl/>
              <w:shd w:val="clear"/>
              <w:jc w:val="center"/>
              <w:rPr>
                <w:rFonts w:ascii="Times New Roman" w:hAnsi="Times New Roman" w:eastAsia="仿宋_GB2312" w:cs="Times New Roman"/>
                <w:color w:val="000000"/>
                <w:kern w:val="0"/>
                <w:szCs w:val="18"/>
              </w:rPr>
            </w:pPr>
          </w:p>
        </w:tc>
        <w:tc>
          <w:tcPr>
            <w:tcW w:w="1206" w:type="dxa"/>
            <w:tcBorders>
              <w:top w:val="nil"/>
              <w:left w:val="nil"/>
              <w:bottom w:val="single" w:color="auto" w:sz="4" w:space="0"/>
              <w:right w:val="single" w:color="auto" w:sz="4" w:space="0"/>
            </w:tcBorders>
            <w:shd w:val="clear" w:color="auto" w:fill="auto"/>
            <w:noWrap/>
            <w:vAlign w:val="center"/>
          </w:tcPr>
          <w:p w14:paraId="0CBBEF5E">
            <w:pPr>
              <w:widowControl/>
              <w:shd w:val="clear"/>
              <w:jc w:val="center"/>
              <w:rPr>
                <w:rFonts w:ascii="Times New Roman" w:hAnsi="Times New Roman" w:eastAsia="仿宋_GB2312" w:cs="Times New Roman"/>
                <w:color w:val="000000"/>
                <w:kern w:val="0"/>
                <w:szCs w:val="20"/>
              </w:rPr>
            </w:pPr>
          </w:p>
        </w:tc>
      </w:tr>
      <w:tr w14:paraId="32E3D99C">
        <w:tblPrEx>
          <w:tblCellMar>
            <w:top w:w="0" w:type="dxa"/>
            <w:left w:w="108" w:type="dxa"/>
            <w:bottom w:w="0" w:type="dxa"/>
            <w:right w:w="108" w:type="dxa"/>
          </w:tblCellMar>
        </w:tblPrEx>
        <w:trPr>
          <w:trHeight w:val="539"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262514C">
            <w:pPr>
              <w:widowControl/>
              <w:shd w:val="clear"/>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241" w:type="dxa"/>
            <w:tcBorders>
              <w:top w:val="nil"/>
              <w:left w:val="nil"/>
              <w:bottom w:val="single" w:color="auto" w:sz="4" w:space="0"/>
              <w:right w:val="single" w:color="auto" w:sz="4" w:space="0"/>
            </w:tcBorders>
            <w:shd w:val="clear" w:color="auto" w:fill="auto"/>
            <w:noWrap/>
            <w:vAlign w:val="center"/>
          </w:tcPr>
          <w:p w14:paraId="0AF48338">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31,436.63</w:t>
            </w:r>
          </w:p>
        </w:tc>
        <w:tc>
          <w:tcPr>
            <w:tcW w:w="8526" w:type="dxa"/>
            <w:gridSpan w:val="5"/>
            <w:tcBorders>
              <w:top w:val="single" w:color="auto" w:sz="4" w:space="0"/>
              <w:left w:val="nil"/>
              <w:bottom w:val="single" w:color="auto" w:sz="4" w:space="0"/>
              <w:right w:val="single" w:color="auto" w:sz="4" w:space="0"/>
            </w:tcBorders>
            <w:shd w:val="clear" w:color="auto" w:fill="auto"/>
            <w:noWrap/>
            <w:vAlign w:val="center"/>
          </w:tcPr>
          <w:p w14:paraId="061A56AB">
            <w:pPr>
              <w:widowControl/>
              <w:shd w:val="clear"/>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1206" w:type="dxa"/>
            <w:tcBorders>
              <w:top w:val="nil"/>
              <w:left w:val="nil"/>
              <w:bottom w:val="single" w:color="auto" w:sz="4" w:space="0"/>
              <w:right w:val="single" w:color="auto" w:sz="4" w:space="0"/>
            </w:tcBorders>
            <w:shd w:val="clear" w:color="auto" w:fill="auto"/>
            <w:noWrap/>
            <w:vAlign w:val="center"/>
          </w:tcPr>
          <w:p w14:paraId="13A53419">
            <w:pPr>
              <w:keepNext w:val="0"/>
              <w:keepLines w:val="0"/>
              <w:widowControl/>
              <w:suppressLineNumbers w:val="0"/>
              <w:shd w:val="clear"/>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2,625.68</w:t>
            </w:r>
          </w:p>
          <w:p w14:paraId="163961F4">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68</w:t>
            </w:r>
          </w:p>
        </w:tc>
      </w:tr>
    </w:tbl>
    <w:p w14:paraId="054D3BF8">
      <w:pPr>
        <w:widowControl/>
        <w:shd w:val="clear"/>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65E179A3">
      <w:pPr>
        <w:widowControl/>
        <w:shd w:val="clear"/>
        <w:spacing w:line="400" w:lineRule="exact"/>
        <w:jc w:val="center"/>
        <w:textAlignment w:val="center"/>
        <w:rPr>
          <w:rFonts w:ascii="Times New Roman" w:hAnsi="Times New Roman" w:eastAsia="仿宋_GB2312" w:cs="Times New Roman"/>
          <w:color w:val="000000"/>
          <w:kern w:val="0"/>
          <w:sz w:val="32"/>
          <w:szCs w:val="32"/>
        </w:rPr>
      </w:pPr>
    </w:p>
    <w:p w14:paraId="2EC40767">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31AB1A99">
      <w:pPr>
        <w:widowControl/>
        <w:shd w:val="clear"/>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0B4CE8C3">
      <w:pPr>
        <w:widowControl/>
        <w:shd w:val="clear"/>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湖南省文化和旅游厅</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0"/>
        <w:tblW w:w="14326" w:type="dxa"/>
        <w:jc w:val="center"/>
        <w:tblLayout w:type="fixed"/>
        <w:tblCellMar>
          <w:top w:w="0" w:type="dxa"/>
          <w:left w:w="108" w:type="dxa"/>
          <w:bottom w:w="0" w:type="dxa"/>
          <w:right w:w="108" w:type="dxa"/>
        </w:tblCellMar>
      </w:tblPr>
      <w:tblGrid>
        <w:gridCol w:w="1193"/>
        <w:gridCol w:w="2924"/>
        <w:gridCol w:w="1665"/>
        <w:gridCol w:w="1470"/>
        <w:gridCol w:w="1590"/>
        <w:gridCol w:w="1647"/>
        <w:gridCol w:w="1918"/>
        <w:gridCol w:w="1919"/>
      </w:tblGrid>
      <w:tr w14:paraId="1EF432B6">
        <w:tblPrEx>
          <w:tblCellMar>
            <w:top w:w="0" w:type="dxa"/>
            <w:left w:w="108" w:type="dxa"/>
            <w:bottom w:w="0" w:type="dxa"/>
            <w:right w:w="108" w:type="dxa"/>
          </w:tblCellMar>
        </w:tblPrEx>
        <w:trPr>
          <w:trHeight w:val="459" w:hRule="atLeast"/>
          <w:jc w:val="center"/>
        </w:trPr>
        <w:tc>
          <w:tcPr>
            <w:tcW w:w="411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284B63C">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23"/>
                <w:rFonts w:hint="default" w:ascii="Times New Roman" w:hAnsi="Times New Roman" w:eastAsia="仿宋_GB2312" w:cs="Times New Roman"/>
                <w:b/>
                <w:bCs/>
              </w:rPr>
              <w:t>目</w:t>
            </w:r>
          </w:p>
        </w:tc>
        <w:tc>
          <w:tcPr>
            <w:tcW w:w="16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A5CA3B5">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4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951F4BF">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15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487CDD3">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BF399AB">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4ED0DD32">
        <w:tblPrEx>
          <w:tblCellMar>
            <w:top w:w="0" w:type="dxa"/>
            <w:left w:w="108" w:type="dxa"/>
            <w:bottom w:w="0" w:type="dxa"/>
            <w:right w:w="108" w:type="dxa"/>
          </w:tblCellMar>
        </w:tblPrEx>
        <w:trPr>
          <w:trHeight w:val="312" w:hRule="exact"/>
          <w:jc w:val="center"/>
        </w:trPr>
        <w:tc>
          <w:tcPr>
            <w:tcW w:w="11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81826FD">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292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785ACD">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66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AE94916">
            <w:pPr>
              <w:widowControl/>
              <w:shd w:val="clear"/>
              <w:jc w:val="center"/>
              <w:rPr>
                <w:rFonts w:ascii="Times New Roman" w:hAnsi="Times New Roman" w:eastAsia="仿宋_GB2312" w:cs="Times New Roman"/>
                <w:b/>
                <w:bCs/>
                <w:color w:val="00000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6C5D6C8">
            <w:pPr>
              <w:widowControl/>
              <w:shd w:val="clear"/>
              <w:jc w:val="center"/>
              <w:rPr>
                <w:rFonts w:ascii="Times New Roman" w:hAnsi="Times New Roman" w:eastAsia="仿宋_GB2312" w:cs="Times New Roman"/>
                <w:b/>
                <w:bCs/>
                <w:color w:val="000000"/>
                <w:sz w:val="24"/>
                <w:szCs w:val="24"/>
              </w:rPr>
            </w:pPr>
          </w:p>
        </w:tc>
        <w:tc>
          <w:tcPr>
            <w:tcW w:w="159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88A143A">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64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97AE975">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B83C818">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ACCC1C3">
            <w:pPr>
              <w:widowControl/>
              <w:shd w:val="clear"/>
              <w:jc w:val="center"/>
              <w:rPr>
                <w:rFonts w:ascii="Times New Roman" w:hAnsi="Times New Roman" w:eastAsia="仿宋_GB2312" w:cs="Times New Roman"/>
                <w:color w:val="000000"/>
                <w:sz w:val="24"/>
                <w:szCs w:val="24"/>
              </w:rPr>
            </w:pPr>
          </w:p>
        </w:tc>
      </w:tr>
      <w:tr w14:paraId="1F31BCC8">
        <w:tblPrEx>
          <w:tblCellMar>
            <w:top w:w="0" w:type="dxa"/>
            <w:left w:w="108" w:type="dxa"/>
            <w:bottom w:w="0" w:type="dxa"/>
            <w:right w:w="108" w:type="dxa"/>
          </w:tblCellMar>
        </w:tblPrEx>
        <w:trPr>
          <w:trHeight w:val="409" w:hRule="atLeast"/>
          <w:jc w:val="center"/>
        </w:trPr>
        <w:tc>
          <w:tcPr>
            <w:tcW w:w="11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9E7A77">
            <w:pPr>
              <w:shd w:val="clear"/>
              <w:jc w:val="center"/>
              <w:rPr>
                <w:rFonts w:ascii="Times New Roman" w:hAnsi="Times New Roman" w:eastAsia="仿宋_GB2312" w:cs="Times New Roman"/>
                <w:color w:val="000000"/>
                <w:sz w:val="24"/>
                <w:szCs w:val="24"/>
              </w:rPr>
            </w:pPr>
          </w:p>
        </w:tc>
        <w:tc>
          <w:tcPr>
            <w:tcW w:w="292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F34B349">
            <w:pPr>
              <w:shd w:val="clear"/>
              <w:jc w:val="center"/>
              <w:rPr>
                <w:rFonts w:ascii="Times New Roman" w:hAnsi="Times New Roman" w:eastAsia="仿宋_GB2312" w:cs="Times New Roman"/>
                <w:color w:val="000000"/>
                <w:sz w:val="24"/>
                <w:szCs w:val="24"/>
              </w:rPr>
            </w:pPr>
          </w:p>
        </w:tc>
        <w:tc>
          <w:tcPr>
            <w:tcW w:w="166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363FB28">
            <w:pPr>
              <w:shd w:val="clear"/>
              <w:jc w:val="center"/>
              <w:rPr>
                <w:rFonts w:ascii="Times New Roman" w:hAnsi="Times New Roman" w:eastAsia="仿宋_GB2312" w:cs="Times New Roman"/>
                <w:color w:val="00000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D8B5348">
            <w:pPr>
              <w:shd w:val="clear"/>
              <w:jc w:val="center"/>
              <w:rPr>
                <w:rFonts w:ascii="Times New Roman" w:hAnsi="Times New Roman" w:eastAsia="仿宋_GB2312" w:cs="Times New Roman"/>
                <w:color w:val="000000"/>
                <w:sz w:val="24"/>
                <w:szCs w:val="24"/>
              </w:rPr>
            </w:pPr>
          </w:p>
        </w:tc>
        <w:tc>
          <w:tcPr>
            <w:tcW w:w="159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7C4209A">
            <w:pPr>
              <w:shd w:val="clear"/>
              <w:jc w:val="center"/>
              <w:rPr>
                <w:rFonts w:ascii="Times New Roman" w:hAnsi="Times New Roman" w:eastAsia="仿宋_GB2312" w:cs="Times New Roman"/>
                <w:color w:val="000000"/>
                <w:sz w:val="24"/>
                <w:szCs w:val="24"/>
              </w:rPr>
            </w:pPr>
          </w:p>
        </w:tc>
        <w:tc>
          <w:tcPr>
            <w:tcW w:w="164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D77CA87">
            <w:pPr>
              <w:shd w:val="clea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D3AFD92">
            <w:pPr>
              <w:shd w:val="clea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C066656">
            <w:pPr>
              <w:shd w:val="clear"/>
              <w:jc w:val="center"/>
              <w:rPr>
                <w:rFonts w:ascii="Times New Roman" w:hAnsi="Times New Roman" w:eastAsia="仿宋_GB2312" w:cs="Times New Roman"/>
                <w:color w:val="000000"/>
                <w:sz w:val="24"/>
                <w:szCs w:val="24"/>
              </w:rPr>
            </w:pPr>
          </w:p>
        </w:tc>
      </w:tr>
      <w:tr w14:paraId="6842FF4C">
        <w:tblPrEx>
          <w:tblCellMar>
            <w:top w:w="0" w:type="dxa"/>
            <w:left w:w="108" w:type="dxa"/>
            <w:bottom w:w="0" w:type="dxa"/>
            <w:right w:w="108" w:type="dxa"/>
          </w:tblCellMar>
        </w:tblPrEx>
        <w:trPr>
          <w:trHeight w:val="312" w:hRule="atLeast"/>
          <w:jc w:val="center"/>
        </w:trPr>
        <w:tc>
          <w:tcPr>
            <w:tcW w:w="11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FDB8C3F">
            <w:pPr>
              <w:shd w:val="clear"/>
              <w:jc w:val="center"/>
              <w:rPr>
                <w:rFonts w:ascii="Times New Roman" w:hAnsi="Times New Roman" w:eastAsia="仿宋_GB2312" w:cs="Times New Roman"/>
                <w:color w:val="000000"/>
                <w:sz w:val="24"/>
                <w:szCs w:val="24"/>
              </w:rPr>
            </w:pPr>
          </w:p>
        </w:tc>
        <w:tc>
          <w:tcPr>
            <w:tcW w:w="292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A7F9EAA">
            <w:pPr>
              <w:shd w:val="clear"/>
              <w:jc w:val="center"/>
              <w:rPr>
                <w:rFonts w:ascii="Times New Roman" w:hAnsi="Times New Roman" w:eastAsia="仿宋_GB2312" w:cs="Times New Roman"/>
                <w:color w:val="000000"/>
                <w:sz w:val="24"/>
                <w:szCs w:val="24"/>
              </w:rPr>
            </w:pPr>
          </w:p>
        </w:tc>
        <w:tc>
          <w:tcPr>
            <w:tcW w:w="166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66EB299">
            <w:pPr>
              <w:shd w:val="clear"/>
              <w:jc w:val="center"/>
              <w:rPr>
                <w:rFonts w:ascii="Times New Roman" w:hAnsi="Times New Roman" w:eastAsia="仿宋_GB2312" w:cs="Times New Roman"/>
                <w:color w:val="00000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44E7932">
            <w:pPr>
              <w:shd w:val="clear"/>
              <w:jc w:val="center"/>
              <w:rPr>
                <w:rFonts w:ascii="Times New Roman" w:hAnsi="Times New Roman" w:eastAsia="仿宋_GB2312" w:cs="Times New Roman"/>
                <w:color w:val="000000"/>
                <w:sz w:val="24"/>
                <w:szCs w:val="24"/>
              </w:rPr>
            </w:pPr>
          </w:p>
        </w:tc>
        <w:tc>
          <w:tcPr>
            <w:tcW w:w="159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DB687B3">
            <w:pPr>
              <w:shd w:val="clear"/>
              <w:jc w:val="center"/>
              <w:rPr>
                <w:rFonts w:ascii="Times New Roman" w:hAnsi="Times New Roman" w:eastAsia="仿宋_GB2312" w:cs="Times New Roman"/>
                <w:color w:val="000000"/>
                <w:sz w:val="24"/>
                <w:szCs w:val="24"/>
              </w:rPr>
            </w:pPr>
          </w:p>
        </w:tc>
        <w:tc>
          <w:tcPr>
            <w:tcW w:w="164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DB03124">
            <w:pPr>
              <w:shd w:val="clea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A7413E4">
            <w:pPr>
              <w:shd w:val="clea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E555068">
            <w:pPr>
              <w:shd w:val="clear"/>
              <w:jc w:val="center"/>
              <w:rPr>
                <w:rFonts w:ascii="Times New Roman" w:hAnsi="Times New Roman" w:eastAsia="仿宋_GB2312" w:cs="Times New Roman"/>
                <w:color w:val="000000"/>
                <w:sz w:val="24"/>
                <w:szCs w:val="24"/>
              </w:rPr>
            </w:pPr>
          </w:p>
        </w:tc>
      </w:tr>
      <w:tr w14:paraId="41752229">
        <w:tblPrEx>
          <w:tblCellMar>
            <w:top w:w="0" w:type="dxa"/>
            <w:left w:w="108" w:type="dxa"/>
            <w:bottom w:w="0" w:type="dxa"/>
            <w:right w:w="108" w:type="dxa"/>
          </w:tblCellMar>
        </w:tblPrEx>
        <w:trPr>
          <w:trHeight w:val="509" w:hRule="atLeast"/>
          <w:jc w:val="center"/>
        </w:trPr>
        <w:tc>
          <w:tcPr>
            <w:tcW w:w="411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B7A15B1">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665" w:type="dxa"/>
            <w:tcBorders>
              <w:top w:val="single" w:color="auto" w:sz="4" w:space="0"/>
              <w:left w:val="single" w:color="auto" w:sz="4" w:space="0"/>
              <w:bottom w:val="single" w:color="auto" w:sz="4" w:space="0"/>
              <w:right w:val="single" w:color="auto" w:sz="4" w:space="0"/>
            </w:tcBorders>
            <w:shd w:val="clear" w:color="auto" w:fill="auto"/>
            <w:vAlign w:val="center"/>
          </w:tcPr>
          <w:p w14:paraId="6207FA2B">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5262C93F">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590" w:type="dxa"/>
            <w:tcBorders>
              <w:top w:val="single" w:color="auto" w:sz="4" w:space="0"/>
              <w:left w:val="single" w:color="auto" w:sz="4" w:space="0"/>
              <w:bottom w:val="single" w:color="auto" w:sz="4" w:space="0"/>
              <w:right w:val="single" w:color="auto" w:sz="4" w:space="0"/>
            </w:tcBorders>
            <w:shd w:val="clear" w:color="auto" w:fill="auto"/>
            <w:vAlign w:val="center"/>
          </w:tcPr>
          <w:p w14:paraId="17B16DB0">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647" w:type="dxa"/>
            <w:tcBorders>
              <w:top w:val="single" w:color="auto" w:sz="4" w:space="0"/>
              <w:left w:val="single" w:color="auto" w:sz="4" w:space="0"/>
              <w:bottom w:val="single" w:color="auto" w:sz="4" w:space="0"/>
              <w:right w:val="single" w:color="auto" w:sz="4" w:space="0"/>
            </w:tcBorders>
            <w:shd w:val="clear" w:color="auto" w:fill="auto"/>
            <w:vAlign w:val="center"/>
          </w:tcPr>
          <w:p w14:paraId="0CB0493E">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7C13CDE">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4623CCB">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50732C0A">
        <w:tblPrEx>
          <w:tblCellMar>
            <w:top w:w="0" w:type="dxa"/>
            <w:left w:w="108" w:type="dxa"/>
            <w:bottom w:w="0" w:type="dxa"/>
            <w:right w:w="108" w:type="dxa"/>
          </w:tblCellMar>
        </w:tblPrEx>
        <w:trPr>
          <w:trHeight w:val="509" w:hRule="atLeast"/>
          <w:jc w:val="center"/>
        </w:trPr>
        <w:tc>
          <w:tcPr>
            <w:tcW w:w="411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E395A42">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665" w:type="dxa"/>
            <w:tcBorders>
              <w:top w:val="single" w:color="auto" w:sz="4" w:space="0"/>
              <w:left w:val="single" w:color="auto" w:sz="4" w:space="0"/>
              <w:bottom w:val="single" w:color="auto" w:sz="4" w:space="0"/>
              <w:right w:val="single" w:color="auto" w:sz="4" w:space="0"/>
            </w:tcBorders>
            <w:shd w:val="clear" w:color="auto" w:fill="auto"/>
            <w:vAlign w:val="center"/>
          </w:tcPr>
          <w:p w14:paraId="37AE025E">
            <w:pPr>
              <w:keepNext w:val="0"/>
              <w:keepLines w:val="0"/>
              <w:widowControl/>
              <w:suppressLineNumbers w:val="0"/>
              <w:shd w:val="clear"/>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5,344.37 </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305F841A">
            <w:pPr>
              <w:keepNext w:val="0"/>
              <w:keepLines w:val="0"/>
              <w:widowControl/>
              <w:suppressLineNumbers w:val="0"/>
              <w:shd w:val="clear"/>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986.00 </w:t>
            </w:r>
          </w:p>
        </w:tc>
        <w:tc>
          <w:tcPr>
            <w:tcW w:w="1590" w:type="dxa"/>
            <w:tcBorders>
              <w:top w:val="single" w:color="auto" w:sz="4" w:space="0"/>
              <w:left w:val="single" w:color="auto" w:sz="4" w:space="0"/>
              <w:bottom w:val="single" w:color="auto" w:sz="4" w:space="0"/>
              <w:right w:val="single" w:color="auto" w:sz="4" w:space="0"/>
            </w:tcBorders>
            <w:shd w:val="clear" w:color="auto" w:fill="auto"/>
            <w:vAlign w:val="center"/>
          </w:tcPr>
          <w:p w14:paraId="7C09B04B">
            <w:pPr>
              <w:keepNext w:val="0"/>
              <w:keepLines w:val="0"/>
              <w:widowControl/>
              <w:suppressLineNumbers w:val="0"/>
              <w:shd w:val="clear"/>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5,025.15 </w:t>
            </w:r>
          </w:p>
        </w:tc>
        <w:tc>
          <w:tcPr>
            <w:tcW w:w="1647" w:type="dxa"/>
            <w:tcBorders>
              <w:top w:val="single" w:color="auto" w:sz="4" w:space="0"/>
              <w:left w:val="single" w:color="auto" w:sz="4" w:space="0"/>
              <w:bottom w:val="single" w:color="auto" w:sz="4" w:space="0"/>
              <w:right w:val="single" w:color="auto" w:sz="4" w:space="0"/>
            </w:tcBorders>
            <w:shd w:val="clear" w:color="auto" w:fill="auto"/>
            <w:vAlign w:val="center"/>
          </w:tcPr>
          <w:p w14:paraId="4E900A52">
            <w:pPr>
              <w:shd w:val="clear"/>
              <w:jc w:val="right"/>
              <w:rPr>
                <w:rFonts w:hint="eastAsia" w:ascii="宋体" w:hAnsi="宋体" w:eastAsia="宋体" w:cs="宋体"/>
                <w:b/>
                <w:bCs/>
                <w:i w:val="0"/>
                <w:iCs w:val="0"/>
                <w:color w:val="000000"/>
                <w:sz w:val="22"/>
                <w:szCs w:val="22"/>
                <w:u w:val="none"/>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4B86B1B6">
            <w:pPr>
              <w:keepNext w:val="0"/>
              <w:keepLines w:val="0"/>
              <w:widowControl/>
              <w:suppressLineNumbers w:val="0"/>
              <w:shd w:val="clear"/>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5,025.15 </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50646E8A">
            <w:pPr>
              <w:keepNext w:val="0"/>
              <w:keepLines w:val="0"/>
              <w:widowControl/>
              <w:suppressLineNumbers w:val="0"/>
              <w:shd w:val="clear"/>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1,305.23 </w:t>
            </w:r>
          </w:p>
        </w:tc>
      </w:tr>
      <w:tr w14:paraId="2D77BD0D">
        <w:tblPrEx>
          <w:tblCellMar>
            <w:top w:w="0" w:type="dxa"/>
            <w:left w:w="108" w:type="dxa"/>
            <w:bottom w:w="0" w:type="dxa"/>
            <w:right w:w="108" w:type="dxa"/>
          </w:tblCellMar>
        </w:tblPrEx>
        <w:trPr>
          <w:trHeight w:val="509" w:hRule="atLeast"/>
          <w:jc w:val="center"/>
        </w:trPr>
        <w:tc>
          <w:tcPr>
            <w:tcW w:w="1193" w:type="dxa"/>
            <w:tcBorders>
              <w:top w:val="single" w:color="auto" w:sz="4" w:space="0"/>
              <w:left w:val="single" w:color="auto" w:sz="4" w:space="0"/>
              <w:bottom w:val="single" w:color="auto" w:sz="4" w:space="0"/>
              <w:right w:val="single" w:color="auto" w:sz="4" w:space="0"/>
            </w:tcBorders>
            <w:shd w:val="clear" w:color="auto" w:fill="auto"/>
            <w:vAlign w:val="center"/>
          </w:tcPr>
          <w:p w14:paraId="621CA187">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w:t>
            </w:r>
          </w:p>
        </w:tc>
        <w:tc>
          <w:tcPr>
            <w:tcW w:w="2924" w:type="dxa"/>
            <w:tcBorders>
              <w:top w:val="single" w:color="auto" w:sz="4" w:space="0"/>
              <w:left w:val="single" w:color="auto" w:sz="4" w:space="0"/>
              <w:bottom w:val="single" w:color="auto" w:sz="4" w:space="0"/>
              <w:right w:val="single" w:color="auto" w:sz="4" w:space="0"/>
            </w:tcBorders>
            <w:shd w:val="clear" w:color="auto" w:fill="auto"/>
            <w:vAlign w:val="center"/>
          </w:tcPr>
          <w:p w14:paraId="225298F5">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1665" w:type="dxa"/>
            <w:tcBorders>
              <w:top w:val="single" w:color="auto" w:sz="4" w:space="0"/>
              <w:left w:val="single" w:color="auto" w:sz="4" w:space="0"/>
              <w:bottom w:val="single" w:color="auto" w:sz="4" w:space="0"/>
              <w:right w:val="single" w:color="auto" w:sz="4" w:space="0"/>
            </w:tcBorders>
            <w:shd w:val="clear" w:color="auto" w:fill="auto"/>
            <w:vAlign w:val="center"/>
          </w:tcPr>
          <w:p w14:paraId="6FE07D0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620.00 </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6BED458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986.00 </w:t>
            </w:r>
          </w:p>
        </w:tc>
        <w:tc>
          <w:tcPr>
            <w:tcW w:w="1590" w:type="dxa"/>
            <w:tcBorders>
              <w:top w:val="single" w:color="auto" w:sz="4" w:space="0"/>
              <w:left w:val="single" w:color="auto" w:sz="4" w:space="0"/>
              <w:bottom w:val="single" w:color="auto" w:sz="4" w:space="0"/>
              <w:right w:val="single" w:color="auto" w:sz="4" w:space="0"/>
            </w:tcBorders>
            <w:shd w:val="clear" w:color="auto" w:fill="auto"/>
            <w:vAlign w:val="center"/>
          </w:tcPr>
          <w:p w14:paraId="14FC4F5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300.77 </w:t>
            </w:r>
          </w:p>
        </w:tc>
        <w:tc>
          <w:tcPr>
            <w:tcW w:w="1647" w:type="dxa"/>
            <w:tcBorders>
              <w:top w:val="single" w:color="auto" w:sz="4" w:space="0"/>
              <w:left w:val="single" w:color="auto" w:sz="4" w:space="0"/>
              <w:bottom w:val="single" w:color="auto" w:sz="4" w:space="0"/>
              <w:right w:val="single" w:color="auto" w:sz="4" w:space="0"/>
            </w:tcBorders>
            <w:shd w:val="clear" w:color="auto" w:fill="auto"/>
            <w:vAlign w:val="center"/>
          </w:tcPr>
          <w:p w14:paraId="4CA02869">
            <w:pPr>
              <w:shd w:val="clear"/>
              <w:jc w:val="right"/>
              <w:rPr>
                <w:rFonts w:hint="eastAsia" w:ascii="宋体" w:hAnsi="宋体" w:eastAsia="宋体" w:cs="宋体"/>
                <w:i w:val="0"/>
                <w:iCs w:val="0"/>
                <w:color w:val="000000"/>
                <w:sz w:val="22"/>
                <w:szCs w:val="22"/>
                <w:u w:val="none"/>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47E0CAD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300.77 </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0B7F59D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1,305.23 </w:t>
            </w:r>
          </w:p>
        </w:tc>
      </w:tr>
      <w:tr w14:paraId="37912553">
        <w:tblPrEx>
          <w:tblCellMar>
            <w:top w:w="0" w:type="dxa"/>
            <w:left w:w="108" w:type="dxa"/>
            <w:bottom w:w="0" w:type="dxa"/>
            <w:right w:w="108" w:type="dxa"/>
          </w:tblCellMar>
        </w:tblPrEx>
        <w:trPr>
          <w:trHeight w:val="509" w:hRule="atLeast"/>
          <w:jc w:val="center"/>
        </w:trPr>
        <w:tc>
          <w:tcPr>
            <w:tcW w:w="1193" w:type="dxa"/>
            <w:tcBorders>
              <w:top w:val="single" w:color="auto" w:sz="4" w:space="0"/>
              <w:left w:val="single" w:color="auto" w:sz="4" w:space="0"/>
              <w:bottom w:val="single" w:color="auto" w:sz="4" w:space="0"/>
              <w:right w:val="single" w:color="auto" w:sz="4" w:space="0"/>
            </w:tcBorders>
            <w:shd w:val="clear" w:color="auto" w:fill="auto"/>
            <w:vAlign w:val="center"/>
          </w:tcPr>
          <w:p w14:paraId="7ECA9A76">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20709</w:t>
            </w:r>
          </w:p>
        </w:tc>
        <w:tc>
          <w:tcPr>
            <w:tcW w:w="2924" w:type="dxa"/>
            <w:tcBorders>
              <w:top w:val="single" w:color="auto" w:sz="4" w:space="0"/>
              <w:left w:val="single" w:color="auto" w:sz="4" w:space="0"/>
              <w:bottom w:val="single" w:color="auto" w:sz="4" w:space="0"/>
              <w:right w:val="single" w:color="auto" w:sz="4" w:space="0"/>
            </w:tcBorders>
            <w:shd w:val="clear" w:color="auto" w:fill="auto"/>
            <w:vAlign w:val="center"/>
          </w:tcPr>
          <w:p w14:paraId="169BE93D">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旅游发展基金支出</w:t>
            </w:r>
          </w:p>
        </w:tc>
        <w:tc>
          <w:tcPr>
            <w:tcW w:w="1665" w:type="dxa"/>
            <w:tcBorders>
              <w:top w:val="single" w:color="auto" w:sz="4" w:space="0"/>
              <w:left w:val="single" w:color="auto" w:sz="4" w:space="0"/>
              <w:bottom w:val="single" w:color="auto" w:sz="4" w:space="0"/>
              <w:right w:val="single" w:color="auto" w:sz="4" w:space="0"/>
            </w:tcBorders>
            <w:shd w:val="clear" w:color="auto" w:fill="auto"/>
            <w:vAlign w:val="center"/>
          </w:tcPr>
          <w:p w14:paraId="4E5CC8A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620.00 </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66FA598F">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986.00 </w:t>
            </w:r>
          </w:p>
        </w:tc>
        <w:tc>
          <w:tcPr>
            <w:tcW w:w="1590" w:type="dxa"/>
            <w:tcBorders>
              <w:top w:val="single" w:color="auto" w:sz="4" w:space="0"/>
              <w:left w:val="single" w:color="auto" w:sz="4" w:space="0"/>
              <w:bottom w:val="single" w:color="auto" w:sz="4" w:space="0"/>
              <w:right w:val="single" w:color="auto" w:sz="4" w:space="0"/>
            </w:tcBorders>
            <w:shd w:val="clear" w:color="auto" w:fill="auto"/>
            <w:vAlign w:val="center"/>
          </w:tcPr>
          <w:p w14:paraId="3F8516E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300.77 </w:t>
            </w:r>
          </w:p>
        </w:tc>
        <w:tc>
          <w:tcPr>
            <w:tcW w:w="1647" w:type="dxa"/>
            <w:tcBorders>
              <w:top w:val="single" w:color="auto" w:sz="4" w:space="0"/>
              <w:left w:val="single" w:color="auto" w:sz="4" w:space="0"/>
              <w:bottom w:val="single" w:color="auto" w:sz="4" w:space="0"/>
              <w:right w:val="single" w:color="auto" w:sz="4" w:space="0"/>
            </w:tcBorders>
            <w:shd w:val="clear" w:color="auto" w:fill="auto"/>
            <w:vAlign w:val="center"/>
          </w:tcPr>
          <w:p w14:paraId="390682E5">
            <w:pPr>
              <w:shd w:val="clear"/>
              <w:jc w:val="right"/>
              <w:rPr>
                <w:rFonts w:hint="eastAsia" w:ascii="宋体" w:hAnsi="宋体" w:eastAsia="宋体" w:cs="宋体"/>
                <w:i w:val="0"/>
                <w:iCs w:val="0"/>
                <w:color w:val="000000"/>
                <w:sz w:val="22"/>
                <w:szCs w:val="22"/>
                <w:u w:val="none"/>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296A5D8F">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300.77 </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FCB6B4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1,305.23 </w:t>
            </w:r>
          </w:p>
        </w:tc>
      </w:tr>
      <w:tr w14:paraId="66721FB7">
        <w:tblPrEx>
          <w:tblCellMar>
            <w:top w:w="0" w:type="dxa"/>
            <w:left w:w="108" w:type="dxa"/>
            <w:bottom w:w="0" w:type="dxa"/>
            <w:right w:w="108" w:type="dxa"/>
          </w:tblCellMar>
        </w:tblPrEx>
        <w:trPr>
          <w:trHeight w:val="509" w:hRule="atLeast"/>
          <w:jc w:val="center"/>
        </w:trPr>
        <w:tc>
          <w:tcPr>
            <w:tcW w:w="1193" w:type="dxa"/>
            <w:tcBorders>
              <w:top w:val="single" w:color="auto" w:sz="4" w:space="0"/>
              <w:left w:val="single" w:color="auto" w:sz="4" w:space="0"/>
              <w:bottom w:val="single" w:color="auto" w:sz="4" w:space="0"/>
              <w:right w:val="single" w:color="auto" w:sz="4" w:space="0"/>
            </w:tcBorders>
            <w:shd w:val="clear" w:color="auto" w:fill="auto"/>
            <w:vAlign w:val="center"/>
          </w:tcPr>
          <w:p w14:paraId="1A434991">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2070904</w:t>
            </w:r>
          </w:p>
        </w:tc>
        <w:tc>
          <w:tcPr>
            <w:tcW w:w="2924" w:type="dxa"/>
            <w:tcBorders>
              <w:top w:val="single" w:color="auto" w:sz="4" w:space="0"/>
              <w:left w:val="single" w:color="auto" w:sz="4" w:space="0"/>
              <w:bottom w:val="single" w:color="auto" w:sz="4" w:space="0"/>
              <w:right w:val="single" w:color="auto" w:sz="4" w:space="0"/>
            </w:tcBorders>
            <w:shd w:val="clear" w:color="auto" w:fill="auto"/>
            <w:vAlign w:val="center"/>
          </w:tcPr>
          <w:p w14:paraId="068C0A5F">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地方旅游开发项目补助</w:t>
            </w:r>
          </w:p>
        </w:tc>
        <w:tc>
          <w:tcPr>
            <w:tcW w:w="1665" w:type="dxa"/>
            <w:tcBorders>
              <w:top w:val="single" w:color="auto" w:sz="4" w:space="0"/>
              <w:left w:val="single" w:color="auto" w:sz="4" w:space="0"/>
              <w:bottom w:val="single" w:color="auto" w:sz="4" w:space="0"/>
              <w:right w:val="single" w:color="auto" w:sz="4" w:space="0"/>
            </w:tcBorders>
            <w:shd w:val="clear" w:color="auto" w:fill="auto"/>
            <w:vAlign w:val="center"/>
          </w:tcPr>
          <w:p w14:paraId="3F97A35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620.00 </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02BCAC3F">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986.00 </w:t>
            </w:r>
          </w:p>
        </w:tc>
        <w:tc>
          <w:tcPr>
            <w:tcW w:w="1590" w:type="dxa"/>
            <w:tcBorders>
              <w:top w:val="single" w:color="auto" w:sz="4" w:space="0"/>
              <w:left w:val="single" w:color="auto" w:sz="4" w:space="0"/>
              <w:bottom w:val="single" w:color="auto" w:sz="4" w:space="0"/>
              <w:right w:val="single" w:color="auto" w:sz="4" w:space="0"/>
            </w:tcBorders>
            <w:shd w:val="clear" w:color="auto" w:fill="auto"/>
            <w:vAlign w:val="center"/>
          </w:tcPr>
          <w:p w14:paraId="767C67B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300.77 </w:t>
            </w:r>
          </w:p>
        </w:tc>
        <w:tc>
          <w:tcPr>
            <w:tcW w:w="1647" w:type="dxa"/>
            <w:tcBorders>
              <w:top w:val="single" w:color="auto" w:sz="4" w:space="0"/>
              <w:left w:val="single" w:color="auto" w:sz="4" w:space="0"/>
              <w:bottom w:val="single" w:color="auto" w:sz="4" w:space="0"/>
              <w:right w:val="single" w:color="auto" w:sz="4" w:space="0"/>
            </w:tcBorders>
            <w:shd w:val="clear" w:color="auto" w:fill="auto"/>
            <w:vAlign w:val="center"/>
          </w:tcPr>
          <w:p w14:paraId="6C0FF564">
            <w:pPr>
              <w:shd w:val="clear"/>
              <w:jc w:val="right"/>
              <w:rPr>
                <w:rFonts w:hint="eastAsia" w:ascii="宋体" w:hAnsi="宋体" w:eastAsia="宋体" w:cs="宋体"/>
                <w:i w:val="0"/>
                <w:iCs w:val="0"/>
                <w:color w:val="000000"/>
                <w:sz w:val="22"/>
                <w:szCs w:val="22"/>
                <w:u w:val="none"/>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F07B90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300.77 </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011E04D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1,305.23 </w:t>
            </w:r>
          </w:p>
        </w:tc>
      </w:tr>
      <w:tr w14:paraId="0F3E8073">
        <w:tblPrEx>
          <w:tblCellMar>
            <w:top w:w="0" w:type="dxa"/>
            <w:left w:w="108" w:type="dxa"/>
            <w:bottom w:w="0" w:type="dxa"/>
            <w:right w:w="108" w:type="dxa"/>
          </w:tblCellMar>
        </w:tblPrEx>
        <w:trPr>
          <w:trHeight w:val="509" w:hRule="atLeast"/>
          <w:jc w:val="center"/>
        </w:trPr>
        <w:tc>
          <w:tcPr>
            <w:tcW w:w="1193" w:type="dxa"/>
            <w:tcBorders>
              <w:top w:val="single" w:color="auto" w:sz="4" w:space="0"/>
              <w:left w:val="single" w:color="auto" w:sz="4" w:space="0"/>
              <w:bottom w:val="single" w:color="auto" w:sz="4" w:space="0"/>
              <w:right w:val="single" w:color="auto" w:sz="4" w:space="0"/>
            </w:tcBorders>
            <w:shd w:val="clear" w:color="auto" w:fill="auto"/>
            <w:vAlign w:val="center"/>
          </w:tcPr>
          <w:p w14:paraId="43FCD613">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229</w:t>
            </w:r>
          </w:p>
        </w:tc>
        <w:tc>
          <w:tcPr>
            <w:tcW w:w="2924" w:type="dxa"/>
            <w:tcBorders>
              <w:top w:val="single" w:color="auto" w:sz="4" w:space="0"/>
              <w:left w:val="single" w:color="auto" w:sz="4" w:space="0"/>
              <w:bottom w:val="single" w:color="auto" w:sz="4" w:space="0"/>
              <w:right w:val="single" w:color="auto" w:sz="4" w:space="0"/>
            </w:tcBorders>
            <w:shd w:val="clear" w:color="auto" w:fill="auto"/>
            <w:vAlign w:val="center"/>
          </w:tcPr>
          <w:p w14:paraId="2B1189C3">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其他支出</w:t>
            </w:r>
          </w:p>
        </w:tc>
        <w:tc>
          <w:tcPr>
            <w:tcW w:w="1665" w:type="dxa"/>
            <w:tcBorders>
              <w:top w:val="single" w:color="auto" w:sz="4" w:space="0"/>
              <w:left w:val="single" w:color="auto" w:sz="4" w:space="0"/>
              <w:bottom w:val="single" w:color="auto" w:sz="4" w:space="0"/>
              <w:right w:val="single" w:color="auto" w:sz="4" w:space="0"/>
            </w:tcBorders>
            <w:shd w:val="clear" w:color="auto" w:fill="auto"/>
            <w:vAlign w:val="center"/>
          </w:tcPr>
          <w:p w14:paraId="493A861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4,724.37 </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431C7F7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590" w:type="dxa"/>
            <w:tcBorders>
              <w:top w:val="single" w:color="auto" w:sz="4" w:space="0"/>
              <w:left w:val="single" w:color="auto" w:sz="4" w:space="0"/>
              <w:bottom w:val="single" w:color="auto" w:sz="4" w:space="0"/>
              <w:right w:val="single" w:color="auto" w:sz="4" w:space="0"/>
            </w:tcBorders>
            <w:shd w:val="clear" w:color="auto" w:fill="auto"/>
            <w:vAlign w:val="center"/>
          </w:tcPr>
          <w:p w14:paraId="2A431D4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4,724.37 </w:t>
            </w:r>
          </w:p>
        </w:tc>
        <w:tc>
          <w:tcPr>
            <w:tcW w:w="1647" w:type="dxa"/>
            <w:tcBorders>
              <w:top w:val="single" w:color="auto" w:sz="4" w:space="0"/>
              <w:left w:val="single" w:color="auto" w:sz="4" w:space="0"/>
              <w:bottom w:val="single" w:color="auto" w:sz="4" w:space="0"/>
              <w:right w:val="single" w:color="auto" w:sz="4" w:space="0"/>
            </w:tcBorders>
            <w:shd w:val="clear" w:color="auto" w:fill="auto"/>
            <w:vAlign w:val="center"/>
          </w:tcPr>
          <w:p w14:paraId="502725C2">
            <w:pPr>
              <w:shd w:val="clear"/>
              <w:jc w:val="right"/>
              <w:rPr>
                <w:rFonts w:hint="eastAsia" w:ascii="宋体" w:hAnsi="宋体" w:eastAsia="宋体" w:cs="宋体"/>
                <w:i w:val="0"/>
                <w:iCs w:val="0"/>
                <w:color w:val="000000"/>
                <w:sz w:val="22"/>
                <w:szCs w:val="22"/>
                <w:u w:val="none"/>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3A93CE9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4,724.37 </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0087D77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r>
      <w:tr w14:paraId="6BF39E5B">
        <w:tblPrEx>
          <w:tblCellMar>
            <w:top w:w="0" w:type="dxa"/>
            <w:left w:w="108" w:type="dxa"/>
            <w:bottom w:w="0" w:type="dxa"/>
            <w:right w:w="108" w:type="dxa"/>
          </w:tblCellMar>
        </w:tblPrEx>
        <w:trPr>
          <w:trHeight w:val="509" w:hRule="atLeast"/>
          <w:jc w:val="center"/>
        </w:trPr>
        <w:tc>
          <w:tcPr>
            <w:tcW w:w="1193" w:type="dxa"/>
            <w:tcBorders>
              <w:top w:val="single" w:color="auto" w:sz="4" w:space="0"/>
              <w:left w:val="single" w:color="auto" w:sz="4" w:space="0"/>
              <w:bottom w:val="single" w:color="auto" w:sz="4" w:space="0"/>
              <w:right w:val="single" w:color="auto" w:sz="4" w:space="0"/>
            </w:tcBorders>
            <w:shd w:val="clear" w:color="auto" w:fill="auto"/>
            <w:vAlign w:val="center"/>
          </w:tcPr>
          <w:p w14:paraId="1F2B867A">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22998</w:t>
            </w:r>
          </w:p>
        </w:tc>
        <w:tc>
          <w:tcPr>
            <w:tcW w:w="2924" w:type="dxa"/>
            <w:tcBorders>
              <w:top w:val="single" w:color="auto" w:sz="4" w:space="0"/>
              <w:left w:val="single" w:color="auto" w:sz="4" w:space="0"/>
              <w:bottom w:val="single" w:color="auto" w:sz="4" w:space="0"/>
              <w:right w:val="single" w:color="auto" w:sz="4" w:space="0"/>
            </w:tcBorders>
            <w:shd w:val="clear" w:color="auto" w:fill="auto"/>
            <w:vAlign w:val="center"/>
          </w:tcPr>
          <w:p w14:paraId="6553DCBB">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超长期特别国债安排的其他支出</w:t>
            </w:r>
          </w:p>
        </w:tc>
        <w:tc>
          <w:tcPr>
            <w:tcW w:w="1665" w:type="dxa"/>
            <w:tcBorders>
              <w:top w:val="single" w:color="auto" w:sz="4" w:space="0"/>
              <w:left w:val="single" w:color="auto" w:sz="4" w:space="0"/>
              <w:bottom w:val="single" w:color="auto" w:sz="4" w:space="0"/>
              <w:right w:val="single" w:color="auto" w:sz="4" w:space="0"/>
            </w:tcBorders>
            <w:shd w:val="clear" w:color="auto" w:fill="auto"/>
            <w:vAlign w:val="center"/>
          </w:tcPr>
          <w:p w14:paraId="12EED43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4,724.37 </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2EED067A">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590" w:type="dxa"/>
            <w:tcBorders>
              <w:top w:val="single" w:color="auto" w:sz="4" w:space="0"/>
              <w:left w:val="single" w:color="auto" w:sz="4" w:space="0"/>
              <w:bottom w:val="single" w:color="auto" w:sz="4" w:space="0"/>
              <w:right w:val="single" w:color="auto" w:sz="4" w:space="0"/>
            </w:tcBorders>
            <w:shd w:val="clear" w:color="auto" w:fill="auto"/>
            <w:vAlign w:val="center"/>
          </w:tcPr>
          <w:p w14:paraId="4600E95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4,724.37 </w:t>
            </w:r>
          </w:p>
        </w:tc>
        <w:tc>
          <w:tcPr>
            <w:tcW w:w="1647" w:type="dxa"/>
            <w:tcBorders>
              <w:top w:val="single" w:color="auto" w:sz="4" w:space="0"/>
              <w:left w:val="single" w:color="auto" w:sz="4" w:space="0"/>
              <w:bottom w:val="single" w:color="auto" w:sz="4" w:space="0"/>
              <w:right w:val="single" w:color="auto" w:sz="4" w:space="0"/>
            </w:tcBorders>
            <w:shd w:val="clear" w:color="auto" w:fill="auto"/>
            <w:vAlign w:val="center"/>
          </w:tcPr>
          <w:p w14:paraId="367982B0">
            <w:pPr>
              <w:shd w:val="clear"/>
              <w:jc w:val="right"/>
              <w:rPr>
                <w:rFonts w:hint="eastAsia" w:ascii="宋体" w:hAnsi="宋体" w:eastAsia="宋体" w:cs="宋体"/>
                <w:i w:val="0"/>
                <w:iCs w:val="0"/>
                <w:color w:val="000000"/>
                <w:sz w:val="22"/>
                <w:szCs w:val="22"/>
                <w:u w:val="none"/>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6F4331A9">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4,724.37 </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C284B5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r>
      <w:tr w14:paraId="6137B11B">
        <w:tblPrEx>
          <w:tblCellMar>
            <w:top w:w="0" w:type="dxa"/>
            <w:left w:w="108" w:type="dxa"/>
            <w:bottom w:w="0" w:type="dxa"/>
            <w:right w:w="108" w:type="dxa"/>
          </w:tblCellMar>
        </w:tblPrEx>
        <w:trPr>
          <w:trHeight w:val="509" w:hRule="atLeast"/>
          <w:jc w:val="center"/>
        </w:trPr>
        <w:tc>
          <w:tcPr>
            <w:tcW w:w="1193" w:type="dxa"/>
            <w:tcBorders>
              <w:top w:val="single" w:color="auto" w:sz="4" w:space="0"/>
              <w:left w:val="single" w:color="auto" w:sz="4" w:space="0"/>
              <w:bottom w:val="single" w:color="auto" w:sz="4" w:space="0"/>
              <w:right w:val="single" w:color="auto" w:sz="4" w:space="0"/>
            </w:tcBorders>
            <w:shd w:val="clear" w:color="auto" w:fill="auto"/>
            <w:vAlign w:val="center"/>
          </w:tcPr>
          <w:p w14:paraId="17509AB6">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2299899</w:t>
            </w:r>
          </w:p>
        </w:tc>
        <w:tc>
          <w:tcPr>
            <w:tcW w:w="2924" w:type="dxa"/>
            <w:tcBorders>
              <w:top w:val="single" w:color="auto" w:sz="4" w:space="0"/>
              <w:left w:val="single" w:color="auto" w:sz="4" w:space="0"/>
              <w:bottom w:val="single" w:color="auto" w:sz="4" w:space="0"/>
              <w:right w:val="single" w:color="auto" w:sz="4" w:space="0"/>
            </w:tcBorders>
            <w:shd w:val="clear" w:color="auto" w:fill="auto"/>
            <w:vAlign w:val="center"/>
          </w:tcPr>
          <w:p w14:paraId="1D46DF72">
            <w:pPr>
              <w:keepNext w:val="0"/>
              <w:keepLines w:val="0"/>
              <w:widowControl/>
              <w:suppressLineNumbers w:val="0"/>
              <w:shd w:val="clear"/>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其他支出</w:t>
            </w:r>
          </w:p>
        </w:tc>
        <w:tc>
          <w:tcPr>
            <w:tcW w:w="1665" w:type="dxa"/>
            <w:tcBorders>
              <w:top w:val="single" w:color="auto" w:sz="4" w:space="0"/>
              <w:left w:val="single" w:color="auto" w:sz="4" w:space="0"/>
              <w:bottom w:val="single" w:color="auto" w:sz="4" w:space="0"/>
              <w:right w:val="single" w:color="auto" w:sz="4" w:space="0"/>
            </w:tcBorders>
            <w:shd w:val="clear" w:color="auto" w:fill="auto"/>
            <w:vAlign w:val="center"/>
          </w:tcPr>
          <w:p w14:paraId="050970D5">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4,724.37 </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2D9AAFA1">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590" w:type="dxa"/>
            <w:tcBorders>
              <w:top w:val="single" w:color="auto" w:sz="4" w:space="0"/>
              <w:left w:val="single" w:color="auto" w:sz="4" w:space="0"/>
              <w:bottom w:val="single" w:color="auto" w:sz="4" w:space="0"/>
              <w:right w:val="single" w:color="auto" w:sz="4" w:space="0"/>
            </w:tcBorders>
            <w:shd w:val="clear" w:color="auto" w:fill="auto"/>
            <w:vAlign w:val="center"/>
          </w:tcPr>
          <w:p w14:paraId="30DBF58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4,724.37 </w:t>
            </w:r>
          </w:p>
        </w:tc>
        <w:tc>
          <w:tcPr>
            <w:tcW w:w="1647" w:type="dxa"/>
            <w:tcBorders>
              <w:top w:val="single" w:color="auto" w:sz="4" w:space="0"/>
              <w:left w:val="single" w:color="auto" w:sz="4" w:space="0"/>
              <w:bottom w:val="single" w:color="auto" w:sz="4" w:space="0"/>
              <w:right w:val="single" w:color="auto" w:sz="4" w:space="0"/>
            </w:tcBorders>
            <w:shd w:val="clear" w:color="auto" w:fill="auto"/>
            <w:vAlign w:val="center"/>
          </w:tcPr>
          <w:p w14:paraId="2644E130">
            <w:pPr>
              <w:shd w:val="clear"/>
              <w:jc w:val="right"/>
              <w:rPr>
                <w:rFonts w:hint="eastAsia" w:ascii="宋体" w:hAnsi="宋体" w:eastAsia="宋体" w:cs="宋体"/>
                <w:i w:val="0"/>
                <w:iCs w:val="0"/>
                <w:color w:val="000000"/>
                <w:sz w:val="22"/>
                <w:szCs w:val="22"/>
                <w:u w:val="none"/>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46D3C66C">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4,724.37 </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5D16EC43">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r>
    </w:tbl>
    <w:p w14:paraId="3F4E14D8">
      <w:pPr>
        <w:widowControl/>
        <w:shd w:val="clear"/>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1E39E71E">
      <w:pPr>
        <w:widowControl/>
        <w:shd w:val="clear"/>
        <w:jc w:val="left"/>
        <w:textAlignment w:val="center"/>
        <w:rPr>
          <w:rFonts w:ascii="Times New Roman" w:hAnsi="Times New Roman" w:eastAsia="仿宋_GB2312" w:cs="Times New Roman"/>
          <w:color w:val="000000"/>
          <w:kern w:val="0"/>
          <w:sz w:val="24"/>
          <w:szCs w:val="24"/>
        </w:rPr>
      </w:pPr>
    </w:p>
    <w:p w14:paraId="4394AFA0">
      <w:pPr>
        <w:widowControl/>
        <w:shd w:val="clear"/>
        <w:spacing w:line="400" w:lineRule="exact"/>
        <w:textAlignment w:val="center"/>
        <w:rPr>
          <w:rFonts w:ascii="Times New Roman" w:hAnsi="Times New Roman" w:eastAsia="仿宋_GB2312" w:cs="Times New Roman"/>
          <w:b/>
          <w:bCs/>
          <w:kern w:val="0"/>
          <w:sz w:val="24"/>
          <w:szCs w:val="24"/>
        </w:rPr>
      </w:pPr>
    </w:p>
    <w:p w14:paraId="38E18347">
      <w:pPr>
        <w:widowControl/>
        <w:shd w:val="clear"/>
        <w:spacing w:line="400" w:lineRule="exact"/>
        <w:textAlignment w:val="center"/>
        <w:rPr>
          <w:rFonts w:ascii="Times New Roman" w:hAnsi="Times New Roman" w:eastAsia="仿宋_GB2312" w:cs="Times New Roman"/>
          <w:b/>
          <w:bCs/>
          <w:kern w:val="0"/>
          <w:sz w:val="24"/>
          <w:szCs w:val="24"/>
        </w:rPr>
      </w:pPr>
    </w:p>
    <w:p w14:paraId="03BA86DF">
      <w:pPr>
        <w:widowControl/>
        <w:shd w:val="clear"/>
        <w:spacing w:line="400" w:lineRule="exact"/>
        <w:textAlignment w:val="center"/>
        <w:rPr>
          <w:rFonts w:ascii="Times New Roman" w:hAnsi="Times New Roman" w:eastAsia="仿宋_GB2312" w:cs="Times New Roman"/>
          <w:b/>
          <w:bCs/>
          <w:kern w:val="0"/>
          <w:sz w:val="24"/>
          <w:szCs w:val="24"/>
        </w:rPr>
      </w:pPr>
    </w:p>
    <w:p w14:paraId="0387F53A">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5ADA83CA">
      <w:pPr>
        <w:widowControl/>
        <w:shd w:val="clear"/>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515CAC67">
      <w:pPr>
        <w:widowControl/>
        <w:shd w:val="clear"/>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湖南省文化和旅游厅</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263A2BCE">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A8849E7">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24"/>
                <w:rFonts w:hint="default" w:ascii="Times New Roman" w:hAnsi="Times New Roman" w:eastAsia="仿宋_GB2312" w:cs="Times New Roman"/>
                <w:b/>
                <w:bCs/>
              </w:rPr>
              <w:t>目</w:t>
            </w:r>
          </w:p>
        </w:tc>
        <w:tc>
          <w:tcPr>
            <w:tcW w:w="2822"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02F3B25E">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27E1B684">
        <w:tblPrEx>
          <w:tblCellMar>
            <w:top w:w="0" w:type="dxa"/>
            <w:left w:w="108" w:type="dxa"/>
            <w:bottom w:w="0" w:type="dxa"/>
            <w:right w:w="108" w:type="dxa"/>
          </w:tblCellMar>
        </w:tblPrEx>
        <w:trPr>
          <w:trHeight w:val="312" w:hRule="exact"/>
        </w:trPr>
        <w:tc>
          <w:tcPr>
            <w:tcW w:w="108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25CA153">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C366711">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167AA87">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2834156">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19F70DF">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71C0F9F5">
        <w:tblPrEx>
          <w:tblCellMar>
            <w:top w:w="0" w:type="dxa"/>
            <w:left w:w="108" w:type="dxa"/>
            <w:bottom w:w="0" w:type="dxa"/>
            <w:right w:w="108" w:type="dxa"/>
          </w:tblCellMar>
        </w:tblPrEx>
        <w:trPr>
          <w:trHeight w:val="312" w:hRule="exact"/>
        </w:trPr>
        <w:tc>
          <w:tcPr>
            <w:tcW w:w="108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DE4A956">
            <w:pPr>
              <w:shd w:val="clea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133D574">
            <w:pPr>
              <w:shd w:val="clear"/>
              <w:jc w:val="center"/>
              <w:rPr>
                <w:rFonts w:ascii="Times New Roman" w:hAnsi="Times New Roman" w:eastAsia="仿宋_GB2312" w:cs="Times New Roman"/>
                <w:color w:val="000000"/>
                <w:sz w:val="24"/>
                <w:szCs w:val="24"/>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9DF5FFE">
            <w:pPr>
              <w:shd w:val="clea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B3D691B">
            <w:pPr>
              <w:shd w:val="clea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102C16D">
            <w:pPr>
              <w:shd w:val="clear"/>
              <w:jc w:val="center"/>
              <w:rPr>
                <w:rFonts w:ascii="Times New Roman" w:hAnsi="Times New Roman" w:eastAsia="仿宋_GB2312" w:cs="Times New Roman"/>
                <w:color w:val="000000"/>
                <w:sz w:val="24"/>
                <w:szCs w:val="24"/>
              </w:rPr>
            </w:pPr>
          </w:p>
        </w:tc>
      </w:tr>
      <w:tr w14:paraId="3A3F8B89">
        <w:tblPrEx>
          <w:tblCellMar>
            <w:top w:w="0" w:type="dxa"/>
            <w:left w:w="108" w:type="dxa"/>
            <w:bottom w:w="0" w:type="dxa"/>
            <w:right w:w="108" w:type="dxa"/>
          </w:tblCellMar>
        </w:tblPrEx>
        <w:trPr>
          <w:trHeight w:val="312" w:hRule="atLeast"/>
        </w:trPr>
        <w:tc>
          <w:tcPr>
            <w:tcW w:w="108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2608C49">
            <w:pPr>
              <w:shd w:val="clea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B72D593">
            <w:pPr>
              <w:shd w:val="clear"/>
              <w:jc w:val="center"/>
              <w:rPr>
                <w:rFonts w:ascii="Times New Roman" w:hAnsi="Times New Roman" w:eastAsia="仿宋_GB2312" w:cs="Times New Roman"/>
                <w:color w:val="000000"/>
                <w:sz w:val="24"/>
                <w:szCs w:val="24"/>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E55A4D4">
            <w:pPr>
              <w:shd w:val="clea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61A3BE6">
            <w:pPr>
              <w:shd w:val="clea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2692C4D">
            <w:pPr>
              <w:shd w:val="clear"/>
              <w:jc w:val="center"/>
              <w:rPr>
                <w:rFonts w:ascii="Times New Roman" w:hAnsi="Times New Roman" w:eastAsia="仿宋_GB2312" w:cs="Times New Roman"/>
                <w:color w:val="000000"/>
                <w:sz w:val="24"/>
                <w:szCs w:val="24"/>
              </w:rPr>
            </w:pPr>
          </w:p>
        </w:tc>
      </w:tr>
      <w:tr w14:paraId="62BE0446">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9502596">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3EC1164E">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3EE05B8">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1D59876">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665B7D7A">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4B2FAFF2">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1F4A1800">
            <w:pPr>
              <w:shd w:val="clea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D76532F">
            <w:pPr>
              <w:shd w:val="clea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1706394B">
            <w:pPr>
              <w:shd w:val="clear"/>
              <w:jc w:val="center"/>
              <w:rPr>
                <w:rFonts w:ascii="Times New Roman" w:hAnsi="Times New Roman" w:eastAsia="仿宋_GB2312" w:cs="Times New Roman"/>
                <w:color w:val="000000"/>
                <w:sz w:val="24"/>
                <w:szCs w:val="24"/>
              </w:rPr>
            </w:pPr>
          </w:p>
        </w:tc>
      </w:tr>
      <w:tr w14:paraId="52B762AD">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1E8F3CB6">
            <w:pPr>
              <w:shd w:val="clea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13789891">
            <w:pPr>
              <w:shd w:val="clear"/>
              <w:rPr>
                <w:rFonts w:ascii="Times New Roman" w:hAnsi="Times New Roman" w:eastAsia="仿宋_GB2312" w:cs="Times New Roman"/>
                <w:color w:val="000000"/>
                <w:sz w:val="20"/>
                <w:szCs w:val="20"/>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36A96B62">
            <w:pPr>
              <w:shd w:val="clea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C6D4F84">
            <w:pPr>
              <w:shd w:val="clea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7A529E2">
            <w:pPr>
              <w:shd w:val="clear"/>
              <w:rPr>
                <w:rFonts w:ascii="Times New Roman" w:hAnsi="Times New Roman" w:eastAsia="仿宋_GB2312" w:cs="Times New Roman"/>
                <w:color w:val="000000"/>
                <w:sz w:val="24"/>
                <w:szCs w:val="24"/>
              </w:rPr>
            </w:pPr>
          </w:p>
        </w:tc>
      </w:tr>
      <w:tr w14:paraId="6E1D3D86">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5092A307">
            <w:pPr>
              <w:shd w:val="clea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1AC298BB">
            <w:pPr>
              <w:shd w:val="clear"/>
              <w:rPr>
                <w:rFonts w:ascii="Times New Roman" w:hAnsi="Times New Roman" w:eastAsia="仿宋_GB2312"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22229537">
            <w:pPr>
              <w:shd w:val="clea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84A9AC5">
            <w:pPr>
              <w:shd w:val="clea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E138B5F">
            <w:pPr>
              <w:shd w:val="clear"/>
              <w:rPr>
                <w:rFonts w:ascii="Times New Roman" w:hAnsi="Times New Roman" w:eastAsia="仿宋_GB2312" w:cs="Times New Roman"/>
                <w:color w:val="000000"/>
                <w:sz w:val="24"/>
                <w:szCs w:val="24"/>
              </w:rPr>
            </w:pPr>
          </w:p>
        </w:tc>
      </w:tr>
      <w:tr w14:paraId="3AE55B7F">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702F3D39">
            <w:pPr>
              <w:shd w:val="clea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EB64FCD">
            <w:pPr>
              <w:shd w:val="clear"/>
              <w:rPr>
                <w:rFonts w:ascii="Times New Roman" w:hAnsi="Times New Roman" w:eastAsia="宋体" w:cs="Times New Roman"/>
                <w:color w:val="000000"/>
                <w:sz w:val="20"/>
                <w:szCs w:val="20"/>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05667B1B">
            <w:pPr>
              <w:shd w:val="clea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09B5992">
            <w:pPr>
              <w:shd w:val="clea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5EF5862">
            <w:pPr>
              <w:shd w:val="clear"/>
              <w:rPr>
                <w:rFonts w:ascii="Times New Roman" w:hAnsi="Times New Roman" w:eastAsia="宋体" w:cs="Times New Roman"/>
                <w:color w:val="000000"/>
                <w:sz w:val="24"/>
                <w:szCs w:val="24"/>
              </w:rPr>
            </w:pPr>
          </w:p>
        </w:tc>
      </w:tr>
      <w:tr w14:paraId="41D7B7ED">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72738578">
            <w:pPr>
              <w:shd w:val="clea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006FC61">
            <w:pPr>
              <w:shd w:val="clea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68853F4C">
            <w:pPr>
              <w:shd w:val="clea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C917D73">
            <w:pPr>
              <w:shd w:val="clea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DF0A0CF">
            <w:pPr>
              <w:shd w:val="clear"/>
              <w:rPr>
                <w:rFonts w:ascii="Times New Roman" w:hAnsi="Times New Roman" w:eastAsia="宋体" w:cs="Times New Roman"/>
                <w:color w:val="000000"/>
                <w:sz w:val="24"/>
                <w:szCs w:val="24"/>
              </w:rPr>
            </w:pPr>
          </w:p>
        </w:tc>
      </w:tr>
      <w:tr w14:paraId="21443599">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1D3C4D54">
            <w:pPr>
              <w:shd w:val="clea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1938AC2F">
            <w:pPr>
              <w:shd w:val="clea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7668BBAA">
            <w:pPr>
              <w:shd w:val="clea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37337B5">
            <w:pPr>
              <w:shd w:val="clea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0C91130">
            <w:pPr>
              <w:shd w:val="clear"/>
              <w:rPr>
                <w:rFonts w:ascii="Times New Roman" w:hAnsi="Times New Roman" w:eastAsia="宋体" w:cs="Times New Roman"/>
                <w:color w:val="000000"/>
                <w:sz w:val="24"/>
                <w:szCs w:val="24"/>
              </w:rPr>
            </w:pPr>
          </w:p>
        </w:tc>
      </w:tr>
      <w:tr w14:paraId="678A0218">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5F76D947">
            <w:pPr>
              <w:shd w:val="clea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EA7A88D">
            <w:pPr>
              <w:shd w:val="clea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68E4F284">
            <w:pPr>
              <w:shd w:val="clea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5D3E91D">
            <w:pPr>
              <w:shd w:val="clea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7F8A470">
            <w:pPr>
              <w:shd w:val="clear"/>
              <w:rPr>
                <w:rFonts w:ascii="Times New Roman" w:hAnsi="Times New Roman" w:eastAsia="宋体" w:cs="Times New Roman"/>
                <w:color w:val="000000"/>
                <w:sz w:val="24"/>
                <w:szCs w:val="24"/>
              </w:rPr>
            </w:pPr>
          </w:p>
        </w:tc>
      </w:tr>
    </w:tbl>
    <w:p w14:paraId="1C91F631">
      <w:pPr>
        <w:widowControl/>
        <w:shd w:val="clear"/>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3F4A3ACB">
      <w:pPr>
        <w:widowControl/>
        <w:shd w:val="clear"/>
        <w:jc w:val="left"/>
        <w:textAlignment w:val="center"/>
        <w:rPr>
          <w:rFonts w:ascii="Times New Roman" w:hAnsi="Times New Roman" w:eastAsia="宋体" w:cs="Times New Roman"/>
          <w:color w:val="000000"/>
          <w:kern w:val="0"/>
          <w:sz w:val="24"/>
          <w:szCs w:val="24"/>
        </w:rPr>
      </w:pPr>
    </w:p>
    <w:p w14:paraId="2B51E2FB">
      <w:pPr>
        <w:widowControl/>
        <w:shd w:val="clear"/>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w:t>
      </w:r>
      <w:r>
        <w:rPr>
          <w:rFonts w:hint="eastAsia" w:ascii="Times New Roman" w:hAnsi="Times New Roman" w:eastAsia="楷体_GB2312" w:cs="Times New Roman"/>
          <w:b/>
          <w:bCs/>
          <w:kern w:val="0"/>
          <w:sz w:val="24"/>
          <w:szCs w:val="24"/>
          <w:lang w:eastAsia="zh-CN"/>
        </w:rPr>
        <w:t>厅</w:t>
      </w:r>
      <w:r>
        <w:rPr>
          <w:rFonts w:ascii="Times New Roman" w:hAnsi="Times New Roman" w:eastAsia="楷体_GB2312" w:cs="Times New Roman"/>
          <w:b/>
          <w:bCs/>
          <w:kern w:val="0"/>
          <w:sz w:val="24"/>
          <w:szCs w:val="24"/>
        </w:rPr>
        <w:t>没有使用国有资本经营预算安排的支出，故本表无数据。</w:t>
      </w:r>
    </w:p>
    <w:p w14:paraId="68920DEB">
      <w:pPr>
        <w:widowControl/>
        <w:shd w:val="clear"/>
        <w:jc w:val="center"/>
        <w:rPr>
          <w:rFonts w:ascii="Times New Roman" w:hAnsi="Times New Roman" w:eastAsia="方正小标宋_GBK" w:cs="Times New Roman"/>
          <w:color w:val="000000"/>
          <w:kern w:val="0"/>
          <w:sz w:val="36"/>
          <w:szCs w:val="36"/>
        </w:rPr>
      </w:pPr>
    </w:p>
    <w:p w14:paraId="145532F9">
      <w:pPr>
        <w:pStyle w:val="14"/>
        <w:shd w:val="clear"/>
        <w:spacing w:line="400" w:lineRule="exact"/>
        <w:rPr>
          <w:rFonts w:ascii="Times New Roman" w:hAnsi="Times New Roman" w:eastAsia="华文中宋" w:cs="Times New Roman"/>
          <w:color w:val="000000"/>
          <w:kern w:val="0"/>
          <w:sz w:val="32"/>
          <w:szCs w:val="32"/>
        </w:rPr>
      </w:pPr>
    </w:p>
    <w:p w14:paraId="3D3F0D84">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180BAAC2">
      <w:pPr>
        <w:widowControl/>
        <w:shd w:val="clear"/>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041A55E5">
      <w:pPr>
        <w:widowControl/>
        <w:shd w:val="clear"/>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楷体_GB2312" w:cs="Times New Roman"/>
          <w:color w:val="000000"/>
          <w:kern w:val="0"/>
          <w:sz w:val="20"/>
          <w:szCs w:val="20"/>
        </w:rPr>
        <w:t>湖南省文化和旅游厅</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10"/>
        <w:tblW w:w="5113" w:type="pct"/>
        <w:jc w:val="center"/>
        <w:tblLayout w:type="autofit"/>
        <w:tblCellMar>
          <w:top w:w="0" w:type="dxa"/>
          <w:left w:w="108" w:type="dxa"/>
          <w:bottom w:w="0" w:type="dxa"/>
          <w:right w:w="108" w:type="dxa"/>
        </w:tblCellMar>
      </w:tblPr>
      <w:tblGrid>
        <w:gridCol w:w="934"/>
        <w:gridCol w:w="1227"/>
        <w:gridCol w:w="1085"/>
        <w:gridCol w:w="1187"/>
        <w:gridCol w:w="1425"/>
        <w:gridCol w:w="1378"/>
        <w:gridCol w:w="1047"/>
        <w:gridCol w:w="1163"/>
        <w:gridCol w:w="1163"/>
        <w:gridCol w:w="1163"/>
        <w:gridCol w:w="1361"/>
        <w:gridCol w:w="1408"/>
      </w:tblGrid>
      <w:tr w14:paraId="7C47BF9D">
        <w:tblPrEx>
          <w:tblCellMar>
            <w:top w:w="0" w:type="dxa"/>
            <w:left w:w="108" w:type="dxa"/>
            <w:bottom w:w="0" w:type="dxa"/>
            <w:right w:w="108" w:type="dxa"/>
          </w:tblCellMar>
        </w:tblPrEx>
        <w:trPr>
          <w:trHeight w:val="606" w:hRule="atLeast"/>
          <w:jc w:val="center"/>
        </w:trPr>
        <w:tc>
          <w:tcPr>
            <w:tcW w:w="2487"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1D5DDF13">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2"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4AF629F6">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33DE7CC4">
        <w:tblPrEx>
          <w:tblCellMar>
            <w:top w:w="0" w:type="dxa"/>
            <w:left w:w="108" w:type="dxa"/>
            <w:bottom w:w="0" w:type="dxa"/>
            <w:right w:w="108" w:type="dxa"/>
          </w:tblCellMar>
        </w:tblPrEx>
        <w:trPr>
          <w:trHeight w:val="495" w:hRule="atLeast"/>
          <w:jc w:val="center"/>
        </w:trPr>
        <w:tc>
          <w:tcPr>
            <w:tcW w:w="32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F4DA6A5">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CB3F10D">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36F1488F">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DB7B676">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386CF9A">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D06C744">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8"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4B4F3C5D">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135614F">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14A6758A">
        <w:tblPrEx>
          <w:tblCellMar>
            <w:top w:w="0" w:type="dxa"/>
            <w:left w:w="108" w:type="dxa"/>
            <w:bottom w:w="0" w:type="dxa"/>
            <w:right w:w="108" w:type="dxa"/>
          </w:tblCellMar>
        </w:tblPrEx>
        <w:trPr>
          <w:trHeight w:val="864" w:hRule="atLeast"/>
          <w:jc w:val="center"/>
        </w:trPr>
        <w:tc>
          <w:tcPr>
            <w:tcW w:w="32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B8822D3">
            <w:pPr>
              <w:shd w:val="clear"/>
              <w:jc w:val="center"/>
              <w:rPr>
                <w:rFonts w:ascii="Times New Roman" w:hAnsi="Times New Roman" w:eastAsia="仿宋_GB2312" w:cs="Times New Roman"/>
                <w:color w:val="000000"/>
                <w:sz w:val="22"/>
              </w:rPr>
            </w:pPr>
          </w:p>
        </w:tc>
        <w:tc>
          <w:tcPr>
            <w:tcW w:w="42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FBA7883">
            <w:pPr>
              <w:shd w:val="clear"/>
              <w:jc w:val="center"/>
              <w:rPr>
                <w:rFonts w:ascii="Times New Roman" w:hAnsi="Times New Roman" w:eastAsia="仿宋_GB2312" w:cs="Times New Roman"/>
                <w:color w:val="000000"/>
                <w:sz w:val="22"/>
              </w:rPr>
            </w:pP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30740570">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19C166CD">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9" w:type="pct"/>
            <w:tcBorders>
              <w:top w:val="single" w:color="auto" w:sz="4" w:space="0"/>
              <w:left w:val="single" w:color="auto" w:sz="4" w:space="0"/>
              <w:bottom w:val="single" w:color="auto" w:sz="4" w:space="0"/>
              <w:right w:val="single" w:color="auto" w:sz="4" w:space="0"/>
            </w:tcBorders>
            <w:shd w:val="clear" w:color="auto" w:fill="auto"/>
            <w:vAlign w:val="center"/>
          </w:tcPr>
          <w:p w14:paraId="3C87EA1E">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7E30AB9">
            <w:pPr>
              <w:shd w:val="clear"/>
              <w:jc w:val="center"/>
              <w:rPr>
                <w:rFonts w:ascii="Times New Roman" w:hAnsi="Times New Roman" w:eastAsia="仿宋_GB2312" w:cs="Times New Roman"/>
                <w:color w:val="000000"/>
                <w:sz w:val="22"/>
              </w:rPr>
            </w:pPr>
          </w:p>
        </w:tc>
        <w:tc>
          <w:tcPr>
            <w:tcW w:w="36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ECA9086">
            <w:pPr>
              <w:shd w:val="clear"/>
              <w:jc w:val="center"/>
              <w:rPr>
                <w:rFonts w:ascii="Times New Roman" w:hAnsi="Times New Roman" w:eastAsia="仿宋_GB2312" w:cs="Times New Roman"/>
                <w:color w:val="000000"/>
                <w:sz w:val="22"/>
              </w:rPr>
            </w:pPr>
          </w:p>
        </w:tc>
        <w:tc>
          <w:tcPr>
            <w:tcW w:w="40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0973401">
            <w:pPr>
              <w:shd w:val="clear"/>
              <w:jc w:val="center"/>
              <w:rPr>
                <w:rFonts w:ascii="Times New Roman" w:hAnsi="Times New Roman" w:eastAsia="仿宋_GB2312" w:cs="Times New Roman"/>
                <w:color w:val="000000"/>
                <w:sz w:val="22"/>
              </w:rPr>
            </w:pPr>
          </w:p>
        </w:tc>
        <w:tc>
          <w:tcPr>
            <w:tcW w:w="400" w:type="pct"/>
            <w:tcBorders>
              <w:top w:val="single" w:color="auto" w:sz="4" w:space="0"/>
              <w:left w:val="single" w:color="auto" w:sz="4" w:space="0"/>
              <w:bottom w:val="single" w:color="auto" w:sz="4" w:space="0"/>
              <w:right w:val="single" w:color="auto" w:sz="4" w:space="0"/>
            </w:tcBorders>
            <w:shd w:val="clear" w:color="auto" w:fill="auto"/>
            <w:vAlign w:val="center"/>
          </w:tcPr>
          <w:p w14:paraId="5ADE16C3">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0" w:type="pct"/>
            <w:tcBorders>
              <w:top w:val="single" w:color="auto" w:sz="4" w:space="0"/>
              <w:left w:val="single" w:color="auto" w:sz="4" w:space="0"/>
              <w:bottom w:val="single" w:color="auto" w:sz="4" w:space="0"/>
              <w:right w:val="single" w:color="auto" w:sz="4" w:space="0"/>
            </w:tcBorders>
            <w:shd w:val="clear" w:color="auto" w:fill="auto"/>
            <w:vAlign w:val="center"/>
          </w:tcPr>
          <w:p w14:paraId="78B3D3A9">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4D54FA99">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C214940">
            <w:pPr>
              <w:shd w:val="clear"/>
              <w:jc w:val="center"/>
              <w:rPr>
                <w:rFonts w:ascii="Times New Roman" w:hAnsi="Times New Roman" w:eastAsia="仿宋_GB2312" w:cs="Times New Roman"/>
                <w:color w:val="000000"/>
                <w:sz w:val="22"/>
              </w:rPr>
            </w:pPr>
          </w:p>
        </w:tc>
      </w:tr>
      <w:tr w14:paraId="147ADE73">
        <w:tblPrEx>
          <w:tblCellMar>
            <w:top w:w="0" w:type="dxa"/>
            <w:left w:w="108" w:type="dxa"/>
            <w:bottom w:w="0" w:type="dxa"/>
            <w:right w:w="108" w:type="dxa"/>
          </w:tblCellMar>
        </w:tblPrEx>
        <w:trPr>
          <w:trHeight w:val="614" w:hRule="atLeast"/>
          <w:jc w:val="center"/>
        </w:trPr>
        <w:tc>
          <w:tcPr>
            <w:tcW w:w="321" w:type="pct"/>
            <w:tcBorders>
              <w:top w:val="single" w:color="auto" w:sz="4" w:space="0"/>
              <w:left w:val="single" w:color="auto" w:sz="4" w:space="0"/>
              <w:bottom w:val="single" w:color="auto" w:sz="4" w:space="0"/>
              <w:right w:val="single" w:color="auto" w:sz="4" w:space="0"/>
            </w:tcBorders>
            <w:shd w:val="clear" w:color="auto" w:fill="auto"/>
            <w:vAlign w:val="center"/>
          </w:tcPr>
          <w:p w14:paraId="2EC7FFCC">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auto" w:sz="4" w:space="0"/>
              <w:left w:val="single" w:color="auto" w:sz="4" w:space="0"/>
              <w:bottom w:val="single" w:color="auto" w:sz="4" w:space="0"/>
              <w:right w:val="single" w:color="auto" w:sz="4" w:space="0"/>
            </w:tcBorders>
            <w:shd w:val="clear" w:color="auto" w:fill="auto"/>
            <w:vAlign w:val="center"/>
          </w:tcPr>
          <w:p w14:paraId="58BD48C8">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7652D44A">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61EB0AB2">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9" w:type="pct"/>
            <w:tcBorders>
              <w:top w:val="single" w:color="auto" w:sz="4" w:space="0"/>
              <w:left w:val="single" w:color="auto" w:sz="4" w:space="0"/>
              <w:bottom w:val="single" w:color="auto" w:sz="4" w:space="0"/>
              <w:right w:val="single" w:color="auto" w:sz="4" w:space="0"/>
            </w:tcBorders>
            <w:shd w:val="clear" w:color="auto" w:fill="auto"/>
            <w:vAlign w:val="center"/>
          </w:tcPr>
          <w:p w14:paraId="66A470CB">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2" w:type="pct"/>
            <w:tcBorders>
              <w:top w:val="single" w:color="auto" w:sz="4" w:space="0"/>
              <w:left w:val="single" w:color="auto" w:sz="4" w:space="0"/>
              <w:bottom w:val="single" w:color="auto" w:sz="4" w:space="0"/>
              <w:right w:val="single" w:color="auto" w:sz="4" w:space="0"/>
            </w:tcBorders>
            <w:shd w:val="clear" w:color="auto" w:fill="auto"/>
            <w:vAlign w:val="center"/>
          </w:tcPr>
          <w:p w14:paraId="5925F56C">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0" w:type="pct"/>
            <w:tcBorders>
              <w:top w:val="single" w:color="auto" w:sz="4" w:space="0"/>
              <w:left w:val="single" w:color="auto" w:sz="4" w:space="0"/>
              <w:bottom w:val="single" w:color="auto" w:sz="4" w:space="0"/>
              <w:right w:val="single" w:color="auto" w:sz="4" w:space="0"/>
            </w:tcBorders>
            <w:shd w:val="clear" w:color="auto" w:fill="auto"/>
            <w:vAlign w:val="center"/>
          </w:tcPr>
          <w:p w14:paraId="114A2C68">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0" w:type="pct"/>
            <w:tcBorders>
              <w:top w:val="single" w:color="auto" w:sz="4" w:space="0"/>
              <w:left w:val="single" w:color="auto" w:sz="4" w:space="0"/>
              <w:bottom w:val="single" w:color="auto" w:sz="4" w:space="0"/>
              <w:right w:val="single" w:color="auto" w:sz="4" w:space="0"/>
            </w:tcBorders>
            <w:shd w:val="clear" w:color="auto" w:fill="auto"/>
            <w:vAlign w:val="center"/>
          </w:tcPr>
          <w:p w14:paraId="22C841E8">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0" w:type="pct"/>
            <w:tcBorders>
              <w:top w:val="single" w:color="auto" w:sz="4" w:space="0"/>
              <w:left w:val="single" w:color="auto" w:sz="4" w:space="0"/>
              <w:bottom w:val="single" w:color="auto" w:sz="4" w:space="0"/>
              <w:right w:val="single" w:color="auto" w:sz="4" w:space="0"/>
            </w:tcBorders>
            <w:shd w:val="clear" w:color="auto" w:fill="auto"/>
            <w:vAlign w:val="center"/>
          </w:tcPr>
          <w:p w14:paraId="4BB6716A">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0" w:type="pct"/>
            <w:tcBorders>
              <w:top w:val="single" w:color="auto" w:sz="4" w:space="0"/>
              <w:left w:val="single" w:color="auto" w:sz="4" w:space="0"/>
              <w:bottom w:val="single" w:color="auto" w:sz="4" w:space="0"/>
              <w:right w:val="single" w:color="auto" w:sz="4" w:space="0"/>
            </w:tcBorders>
            <w:shd w:val="clear" w:color="auto" w:fill="auto"/>
            <w:vAlign w:val="center"/>
          </w:tcPr>
          <w:p w14:paraId="5C224C64">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6E4778D0">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1" w:type="pct"/>
            <w:tcBorders>
              <w:top w:val="single" w:color="auto" w:sz="4" w:space="0"/>
              <w:left w:val="single" w:color="auto" w:sz="4" w:space="0"/>
              <w:bottom w:val="single" w:color="auto" w:sz="4" w:space="0"/>
              <w:right w:val="single" w:color="auto" w:sz="4" w:space="0"/>
            </w:tcBorders>
            <w:shd w:val="clear" w:color="auto" w:fill="auto"/>
            <w:vAlign w:val="center"/>
          </w:tcPr>
          <w:p w14:paraId="266EC8DE">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6B4FC22B">
        <w:tblPrEx>
          <w:tblCellMar>
            <w:top w:w="0" w:type="dxa"/>
            <w:left w:w="108" w:type="dxa"/>
            <w:bottom w:w="0" w:type="dxa"/>
            <w:right w:w="108" w:type="dxa"/>
          </w:tblCellMar>
        </w:tblPrEx>
        <w:trPr>
          <w:trHeight w:val="579" w:hRule="atLeast"/>
          <w:jc w:val="center"/>
        </w:trPr>
        <w:tc>
          <w:tcPr>
            <w:tcW w:w="321" w:type="pct"/>
            <w:tcBorders>
              <w:top w:val="single" w:color="auto" w:sz="4" w:space="0"/>
              <w:left w:val="single" w:color="auto" w:sz="4" w:space="0"/>
              <w:bottom w:val="single" w:color="auto" w:sz="4" w:space="0"/>
              <w:right w:val="single" w:color="auto" w:sz="4" w:space="0"/>
            </w:tcBorders>
            <w:shd w:val="clear" w:color="auto" w:fill="auto"/>
            <w:vAlign w:val="center"/>
          </w:tcPr>
          <w:p w14:paraId="60DCAFA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310.45 </w:t>
            </w:r>
          </w:p>
        </w:tc>
        <w:tc>
          <w:tcPr>
            <w:tcW w:w="422" w:type="pct"/>
            <w:tcBorders>
              <w:top w:val="single" w:color="auto" w:sz="4" w:space="0"/>
              <w:left w:val="single" w:color="auto" w:sz="4" w:space="0"/>
              <w:bottom w:val="single" w:color="auto" w:sz="4" w:space="0"/>
              <w:right w:val="single" w:color="auto" w:sz="4" w:space="0"/>
            </w:tcBorders>
            <w:shd w:val="clear" w:color="auto" w:fill="auto"/>
            <w:vAlign w:val="center"/>
          </w:tcPr>
          <w:p w14:paraId="3D8C7D7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163.39 </w:t>
            </w: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7F3C16DD">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95.56 </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3B28E78B">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18.00 </w:t>
            </w:r>
          </w:p>
        </w:tc>
        <w:tc>
          <w:tcPr>
            <w:tcW w:w="489" w:type="pct"/>
            <w:tcBorders>
              <w:top w:val="single" w:color="auto" w:sz="4" w:space="0"/>
              <w:left w:val="single" w:color="auto" w:sz="4" w:space="0"/>
              <w:bottom w:val="single" w:color="auto" w:sz="4" w:space="0"/>
              <w:right w:val="single" w:color="auto" w:sz="4" w:space="0"/>
            </w:tcBorders>
            <w:shd w:val="clear" w:color="auto" w:fill="auto"/>
            <w:vAlign w:val="center"/>
          </w:tcPr>
          <w:p w14:paraId="21B19BE0">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77.56 </w:t>
            </w:r>
          </w:p>
        </w:tc>
        <w:tc>
          <w:tcPr>
            <w:tcW w:w="472" w:type="pct"/>
            <w:tcBorders>
              <w:top w:val="single" w:color="auto" w:sz="4" w:space="0"/>
              <w:left w:val="single" w:color="auto" w:sz="4" w:space="0"/>
              <w:bottom w:val="single" w:color="auto" w:sz="4" w:space="0"/>
              <w:right w:val="single" w:color="auto" w:sz="4" w:space="0"/>
            </w:tcBorders>
            <w:shd w:val="clear" w:color="auto" w:fill="auto"/>
            <w:vAlign w:val="center"/>
          </w:tcPr>
          <w:p w14:paraId="51385116">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51.50 </w:t>
            </w:r>
          </w:p>
        </w:tc>
        <w:tc>
          <w:tcPr>
            <w:tcW w:w="360" w:type="pct"/>
            <w:tcBorders>
              <w:top w:val="single" w:color="auto" w:sz="4" w:space="0"/>
              <w:left w:val="single" w:color="auto" w:sz="4" w:space="0"/>
              <w:bottom w:val="single" w:color="auto" w:sz="4" w:space="0"/>
              <w:right w:val="single" w:color="auto" w:sz="4" w:space="0"/>
            </w:tcBorders>
            <w:shd w:val="clear" w:color="auto" w:fill="auto"/>
            <w:vAlign w:val="center"/>
          </w:tcPr>
          <w:p w14:paraId="3202F95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281.64 </w:t>
            </w:r>
          </w:p>
        </w:tc>
        <w:tc>
          <w:tcPr>
            <w:tcW w:w="400" w:type="pct"/>
            <w:tcBorders>
              <w:top w:val="single" w:color="auto" w:sz="4" w:space="0"/>
              <w:left w:val="single" w:color="auto" w:sz="4" w:space="0"/>
              <w:bottom w:val="single" w:color="auto" w:sz="4" w:space="0"/>
              <w:right w:val="single" w:color="auto" w:sz="4" w:space="0"/>
            </w:tcBorders>
            <w:shd w:val="clear" w:color="auto" w:fill="auto"/>
            <w:vAlign w:val="center"/>
          </w:tcPr>
          <w:p w14:paraId="16615362">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160.20 </w:t>
            </w:r>
          </w:p>
        </w:tc>
        <w:tc>
          <w:tcPr>
            <w:tcW w:w="400" w:type="pct"/>
            <w:tcBorders>
              <w:top w:val="single" w:color="auto" w:sz="4" w:space="0"/>
              <w:left w:val="single" w:color="auto" w:sz="4" w:space="0"/>
              <w:bottom w:val="single" w:color="auto" w:sz="4" w:space="0"/>
              <w:right w:val="single" w:color="auto" w:sz="4" w:space="0"/>
            </w:tcBorders>
            <w:shd w:val="clear" w:color="auto" w:fill="auto"/>
            <w:vAlign w:val="center"/>
          </w:tcPr>
          <w:p w14:paraId="6E905288">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86.64 </w:t>
            </w:r>
          </w:p>
        </w:tc>
        <w:tc>
          <w:tcPr>
            <w:tcW w:w="400" w:type="pct"/>
            <w:tcBorders>
              <w:top w:val="single" w:color="auto" w:sz="4" w:space="0"/>
              <w:left w:val="single" w:color="auto" w:sz="4" w:space="0"/>
              <w:bottom w:val="single" w:color="auto" w:sz="4" w:space="0"/>
              <w:right w:val="single" w:color="auto" w:sz="4" w:space="0"/>
            </w:tcBorders>
            <w:shd w:val="clear" w:color="auto" w:fill="auto"/>
            <w:vAlign w:val="center"/>
          </w:tcPr>
          <w:p w14:paraId="40944A04">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17.90 </w:t>
            </w: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2EF08097">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68.74 </w:t>
            </w:r>
          </w:p>
        </w:tc>
        <w:tc>
          <w:tcPr>
            <w:tcW w:w="481" w:type="pct"/>
            <w:tcBorders>
              <w:top w:val="single" w:color="auto" w:sz="4" w:space="0"/>
              <w:left w:val="single" w:color="auto" w:sz="4" w:space="0"/>
              <w:bottom w:val="single" w:color="auto" w:sz="4" w:space="0"/>
              <w:right w:val="single" w:color="auto" w:sz="4" w:space="0"/>
            </w:tcBorders>
            <w:shd w:val="clear" w:color="auto" w:fill="auto"/>
            <w:vAlign w:val="center"/>
          </w:tcPr>
          <w:p w14:paraId="5AFC016E">
            <w:pPr>
              <w:keepNext w:val="0"/>
              <w:keepLines w:val="0"/>
              <w:widowControl/>
              <w:suppressLineNumbers w:val="0"/>
              <w:shd w:val="clear"/>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34.80 </w:t>
            </w:r>
          </w:p>
        </w:tc>
      </w:tr>
    </w:tbl>
    <w:p w14:paraId="3A8B100F">
      <w:pPr>
        <w:widowControl/>
        <w:shd w:val="clear"/>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671AA465">
      <w:pPr>
        <w:shd w:val="clear"/>
        <w:autoSpaceDE w:val="0"/>
        <w:autoSpaceDN w:val="0"/>
        <w:adjustRightInd w:val="0"/>
        <w:ind w:left="315" w:leftChars="150"/>
        <w:jc w:val="left"/>
        <w:rPr>
          <w:rFonts w:ascii="Times New Roman" w:hAnsi="Times New Roman" w:eastAsia="宋体" w:cs="Times New Roman"/>
          <w:kern w:val="0"/>
          <w:sz w:val="24"/>
          <w:szCs w:val="24"/>
        </w:rPr>
      </w:pPr>
    </w:p>
    <w:p w14:paraId="7854A310">
      <w:pPr>
        <w:shd w:val="clear"/>
        <w:autoSpaceDE w:val="0"/>
        <w:autoSpaceDN w:val="0"/>
        <w:adjustRightInd w:val="0"/>
        <w:ind w:left="315" w:leftChars="150"/>
        <w:jc w:val="left"/>
        <w:rPr>
          <w:rFonts w:ascii="Times New Roman" w:hAnsi="Times New Roman" w:eastAsia="宋体" w:cs="Times New Roman"/>
          <w:kern w:val="0"/>
          <w:sz w:val="24"/>
          <w:szCs w:val="24"/>
        </w:rPr>
      </w:pPr>
    </w:p>
    <w:p w14:paraId="4AE37F97">
      <w:pPr>
        <w:shd w:val="clear"/>
        <w:autoSpaceDE w:val="0"/>
        <w:autoSpaceDN w:val="0"/>
        <w:adjustRightInd w:val="0"/>
        <w:ind w:left="315" w:leftChars="150"/>
        <w:jc w:val="left"/>
        <w:rPr>
          <w:rFonts w:ascii="Times New Roman" w:hAnsi="Times New Roman" w:eastAsia="宋体" w:cs="Times New Roman"/>
          <w:kern w:val="0"/>
          <w:sz w:val="24"/>
          <w:szCs w:val="24"/>
        </w:rPr>
      </w:pPr>
    </w:p>
    <w:p w14:paraId="79509351">
      <w:pPr>
        <w:shd w:val="clear"/>
        <w:autoSpaceDE w:val="0"/>
        <w:autoSpaceDN w:val="0"/>
        <w:adjustRightInd w:val="0"/>
        <w:ind w:left="315" w:leftChars="150"/>
        <w:jc w:val="left"/>
        <w:rPr>
          <w:rFonts w:ascii="Times New Roman" w:hAnsi="Times New Roman" w:eastAsia="宋体" w:cs="Times New Roman"/>
          <w:kern w:val="0"/>
          <w:sz w:val="24"/>
          <w:szCs w:val="24"/>
        </w:rPr>
      </w:pPr>
    </w:p>
    <w:p w14:paraId="380E79E6">
      <w:pPr>
        <w:shd w:val="clear"/>
        <w:autoSpaceDE w:val="0"/>
        <w:autoSpaceDN w:val="0"/>
        <w:adjustRightInd w:val="0"/>
        <w:ind w:left="315" w:leftChars="150"/>
        <w:jc w:val="left"/>
        <w:rPr>
          <w:rFonts w:ascii="Times New Roman" w:hAnsi="Times New Roman" w:eastAsia="宋体" w:cs="Times New Roman"/>
          <w:kern w:val="0"/>
          <w:sz w:val="24"/>
          <w:szCs w:val="24"/>
        </w:rPr>
      </w:pPr>
    </w:p>
    <w:p w14:paraId="1B19999E">
      <w:pPr>
        <w:widowControl/>
        <w:shd w:val="clear"/>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br w:type="page"/>
      </w:r>
    </w:p>
    <w:p w14:paraId="4DDA6579">
      <w:pPr>
        <w:pStyle w:val="19"/>
        <w:keepNext w:val="0"/>
        <w:keepLines w:val="0"/>
        <w:pageBreakBefore w:val="0"/>
        <w:widowControl w:val="0"/>
        <w:shd w:val="clear"/>
        <w:kinsoku/>
        <w:wordWrap/>
        <w:overflowPunct/>
        <w:topLinePunct w:val="0"/>
        <w:autoSpaceDE w:val="0"/>
        <w:autoSpaceDN w:val="0"/>
        <w:bidi w:val="0"/>
        <w:adjustRightInd w:val="0"/>
        <w:snapToGrid/>
        <w:spacing w:line="64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第三部分</w:t>
      </w:r>
    </w:p>
    <w:p w14:paraId="7AEEABFE">
      <w:pPr>
        <w:pStyle w:val="19"/>
        <w:keepNext w:val="0"/>
        <w:keepLines w:val="0"/>
        <w:pageBreakBefore w:val="0"/>
        <w:widowControl w:val="0"/>
        <w:shd w:val="clear"/>
        <w:kinsoku/>
        <w:wordWrap/>
        <w:overflowPunct/>
        <w:topLinePunct w:val="0"/>
        <w:autoSpaceDE w:val="0"/>
        <w:autoSpaceDN w:val="0"/>
        <w:bidi w:val="0"/>
        <w:adjustRightInd w:val="0"/>
        <w:snapToGrid/>
        <w:spacing w:line="64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2025年度部门决算情况说明</w:t>
      </w:r>
    </w:p>
    <w:p w14:paraId="37D930B5">
      <w:pPr>
        <w:pStyle w:val="19"/>
        <w:keepNext w:val="0"/>
        <w:keepLines w:val="0"/>
        <w:pageBreakBefore w:val="0"/>
        <w:widowControl w:val="0"/>
        <w:shd w:val="clear"/>
        <w:kinsoku/>
        <w:wordWrap/>
        <w:overflowPunct/>
        <w:topLinePunct w:val="0"/>
        <w:autoSpaceDE w:val="0"/>
        <w:autoSpaceDN w:val="0"/>
        <w:bidi w:val="0"/>
        <w:adjustRightInd w:val="0"/>
        <w:snapToGrid/>
        <w:spacing w:line="64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5050A059">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151327.17</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28821.03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23</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.53</w:t>
      </w:r>
      <w:r>
        <w:rPr>
          <w:rFonts w:ascii="Times New Roman" w:hAnsi="Times New Roman" w:eastAsia="仿宋_GB2312" w:cs="Times New Roman"/>
          <w:color w:val="000000" w:themeColor="text1"/>
          <w:sz w:val="32"/>
          <w:szCs w:val="32"/>
          <w14:textFill>
            <w14:solidFill>
              <w14:schemeClr w14:val="tx1"/>
            </w14:solidFill>
          </w14:textFill>
        </w:rPr>
        <w:t>%，主要是因为</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年中追回项目资金较多，项目资金增加，对应的收入和支出相应增加</w:t>
      </w:r>
      <w:r>
        <w:rPr>
          <w:rFonts w:hint="eastAsia" w:ascii="Times New Roman" w:hAnsi="Times New Roman" w:eastAsia="仿宋_GB2312" w:cs="Times New Roman"/>
          <w:color w:val="000000" w:themeColor="text1"/>
          <w:sz w:val="32"/>
          <w:szCs w:val="32"/>
          <w14:textFill>
            <w14:solidFill>
              <w14:schemeClr w14:val="tx1"/>
            </w14:solidFill>
          </w14:textFill>
        </w:rPr>
        <w:t>。</w:t>
      </w:r>
    </w:p>
    <w:p w14:paraId="1E390879">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2E05084">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123297.59</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114766.26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93.08</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7752.01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6.29</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779.32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0.63</w:t>
      </w:r>
      <w:r>
        <w:rPr>
          <w:rFonts w:ascii="Times New Roman" w:hAnsi="Times New Roman" w:eastAsia="仿宋_GB2312" w:cs="Times New Roman"/>
          <w:sz w:val="32"/>
          <w:szCs w:val="32"/>
        </w:rPr>
        <w:t>%。</w:t>
      </w:r>
    </w:p>
    <w:p w14:paraId="2F2637F8">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A63CEE0">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125989.25</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36991.51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29.36</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88997.74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70.64</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421B7394">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6F10A33E">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ascii="Times New Roman" w:hAnsi="Times New Roman" w:eastAsia="仿宋_GB2312" w:cs="Times New Roman"/>
          <w:color w:val="0070C0"/>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140097.42</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37619.38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36.71</w:t>
      </w:r>
      <w:r>
        <w:rPr>
          <w:rFonts w:ascii="Times New Roman" w:hAnsi="Times New Roman" w:eastAsia="仿宋_GB2312" w:cs="Times New Roman"/>
          <w:sz w:val="32"/>
          <w:szCs w:val="32"/>
        </w:rPr>
        <w:t>%</w:t>
      </w:r>
      <w:r>
        <w:rPr>
          <w:rFonts w:ascii="Times New Roman" w:hAnsi="Times New Roman" w:eastAsia="仿宋_GB2312" w:cs="Times New Roman"/>
          <w:color w:val="000000" w:themeColor="text1"/>
          <w:sz w:val="32"/>
          <w:szCs w:val="32"/>
          <w14:textFill>
            <w14:solidFill>
              <w14:schemeClr w14:val="tx1"/>
            </w14:solidFill>
          </w14:textFill>
        </w:rPr>
        <w:t>，主要是因为因为</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年中追回项目资金较多，项目资金增加，对应的收入和支出相应增加。</w:t>
      </w:r>
    </w:p>
    <w:p w14:paraId="47C77471">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611EC226">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19F8A03F">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年度财政拨款支出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112737.89</w:t>
      </w:r>
      <w:r>
        <w:rPr>
          <w:rFonts w:ascii="Times New Roman" w:hAnsi="Times New Roman" w:eastAsia="仿宋_GB2312" w:cs="Times New Roman"/>
          <w:color w:val="000000" w:themeColor="text1"/>
          <w:sz w:val="32"/>
          <w:szCs w:val="32"/>
          <w14:textFill>
            <w14:solidFill>
              <w14:schemeClr w14:val="tx1"/>
            </w14:solidFill>
          </w14:textFill>
        </w:rPr>
        <w:t>万元，占本年支出合计的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91.45</w:t>
      </w:r>
      <w:r>
        <w:rPr>
          <w:rFonts w:ascii="Times New Roman" w:hAnsi="Times New Roman" w:eastAsia="仿宋_GB2312" w:cs="Times New Roman"/>
          <w:color w:val="000000" w:themeColor="text1"/>
          <w:sz w:val="32"/>
          <w:szCs w:val="32"/>
          <w14:textFill>
            <w14:solidFill>
              <w14:schemeClr w14:val="tx1"/>
            </w14:solidFill>
          </w14:textFill>
        </w:rPr>
        <w:t>%，与上年相比，财政拨款支出增加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35474.39</w:t>
      </w:r>
      <w:r>
        <w:rPr>
          <w:rFonts w:ascii="Times New Roman" w:hAnsi="Times New Roman" w:eastAsia="仿宋_GB2312" w:cs="Times New Roman"/>
          <w:color w:val="000000" w:themeColor="text1"/>
          <w:sz w:val="32"/>
          <w:szCs w:val="32"/>
          <w14:textFill>
            <w14:solidFill>
              <w14:schemeClr w14:val="tx1"/>
            </w14:solidFill>
          </w14:textFill>
        </w:rPr>
        <w:t>万元，增长</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45.91</w:t>
      </w:r>
      <w:r>
        <w:rPr>
          <w:rFonts w:ascii="Times New Roman" w:hAnsi="Times New Roman" w:eastAsia="仿宋_GB2312" w:cs="Times New Roman"/>
          <w:color w:val="000000" w:themeColor="text1"/>
          <w:sz w:val="32"/>
          <w:szCs w:val="32"/>
          <w14:textFill>
            <w14:solidFill>
              <w14:schemeClr w14:val="tx1"/>
            </w14:solidFill>
          </w14:textFill>
        </w:rPr>
        <w:t>%，主要是因为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2025年省文化和旅游发展专项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资金增加。</w:t>
      </w:r>
    </w:p>
    <w:p w14:paraId="50DD3E35">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13BBE839">
      <w:pPr>
        <w:keepNext w:val="0"/>
        <w:keepLines w:val="0"/>
        <w:pageBreakBefore w:val="0"/>
        <w:kinsoku/>
        <w:wordWrap/>
        <w:topLinePunct w:val="0"/>
        <w:bidi w:val="0"/>
        <w:snapToGrid/>
        <w:spacing w:line="520" w:lineRule="exact"/>
        <w:ind w:left="0" w:right="0" w:firstLine="642"/>
        <w:jc w:val="both"/>
        <w:textAlignment w:val="auto"/>
        <w:rPr>
          <w:rFonts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2025年</w:t>
      </w:r>
      <w:r>
        <w:rPr>
          <w:rFonts w:ascii="Times New Roman" w:hAnsi="Times New Roman" w:eastAsia="仿宋_GB2312" w:cs="Times New Roman"/>
          <w:color w:val="000000"/>
          <w:kern w:val="0"/>
          <w:sz w:val="32"/>
          <w:szCs w:val="32"/>
          <w:lang w:val="en-US" w:eastAsia="zh-CN" w:bidi="ar-SA"/>
        </w:rPr>
        <w:t>度财政拨款支出</w:t>
      </w:r>
      <w:r>
        <w:rPr>
          <w:rFonts w:hint="eastAsia" w:ascii="Times New Roman" w:hAnsi="Times New Roman" w:eastAsia="仿宋_GB2312" w:cs="Times New Roman"/>
          <w:color w:val="000000"/>
          <w:kern w:val="0"/>
          <w:sz w:val="32"/>
          <w:szCs w:val="32"/>
          <w:lang w:val="en-US" w:eastAsia="zh-CN" w:bidi="ar-SA"/>
        </w:rPr>
        <w:t>112737.89</w:t>
      </w:r>
      <w:r>
        <w:rPr>
          <w:rFonts w:ascii="Times New Roman" w:hAnsi="Times New Roman" w:eastAsia="仿宋_GB2312" w:cs="Times New Roman"/>
          <w:color w:val="000000"/>
          <w:kern w:val="0"/>
          <w:sz w:val="32"/>
          <w:szCs w:val="32"/>
          <w:lang w:val="en-US" w:eastAsia="zh-CN" w:bidi="ar-SA"/>
        </w:rPr>
        <w:t xml:space="preserve">万元，主要用于以下方面：一般公共服务（类）支出 </w:t>
      </w:r>
      <w:r>
        <w:rPr>
          <w:rFonts w:hint="eastAsia" w:ascii="Times New Roman" w:hAnsi="Times New Roman" w:eastAsia="仿宋_GB2312" w:cs="Times New Roman"/>
          <w:color w:val="000000"/>
          <w:kern w:val="0"/>
          <w:sz w:val="32"/>
          <w:szCs w:val="32"/>
          <w:lang w:val="en-US" w:eastAsia="zh-CN" w:bidi="ar-SA"/>
        </w:rPr>
        <w:t>194.24</w:t>
      </w:r>
      <w:r>
        <w:rPr>
          <w:rFonts w:ascii="Times New Roman" w:hAnsi="Times New Roman" w:eastAsia="仿宋_GB2312" w:cs="Times New Roman"/>
          <w:color w:val="000000"/>
          <w:kern w:val="0"/>
          <w:sz w:val="32"/>
          <w:szCs w:val="32"/>
          <w:lang w:val="en-US" w:eastAsia="zh-CN" w:bidi="ar-SA"/>
        </w:rPr>
        <w:t xml:space="preserve"> 万元， 占 </w:t>
      </w:r>
      <w:r>
        <w:rPr>
          <w:rFonts w:hint="eastAsia" w:ascii="Times New Roman" w:hAnsi="Times New Roman" w:eastAsia="仿宋_GB2312" w:cs="Times New Roman"/>
          <w:color w:val="000000"/>
          <w:kern w:val="0"/>
          <w:sz w:val="32"/>
          <w:szCs w:val="32"/>
          <w:lang w:val="en-US" w:eastAsia="zh-CN" w:bidi="ar-SA"/>
        </w:rPr>
        <w:t>0.17</w:t>
      </w:r>
      <w:r>
        <w:rPr>
          <w:rFonts w:ascii="Times New Roman" w:hAnsi="Times New Roman" w:eastAsia="仿宋_GB2312" w:cs="Times New Roman"/>
          <w:color w:val="000000"/>
          <w:kern w:val="0"/>
          <w:sz w:val="32"/>
          <w:szCs w:val="32"/>
          <w:lang w:val="en-US" w:eastAsia="zh-CN" w:bidi="ar-SA"/>
        </w:rPr>
        <w:t>%；教育（类）支出</w:t>
      </w:r>
      <w:r>
        <w:rPr>
          <w:rFonts w:hint="eastAsia" w:ascii="Times New Roman" w:hAnsi="Times New Roman" w:eastAsia="仿宋_GB2312" w:cs="Times New Roman"/>
          <w:color w:val="000000"/>
          <w:kern w:val="0"/>
          <w:sz w:val="32"/>
          <w:szCs w:val="32"/>
          <w:lang w:val="en-US" w:eastAsia="zh-CN" w:bidi="ar-SA"/>
        </w:rPr>
        <w:t>512.49</w:t>
      </w:r>
      <w:r>
        <w:rPr>
          <w:rFonts w:ascii="Times New Roman" w:hAnsi="Times New Roman" w:eastAsia="仿宋_GB2312" w:cs="Times New Roman"/>
          <w:color w:val="000000"/>
          <w:kern w:val="0"/>
          <w:sz w:val="32"/>
          <w:szCs w:val="32"/>
          <w:lang w:val="en-US" w:eastAsia="zh-CN" w:bidi="ar-SA"/>
        </w:rPr>
        <w:t>万元，占</w:t>
      </w:r>
      <w:r>
        <w:rPr>
          <w:rFonts w:hint="eastAsia" w:ascii="Times New Roman" w:hAnsi="Times New Roman" w:eastAsia="仿宋_GB2312" w:cs="Times New Roman"/>
          <w:color w:val="000000"/>
          <w:kern w:val="0"/>
          <w:sz w:val="32"/>
          <w:szCs w:val="32"/>
          <w:lang w:val="en-US" w:eastAsia="zh-CN" w:bidi="ar-SA"/>
        </w:rPr>
        <w:t>0.46</w:t>
      </w:r>
      <w:r>
        <w:rPr>
          <w:rFonts w:ascii="Times New Roman" w:hAnsi="Times New Roman" w:eastAsia="仿宋_GB2312" w:cs="Times New Roman"/>
          <w:color w:val="000000"/>
          <w:kern w:val="0"/>
          <w:sz w:val="32"/>
          <w:szCs w:val="32"/>
          <w:lang w:val="en-US" w:eastAsia="zh-CN" w:bidi="ar-SA"/>
        </w:rPr>
        <w:t>%；科学技术（类）支出</w:t>
      </w:r>
      <w:r>
        <w:rPr>
          <w:rFonts w:hint="eastAsia" w:ascii="Times New Roman" w:hAnsi="Times New Roman" w:eastAsia="仿宋_GB2312" w:cs="Times New Roman"/>
          <w:color w:val="000000"/>
          <w:kern w:val="0"/>
          <w:sz w:val="32"/>
          <w:szCs w:val="32"/>
          <w:lang w:val="en-US" w:eastAsia="zh-CN" w:bidi="ar-SA"/>
        </w:rPr>
        <w:t>35.41</w:t>
      </w:r>
      <w:r>
        <w:rPr>
          <w:rFonts w:ascii="Times New Roman" w:hAnsi="Times New Roman" w:eastAsia="仿宋_GB2312" w:cs="Times New Roman"/>
          <w:color w:val="000000"/>
          <w:kern w:val="0"/>
          <w:sz w:val="32"/>
          <w:szCs w:val="32"/>
          <w:lang w:val="en-US" w:eastAsia="zh-CN" w:bidi="ar-SA"/>
        </w:rPr>
        <w:t xml:space="preserve"> 万元， 占 </w:t>
      </w:r>
      <w:r>
        <w:rPr>
          <w:rFonts w:hint="eastAsia" w:ascii="Times New Roman" w:hAnsi="Times New Roman" w:eastAsia="仿宋_GB2312" w:cs="Times New Roman"/>
          <w:color w:val="000000"/>
          <w:kern w:val="0"/>
          <w:sz w:val="32"/>
          <w:szCs w:val="32"/>
          <w:lang w:val="en-US" w:eastAsia="zh-CN" w:bidi="ar-SA"/>
        </w:rPr>
        <w:t>0.03</w:t>
      </w:r>
      <w:r>
        <w:rPr>
          <w:rFonts w:ascii="Times New Roman" w:hAnsi="Times New Roman" w:eastAsia="仿宋_GB2312" w:cs="Times New Roman"/>
          <w:color w:val="000000"/>
          <w:kern w:val="0"/>
          <w:sz w:val="32"/>
          <w:szCs w:val="32"/>
          <w:lang w:val="en-US" w:eastAsia="zh-CN" w:bidi="ar-SA"/>
        </w:rPr>
        <w:t>%；文化旅游体育与传媒（类）支出</w:t>
      </w:r>
      <w:r>
        <w:rPr>
          <w:rFonts w:hint="eastAsia" w:ascii="Times New Roman" w:hAnsi="Times New Roman" w:eastAsia="仿宋_GB2312" w:cs="Times New Roman"/>
          <w:color w:val="000000"/>
          <w:kern w:val="0"/>
          <w:sz w:val="32"/>
          <w:szCs w:val="32"/>
          <w:lang w:val="en-US" w:eastAsia="zh-CN" w:bidi="ar-SA"/>
        </w:rPr>
        <w:t>103258.94</w:t>
      </w:r>
      <w:r>
        <w:rPr>
          <w:rFonts w:ascii="Times New Roman" w:hAnsi="Times New Roman" w:eastAsia="仿宋_GB2312" w:cs="Times New Roman"/>
          <w:color w:val="000000"/>
          <w:kern w:val="0"/>
          <w:sz w:val="32"/>
          <w:szCs w:val="32"/>
          <w:lang w:val="en-US" w:eastAsia="zh-CN" w:bidi="ar-SA"/>
        </w:rPr>
        <w:t>万元， 占</w:t>
      </w:r>
      <w:r>
        <w:rPr>
          <w:rFonts w:hint="eastAsia" w:ascii="Times New Roman" w:hAnsi="Times New Roman" w:eastAsia="仿宋_GB2312" w:cs="Times New Roman"/>
          <w:color w:val="000000"/>
          <w:kern w:val="0"/>
          <w:sz w:val="32"/>
          <w:szCs w:val="32"/>
          <w:lang w:val="en-US" w:eastAsia="zh-CN" w:bidi="ar-SA"/>
        </w:rPr>
        <w:t>91.59</w:t>
      </w:r>
      <w:r>
        <w:rPr>
          <w:rFonts w:ascii="Times New Roman" w:hAnsi="Times New Roman" w:eastAsia="仿宋_GB2312" w:cs="Times New Roman"/>
          <w:color w:val="000000"/>
          <w:kern w:val="0"/>
          <w:sz w:val="32"/>
          <w:szCs w:val="32"/>
          <w:lang w:val="en-US" w:eastAsia="zh-CN" w:bidi="ar-SA"/>
        </w:rPr>
        <w:t xml:space="preserve">%；社会保障和就业（类） 支出 </w:t>
      </w:r>
      <w:r>
        <w:rPr>
          <w:rFonts w:hint="eastAsia" w:ascii="Times New Roman" w:hAnsi="Times New Roman" w:eastAsia="仿宋_GB2312" w:cs="Times New Roman"/>
          <w:color w:val="000000"/>
          <w:kern w:val="0"/>
          <w:sz w:val="32"/>
          <w:szCs w:val="32"/>
          <w:lang w:val="en-US" w:eastAsia="zh-CN" w:bidi="ar-SA"/>
        </w:rPr>
        <w:t>5247.91</w:t>
      </w:r>
      <w:r>
        <w:rPr>
          <w:rFonts w:ascii="Times New Roman" w:hAnsi="Times New Roman" w:eastAsia="仿宋_GB2312" w:cs="Times New Roman"/>
          <w:color w:val="000000"/>
          <w:kern w:val="0"/>
          <w:sz w:val="32"/>
          <w:szCs w:val="32"/>
          <w:lang w:val="en-US" w:eastAsia="zh-CN" w:bidi="ar-SA"/>
        </w:rPr>
        <w:t xml:space="preserve">万元， 占 </w:t>
      </w:r>
      <w:r>
        <w:rPr>
          <w:rFonts w:hint="eastAsia" w:ascii="Times New Roman" w:hAnsi="Times New Roman" w:eastAsia="仿宋_GB2312" w:cs="Times New Roman"/>
          <w:color w:val="000000"/>
          <w:kern w:val="0"/>
          <w:sz w:val="32"/>
          <w:szCs w:val="32"/>
          <w:lang w:val="en-US" w:eastAsia="zh-CN" w:bidi="ar-SA"/>
        </w:rPr>
        <w:t>4.66</w:t>
      </w:r>
      <w:r>
        <w:rPr>
          <w:rFonts w:ascii="Times New Roman" w:hAnsi="Times New Roman" w:eastAsia="仿宋_GB2312" w:cs="Times New Roman"/>
          <w:color w:val="000000"/>
          <w:kern w:val="0"/>
          <w:sz w:val="32"/>
          <w:szCs w:val="32"/>
          <w:lang w:val="en-US" w:eastAsia="zh-CN" w:bidi="ar-SA"/>
        </w:rPr>
        <w:t>%；卫生健康（类）支出</w:t>
      </w:r>
      <w:r>
        <w:rPr>
          <w:rFonts w:hint="eastAsia" w:ascii="Times New Roman" w:hAnsi="Times New Roman" w:eastAsia="仿宋_GB2312" w:cs="Times New Roman"/>
          <w:color w:val="000000"/>
          <w:kern w:val="0"/>
          <w:sz w:val="32"/>
          <w:szCs w:val="32"/>
          <w:lang w:val="en-US" w:eastAsia="zh-CN" w:bidi="ar-SA"/>
        </w:rPr>
        <w:t>354.57</w:t>
      </w:r>
      <w:r>
        <w:rPr>
          <w:rFonts w:ascii="Times New Roman" w:hAnsi="Times New Roman" w:eastAsia="仿宋_GB2312" w:cs="Times New Roman"/>
          <w:color w:val="000000"/>
          <w:kern w:val="0"/>
          <w:sz w:val="32"/>
          <w:szCs w:val="32"/>
          <w:lang w:val="en-US" w:eastAsia="zh-CN" w:bidi="ar-SA"/>
        </w:rPr>
        <w:t>万元，占</w:t>
      </w:r>
      <w:r>
        <w:rPr>
          <w:rFonts w:hint="eastAsia" w:ascii="Times New Roman" w:hAnsi="Times New Roman" w:eastAsia="仿宋_GB2312" w:cs="Times New Roman"/>
          <w:color w:val="000000"/>
          <w:kern w:val="0"/>
          <w:sz w:val="32"/>
          <w:szCs w:val="32"/>
          <w:lang w:val="en-US" w:eastAsia="zh-CN" w:bidi="ar-SA"/>
        </w:rPr>
        <w:t>0.31</w:t>
      </w:r>
      <w:r>
        <w:rPr>
          <w:rFonts w:ascii="Times New Roman" w:hAnsi="Times New Roman" w:eastAsia="仿宋_GB2312" w:cs="Times New Roman"/>
          <w:color w:val="000000"/>
          <w:kern w:val="0"/>
          <w:sz w:val="32"/>
          <w:szCs w:val="32"/>
          <w:lang w:val="en-US" w:eastAsia="zh-CN" w:bidi="ar-SA"/>
        </w:rPr>
        <w:t xml:space="preserve">%；住房保障（类）支出 </w:t>
      </w:r>
      <w:r>
        <w:rPr>
          <w:rFonts w:hint="eastAsia" w:ascii="Times New Roman" w:hAnsi="Times New Roman" w:eastAsia="仿宋_GB2312" w:cs="Times New Roman"/>
          <w:color w:val="000000"/>
          <w:kern w:val="0"/>
          <w:sz w:val="32"/>
          <w:szCs w:val="32"/>
          <w:lang w:val="en-US" w:eastAsia="zh-CN" w:bidi="ar-SA"/>
        </w:rPr>
        <w:t>3134.33</w:t>
      </w:r>
      <w:r>
        <w:rPr>
          <w:rFonts w:ascii="Times New Roman" w:hAnsi="Times New Roman" w:eastAsia="仿宋_GB2312" w:cs="Times New Roman"/>
          <w:color w:val="000000"/>
          <w:kern w:val="0"/>
          <w:sz w:val="32"/>
          <w:szCs w:val="32"/>
          <w:lang w:val="en-US" w:eastAsia="zh-CN" w:bidi="ar-SA"/>
        </w:rPr>
        <w:t xml:space="preserve">万元，占 </w:t>
      </w:r>
      <w:r>
        <w:rPr>
          <w:rFonts w:hint="eastAsia" w:ascii="Times New Roman" w:hAnsi="Times New Roman" w:eastAsia="仿宋_GB2312" w:cs="Times New Roman"/>
          <w:color w:val="000000"/>
          <w:kern w:val="0"/>
          <w:sz w:val="32"/>
          <w:szCs w:val="32"/>
          <w:lang w:val="en-US" w:eastAsia="zh-CN" w:bidi="ar-SA"/>
        </w:rPr>
        <w:t>2.78</w:t>
      </w:r>
      <w:r>
        <w:rPr>
          <w:rFonts w:ascii="Times New Roman" w:hAnsi="Times New Roman" w:eastAsia="仿宋_GB2312" w:cs="Times New Roman"/>
          <w:color w:val="000000"/>
          <w:kern w:val="0"/>
          <w:sz w:val="32"/>
          <w:szCs w:val="32"/>
          <w:lang w:val="en-US" w:eastAsia="zh-CN" w:bidi="ar-SA"/>
        </w:rPr>
        <w:t>%。</w:t>
      </w:r>
    </w:p>
    <w:p w14:paraId="49CA6383">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769A0C77">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2025年度财政拨款支出年初</w:t>
      </w:r>
      <w:r>
        <w:rPr>
          <w:rFonts w:hint="eastAsia" w:ascii="仿宋_GB2312" w:hAnsi="仿宋_GB2312" w:eastAsia="仿宋_GB2312" w:cs="仿宋_GB2312"/>
          <w:color w:val="auto"/>
          <w:sz w:val="32"/>
          <w:szCs w:val="32"/>
        </w:rPr>
        <w:t>预算数为</w:t>
      </w:r>
      <w:r>
        <w:rPr>
          <w:rFonts w:hint="eastAsia" w:ascii="仿宋_GB2312" w:hAnsi="仿宋_GB2312" w:eastAsia="仿宋_GB2312" w:cs="仿宋_GB2312"/>
          <w:color w:val="auto"/>
          <w:sz w:val="32"/>
          <w:szCs w:val="32"/>
          <w:lang w:val="en-US" w:eastAsia="zh-CN"/>
        </w:rPr>
        <w:t>78951.29</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sz w:val="32"/>
          <w:szCs w:val="32"/>
        </w:rPr>
        <w:t>，支出决算数为</w:t>
      </w:r>
      <w:r>
        <w:rPr>
          <w:rFonts w:hint="eastAsia" w:ascii="仿宋_GB2312" w:hAnsi="仿宋_GB2312" w:eastAsia="仿宋_GB2312" w:cs="仿宋_GB2312"/>
          <w:sz w:val="32"/>
          <w:szCs w:val="32"/>
          <w:lang w:val="en-US" w:eastAsia="zh-CN"/>
        </w:rPr>
        <w:t>112737.89</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142.79</w:t>
      </w:r>
      <w:r>
        <w:rPr>
          <w:rFonts w:hint="eastAsia" w:ascii="仿宋_GB2312" w:hAnsi="仿宋_GB2312" w:eastAsia="仿宋_GB2312" w:cs="仿宋_GB2312"/>
          <w:sz w:val="32"/>
          <w:szCs w:val="32"/>
        </w:rPr>
        <w:t>%，其中：</w:t>
      </w:r>
    </w:p>
    <w:p w14:paraId="3E2761C4">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1、一般公共服务（类）</w:t>
      </w:r>
      <w:r>
        <w:rPr>
          <w:rFonts w:hint="eastAsia" w:ascii="仿宋_GB2312" w:hAnsi="仿宋_GB2312" w:eastAsia="仿宋_GB2312" w:cs="仿宋_GB2312"/>
          <w:color w:val="auto"/>
          <w:sz w:val="32"/>
          <w:szCs w:val="32"/>
          <w:highlight w:val="none"/>
          <w:lang w:eastAsia="zh-CN"/>
        </w:rPr>
        <w:t>民族事务（款）民族工作</w:t>
      </w:r>
      <w:r>
        <w:rPr>
          <w:rFonts w:hint="eastAsia" w:ascii="仿宋_GB2312" w:hAnsi="仿宋_GB2312" w:eastAsia="仿宋_GB2312" w:cs="仿宋_GB2312"/>
          <w:color w:val="auto"/>
          <w:sz w:val="32"/>
          <w:szCs w:val="32"/>
          <w:highlight w:val="none"/>
        </w:rPr>
        <w:t>（项）。</w:t>
      </w:r>
    </w:p>
    <w:p w14:paraId="686C7AA8">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年初预算为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万元，支出决算为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0.09</w:t>
      </w:r>
      <w:r>
        <w:rPr>
          <w:rFonts w:hint="eastAsia" w:ascii="仿宋_GB2312" w:hAnsi="仿宋_GB2312" w:eastAsia="仿宋_GB2312" w:cs="仿宋_GB2312"/>
          <w:color w:val="000000" w:themeColor="text1"/>
          <w:sz w:val="32"/>
          <w:szCs w:val="32"/>
          <w14:textFill>
            <w14:solidFill>
              <w14:schemeClr w14:val="tx1"/>
            </w14:solidFill>
          </w14:textFill>
        </w:rPr>
        <w:t>万元，决算数大于年初预算数的主要原因是：</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年初无预算，年中财政追加新增项目资金。</w:t>
      </w:r>
    </w:p>
    <w:p w14:paraId="53645F6B">
      <w:pPr>
        <w:pStyle w:val="19"/>
        <w:keepNext w:val="0"/>
        <w:keepLines w:val="0"/>
        <w:pageBreakBefore w:val="0"/>
        <w:numPr>
          <w:ilvl w:val="0"/>
          <w:numId w:val="1"/>
        </w:numPr>
        <w:shd w:val="clear"/>
        <w:kinsoku/>
        <w:wordWrap/>
        <w:overflowPunct w:val="0"/>
        <w:topLinePunct w:val="0"/>
        <w:autoSpaceDE/>
        <w:autoSpaceDN/>
        <w:bidi w:val="0"/>
        <w:snapToGrid/>
        <w:spacing w:line="520" w:lineRule="exact"/>
        <w:ind w:left="0" w:right="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一般公共服务（类）</w:t>
      </w:r>
      <w:r>
        <w:rPr>
          <w:rFonts w:hint="eastAsia" w:ascii="仿宋_GB2312" w:hAnsi="仿宋_GB2312" w:eastAsia="仿宋_GB2312" w:cs="仿宋_GB2312"/>
          <w:color w:val="auto"/>
          <w:sz w:val="32"/>
          <w:szCs w:val="32"/>
          <w:highlight w:val="none"/>
          <w:lang w:eastAsia="zh-CN"/>
        </w:rPr>
        <w:t>宣传事务（款）行政运行（项）。</w:t>
      </w:r>
    </w:p>
    <w:p w14:paraId="33E75C48">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themeColor="text1"/>
          <w:sz w:val="32"/>
          <w:szCs w:val="32"/>
          <w14:textFill>
            <w14:solidFill>
              <w14:schemeClr w14:val="tx1"/>
            </w14:solidFill>
          </w14:textFill>
        </w:rPr>
        <w:t>年初预算为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万元，支出决算为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193.27</w:t>
      </w:r>
      <w:r>
        <w:rPr>
          <w:rFonts w:hint="eastAsia" w:ascii="仿宋_GB2312" w:hAnsi="仿宋_GB2312" w:eastAsia="仿宋_GB2312" w:cs="仿宋_GB2312"/>
          <w:color w:val="000000" w:themeColor="text1"/>
          <w:sz w:val="32"/>
          <w:szCs w:val="32"/>
          <w14:textFill>
            <w14:solidFill>
              <w14:schemeClr w14:val="tx1"/>
            </w14:solidFill>
          </w14:textFill>
        </w:rPr>
        <w:t>万元，决算数大于年初预算数的主要原因是：</w:t>
      </w:r>
      <w:r>
        <w:rPr>
          <w:rFonts w:hint="eastAsia" w:ascii="仿宋_GB2312" w:hAnsi="仿宋_GB2312" w:eastAsia="仿宋_GB2312" w:cs="仿宋_GB2312"/>
          <w:color w:val="auto"/>
          <w:sz w:val="32"/>
          <w:szCs w:val="32"/>
          <w:lang w:val="en-US" w:eastAsia="zh-CN"/>
        </w:rPr>
        <w:t>年初无预算，年中财政追加新增项目资金。</w:t>
      </w:r>
    </w:p>
    <w:p w14:paraId="2AF2A3FE">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、一般公共服务（类）</w:t>
      </w:r>
      <w:r>
        <w:rPr>
          <w:rFonts w:hint="eastAsia" w:ascii="仿宋_GB2312" w:hAnsi="仿宋_GB2312" w:eastAsia="仿宋_GB2312" w:cs="仿宋_GB2312"/>
          <w:color w:val="auto"/>
          <w:sz w:val="32"/>
          <w:szCs w:val="32"/>
          <w:highlight w:val="none"/>
          <w:lang w:eastAsia="zh-CN"/>
        </w:rPr>
        <w:t>其他共产党事务支出</w:t>
      </w:r>
      <w:r>
        <w:rPr>
          <w:rFonts w:hint="eastAsia" w:ascii="仿宋_GB2312" w:hAnsi="仿宋_GB2312" w:eastAsia="仿宋_GB2312" w:cs="仿宋_GB2312"/>
          <w:color w:val="auto"/>
          <w:sz w:val="32"/>
          <w:szCs w:val="32"/>
          <w:highlight w:val="none"/>
        </w:rPr>
        <w:t>（款）</w:t>
      </w:r>
      <w:r>
        <w:rPr>
          <w:rFonts w:hint="eastAsia" w:ascii="仿宋_GB2312" w:hAnsi="仿宋_GB2312" w:eastAsia="仿宋_GB2312" w:cs="仿宋_GB2312"/>
          <w:color w:val="auto"/>
          <w:sz w:val="32"/>
          <w:szCs w:val="32"/>
          <w:highlight w:val="none"/>
          <w:lang w:eastAsia="zh-CN"/>
        </w:rPr>
        <w:t>一般行政管理事务</w:t>
      </w:r>
      <w:r>
        <w:rPr>
          <w:rFonts w:hint="eastAsia" w:ascii="仿宋_GB2312" w:hAnsi="仿宋_GB2312" w:eastAsia="仿宋_GB2312" w:cs="仿宋_GB2312"/>
          <w:color w:val="auto"/>
          <w:sz w:val="32"/>
          <w:szCs w:val="32"/>
          <w:highlight w:val="none"/>
        </w:rPr>
        <w:t>（项）。</w:t>
      </w:r>
    </w:p>
    <w:p w14:paraId="40686316">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hint="eastAsia" w:ascii="仿宋_GB2312" w:hAnsi="仿宋_GB2312" w:eastAsia="仿宋_GB2312" w:cs="仿宋_GB2312"/>
          <w:spacing w:val="-2"/>
          <w:sz w:val="31"/>
          <w:szCs w:val="31"/>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0.89</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89</w:t>
      </w:r>
      <w:r>
        <w:rPr>
          <w:rFonts w:hint="eastAsia" w:ascii="仿宋_GB2312" w:hAnsi="仿宋_GB2312" w:eastAsia="仿宋_GB2312" w:cs="仿宋_GB2312"/>
          <w:sz w:val="32"/>
          <w:szCs w:val="32"/>
        </w:rPr>
        <w:t>%，决算数小于年初预算数的主要原因是：</w:t>
      </w:r>
      <w:r>
        <w:rPr>
          <w:rFonts w:hint="eastAsia" w:ascii="仿宋_GB2312" w:hAnsi="仿宋_GB2312" w:eastAsia="仿宋_GB2312" w:cs="仿宋_GB2312"/>
          <w:spacing w:val="7"/>
          <w:sz w:val="31"/>
          <w:szCs w:val="31"/>
        </w:rPr>
        <w:t>基本按</w:t>
      </w:r>
      <w:r>
        <w:rPr>
          <w:rFonts w:hint="eastAsia" w:ascii="仿宋_GB2312" w:hAnsi="仿宋_GB2312" w:eastAsia="仿宋_GB2312" w:cs="仿宋_GB2312"/>
          <w:spacing w:val="-2"/>
          <w:sz w:val="31"/>
          <w:szCs w:val="31"/>
        </w:rPr>
        <w:t>照预算执行</w:t>
      </w:r>
      <w:r>
        <w:rPr>
          <w:rFonts w:hint="eastAsia" w:ascii="仿宋_GB2312" w:hAnsi="仿宋_GB2312" w:eastAsia="仿宋_GB2312" w:cs="仿宋_GB2312"/>
          <w:spacing w:val="-2"/>
          <w:sz w:val="31"/>
          <w:szCs w:val="31"/>
          <w:lang w:eastAsia="zh-CN"/>
        </w:rPr>
        <w:t>。</w:t>
      </w:r>
    </w:p>
    <w:p w14:paraId="3C5514B1">
      <w:pPr>
        <w:pStyle w:val="19"/>
        <w:keepNext w:val="0"/>
        <w:keepLines w:val="0"/>
        <w:pageBreakBefore w:val="0"/>
        <w:numPr>
          <w:ilvl w:val="0"/>
          <w:numId w:val="0"/>
        </w:numPr>
        <w:shd w:val="clear"/>
        <w:kinsoku/>
        <w:wordWrap/>
        <w:overflowPunct w:val="0"/>
        <w:topLinePunct w:val="0"/>
        <w:autoSpaceDE/>
        <w:autoSpaceDN/>
        <w:bidi w:val="0"/>
        <w:snapToGrid/>
        <w:spacing w:line="520" w:lineRule="exact"/>
        <w:ind w:left="0" w:leftChars="0" w:right="0" w:firstLine="639" w:firstLineChars="225"/>
        <w:jc w:val="both"/>
        <w:textAlignment w:val="auto"/>
        <w:rPr>
          <w:rFonts w:hint="eastAsia" w:ascii="仿宋_GB2312" w:hAnsi="仿宋_GB2312" w:eastAsia="仿宋_GB2312" w:cs="仿宋_GB2312"/>
          <w:spacing w:val="-13"/>
          <w:sz w:val="31"/>
          <w:szCs w:val="31"/>
        </w:rPr>
      </w:pPr>
      <w:r>
        <w:rPr>
          <w:rFonts w:hint="eastAsia" w:ascii="仿宋_GB2312" w:hAnsi="仿宋_GB2312" w:eastAsia="仿宋_GB2312" w:cs="仿宋_GB2312"/>
          <w:spacing w:val="-13"/>
          <w:sz w:val="31"/>
          <w:szCs w:val="31"/>
          <w:lang w:val="en-US" w:eastAsia="zh-CN"/>
        </w:rPr>
        <w:t>4、</w:t>
      </w:r>
      <w:r>
        <w:rPr>
          <w:rFonts w:hint="eastAsia" w:ascii="仿宋_GB2312" w:hAnsi="仿宋_GB2312" w:eastAsia="仿宋_GB2312" w:cs="仿宋_GB2312"/>
          <w:spacing w:val="-13"/>
          <w:sz w:val="31"/>
          <w:szCs w:val="31"/>
          <w:lang w:eastAsia="zh-CN"/>
        </w:rPr>
        <w:t>教育支出</w:t>
      </w:r>
      <w:r>
        <w:rPr>
          <w:rFonts w:hint="eastAsia" w:ascii="仿宋_GB2312" w:hAnsi="仿宋_GB2312" w:eastAsia="仿宋_GB2312" w:cs="仿宋_GB2312"/>
          <w:spacing w:val="-13"/>
          <w:sz w:val="31"/>
          <w:szCs w:val="31"/>
        </w:rPr>
        <w:t>（类）</w:t>
      </w:r>
      <w:r>
        <w:rPr>
          <w:rFonts w:hint="eastAsia" w:ascii="仿宋_GB2312" w:hAnsi="仿宋_GB2312" w:eastAsia="仿宋_GB2312" w:cs="仿宋_GB2312"/>
          <w:spacing w:val="-13"/>
          <w:sz w:val="31"/>
          <w:szCs w:val="31"/>
          <w:lang w:eastAsia="zh-CN"/>
        </w:rPr>
        <w:t>普通教育</w:t>
      </w:r>
      <w:r>
        <w:rPr>
          <w:rFonts w:hint="eastAsia" w:ascii="仿宋_GB2312" w:hAnsi="仿宋_GB2312" w:eastAsia="仿宋_GB2312" w:cs="仿宋_GB2312"/>
          <w:spacing w:val="-13"/>
          <w:sz w:val="31"/>
          <w:szCs w:val="31"/>
        </w:rPr>
        <w:t>（款）</w:t>
      </w:r>
      <w:r>
        <w:rPr>
          <w:rFonts w:hint="eastAsia" w:ascii="仿宋_GB2312" w:hAnsi="仿宋_GB2312" w:eastAsia="仿宋_GB2312" w:cs="仿宋_GB2312"/>
          <w:spacing w:val="-13"/>
          <w:sz w:val="31"/>
          <w:szCs w:val="31"/>
          <w:lang w:eastAsia="zh-CN"/>
        </w:rPr>
        <w:t>学前教育</w:t>
      </w:r>
      <w:r>
        <w:rPr>
          <w:rFonts w:hint="eastAsia" w:ascii="仿宋_GB2312" w:hAnsi="仿宋_GB2312" w:eastAsia="仿宋_GB2312" w:cs="仿宋_GB2312"/>
          <w:spacing w:val="-13"/>
          <w:sz w:val="31"/>
          <w:szCs w:val="31"/>
        </w:rPr>
        <w:t>（项）。</w:t>
      </w:r>
    </w:p>
    <w:p w14:paraId="3300A849">
      <w:pPr>
        <w:keepNext w:val="0"/>
        <w:keepLines w:val="0"/>
        <w:pageBreakBefore w:val="0"/>
        <w:shd w:val="clear"/>
        <w:kinsoku/>
        <w:wordWrap/>
        <w:topLinePunct w:val="0"/>
        <w:bidi w:val="0"/>
        <w:snapToGrid/>
        <w:spacing w:line="520" w:lineRule="exact"/>
        <w:ind w:left="0" w:right="0" w:firstLine="644"/>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199</w:t>
      </w:r>
      <w:r>
        <w:rPr>
          <w:rFonts w:hint="eastAsia" w:ascii="仿宋_GB2312" w:hAnsi="仿宋_GB2312" w:eastAsia="仿宋_GB2312" w:cs="仿宋_GB2312"/>
          <w:sz w:val="32"/>
          <w:szCs w:val="32"/>
        </w:rPr>
        <w:t>万元，支出决</w:t>
      </w:r>
      <w:r>
        <w:rPr>
          <w:rFonts w:hint="eastAsia" w:ascii="仿宋_GB2312" w:hAnsi="仿宋_GB2312" w:eastAsia="仿宋_GB2312" w:cs="仿宋_GB2312"/>
          <w:color w:val="000000" w:themeColor="text1"/>
          <w:sz w:val="32"/>
          <w:szCs w:val="32"/>
          <w14:textFill>
            <w14:solidFill>
              <w14:schemeClr w14:val="tx1"/>
            </w14:solidFill>
          </w14:textFill>
        </w:rPr>
        <w:t>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411</w:t>
      </w:r>
      <w:r>
        <w:rPr>
          <w:rFonts w:hint="eastAsia" w:ascii="仿宋_GB2312" w:hAnsi="仿宋_GB2312" w:eastAsia="仿宋_GB2312" w:cs="仿宋_GB2312"/>
          <w:color w:val="000000" w:themeColor="text1"/>
          <w:sz w:val="32"/>
          <w:szCs w:val="32"/>
          <w14:textFill>
            <w14:solidFill>
              <w14:schemeClr w14:val="tx1"/>
            </w14:solidFill>
          </w14:textFill>
        </w:rPr>
        <w:t>万元，完成年初预算的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206.53</w:t>
      </w:r>
      <w:r>
        <w:rPr>
          <w:rFonts w:hint="eastAsia" w:ascii="仿宋_GB2312" w:hAnsi="仿宋_GB2312" w:eastAsia="仿宋_GB2312" w:cs="仿宋_GB2312"/>
          <w:color w:val="000000" w:themeColor="text1"/>
          <w:sz w:val="32"/>
          <w:szCs w:val="32"/>
          <w14:textFill>
            <w14:solidFill>
              <w14:schemeClr w14:val="tx1"/>
            </w14:solidFill>
          </w14:textFill>
        </w:rPr>
        <w:t>%，决算数</w:t>
      </w:r>
      <w:r>
        <w:rPr>
          <w:rFonts w:hint="eastAsia" w:ascii="仿宋_GB2312" w:hAnsi="仿宋_GB2312" w:eastAsia="仿宋_GB2312" w:cs="仿宋_GB2312"/>
          <w:color w:val="000000" w:themeColor="text1"/>
          <w:sz w:val="32"/>
          <w:szCs w:val="32"/>
          <w:lang w:eastAsia="zh-CN"/>
          <w14:textFill>
            <w14:solidFill>
              <w14:schemeClr w14:val="tx1"/>
            </w14:solidFill>
          </w14:textFill>
        </w:rPr>
        <w:t>大于</w:t>
      </w:r>
      <w:r>
        <w:rPr>
          <w:rFonts w:hint="eastAsia" w:ascii="仿宋_GB2312" w:hAnsi="仿宋_GB2312" w:eastAsia="仿宋_GB2312" w:cs="仿宋_GB2312"/>
          <w:color w:val="000000" w:themeColor="text1"/>
          <w:sz w:val="32"/>
          <w:szCs w:val="32"/>
          <w14:textFill>
            <w14:solidFill>
              <w14:schemeClr w14:val="tx1"/>
            </w14:solidFill>
          </w14:textFill>
        </w:rPr>
        <w:t>年初预算数的主要原因是：</w:t>
      </w:r>
      <w:r>
        <w:rPr>
          <w:rFonts w:hint="eastAsia" w:ascii="仿宋_GB2312" w:hAnsi="仿宋_GB2312" w:eastAsia="仿宋_GB2312" w:cs="仿宋_GB2312"/>
          <w:sz w:val="32"/>
          <w:szCs w:val="32"/>
          <w:highlight w:val="none"/>
        </w:rPr>
        <w:t>学前教育类经费</w:t>
      </w:r>
      <w:r>
        <w:rPr>
          <w:rFonts w:hint="eastAsia" w:ascii="仿宋_GB2312" w:hAnsi="仿宋_GB2312" w:eastAsia="仿宋_GB2312" w:cs="仿宋_GB2312"/>
          <w:sz w:val="32"/>
          <w:szCs w:val="32"/>
          <w:highlight w:val="none"/>
          <w:lang w:val="en-US" w:eastAsia="zh-CN"/>
        </w:rPr>
        <w:t>大多</w:t>
      </w:r>
      <w:r>
        <w:rPr>
          <w:rFonts w:hint="eastAsia" w:ascii="仿宋_GB2312" w:hAnsi="仿宋_GB2312" w:eastAsia="仿宋_GB2312" w:cs="仿宋_GB2312"/>
          <w:sz w:val="32"/>
          <w:szCs w:val="32"/>
          <w:highlight w:val="none"/>
        </w:rPr>
        <w:t>是年中追加资金</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06CA35DE">
      <w:pPr>
        <w:pStyle w:val="19"/>
        <w:keepNext w:val="0"/>
        <w:keepLines w:val="0"/>
        <w:pageBreakBefore w:val="0"/>
        <w:numPr>
          <w:ilvl w:val="0"/>
          <w:numId w:val="0"/>
        </w:numPr>
        <w:shd w:val="clear"/>
        <w:kinsoku/>
        <w:wordWrap/>
        <w:overflowPunct w:val="0"/>
        <w:topLinePunct w:val="0"/>
        <w:autoSpaceDE/>
        <w:autoSpaceDN/>
        <w:bidi w:val="0"/>
        <w:snapToGrid/>
        <w:spacing w:line="520" w:lineRule="exact"/>
        <w:ind w:left="0" w:right="0" w:firstLine="568" w:firstLineChars="200"/>
        <w:jc w:val="both"/>
        <w:textAlignment w:val="auto"/>
        <w:rPr>
          <w:rFonts w:hint="eastAsia" w:ascii="仿宋_GB2312" w:hAnsi="仿宋_GB2312" w:eastAsia="仿宋_GB2312" w:cs="仿宋_GB2312"/>
          <w:spacing w:val="-13"/>
          <w:sz w:val="31"/>
          <w:szCs w:val="31"/>
        </w:rPr>
      </w:pPr>
      <w:r>
        <w:rPr>
          <w:rFonts w:hint="eastAsia" w:ascii="仿宋_GB2312" w:hAnsi="仿宋_GB2312" w:eastAsia="仿宋_GB2312" w:cs="仿宋_GB2312"/>
          <w:color w:val="000000"/>
          <w:spacing w:val="-13"/>
          <w:sz w:val="31"/>
          <w:szCs w:val="31"/>
          <w:lang w:val="en-US" w:eastAsia="zh-CN" w:bidi="ar-SA"/>
        </w:rPr>
        <w:t>5、</w:t>
      </w:r>
      <w:r>
        <w:rPr>
          <w:rFonts w:hint="eastAsia" w:ascii="仿宋_GB2312" w:hAnsi="仿宋_GB2312" w:eastAsia="仿宋_GB2312" w:cs="仿宋_GB2312"/>
          <w:spacing w:val="-13"/>
          <w:sz w:val="31"/>
          <w:szCs w:val="31"/>
          <w:lang w:eastAsia="zh-CN"/>
        </w:rPr>
        <w:t>教育支出</w:t>
      </w:r>
      <w:r>
        <w:rPr>
          <w:rFonts w:hint="eastAsia" w:ascii="仿宋_GB2312" w:hAnsi="仿宋_GB2312" w:eastAsia="仿宋_GB2312" w:cs="仿宋_GB2312"/>
          <w:spacing w:val="-13"/>
          <w:sz w:val="31"/>
          <w:szCs w:val="31"/>
        </w:rPr>
        <w:t>（类）</w:t>
      </w:r>
      <w:r>
        <w:rPr>
          <w:rFonts w:hint="eastAsia" w:ascii="仿宋_GB2312" w:hAnsi="仿宋_GB2312" w:eastAsia="仿宋_GB2312" w:cs="仿宋_GB2312"/>
          <w:spacing w:val="-13"/>
          <w:sz w:val="31"/>
          <w:szCs w:val="31"/>
          <w:lang w:eastAsia="zh-CN"/>
        </w:rPr>
        <w:t>进修及培训</w:t>
      </w:r>
      <w:r>
        <w:rPr>
          <w:rFonts w:hint="eastAsia" w:ascii="仿宋_GB2312" w:hAnsi="仿宋_GB2312" w:eastAsia="仿宋_GB2312" w:cs="仿宋_GB2312"/>
          <w:spacing w:val="-13"/>
          <w:sz w:val="31"/>
          <w:szCs w:val="31"/>
        </w:rPr>
        <w:t>（款）</w:t>
      </w:r>
      <w:r>
        <w:rPr>
          <w:rFonts w:hint="eastAsia" w:ascii="仿宋_GB2312" w:hAnsi="仿宋_GB2312" w:eastAsia="仿宋_GB2312" w:cs="仿宋_GB2312"/>
          <w:spacing w:val="-13"/>
          <w:sz w:val="31"/>
          <w:szCs w:val="31"/>
          <w:lang w:eastAsia="zh-CN"/>
        </w:rPr>
        <w:t>培训支出</w:t>
      </w:r>
      <w:r>
        <w:rPr>
          <w:rFonts w:hint="eastAsia" w:ascii="仿宋_GB2312" w:hAnsi="仿宋_GB2312" w:eastAsia="仿宋_GB2312" w:cs="仿宋_GB2312"/>
          <w:spacing w:val="-13"/>
          <w:sz w:val="31"/>
          <w:szCs w:val="31"/>
        </w:rPr>
        <w:t>（项）。</w:t>
      </w:r>
    </w:p>
    <w:p w14:paraId="1C3B1897">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hint="eastAsia" w:ascii="仿宋_GB2312" w:hAnsi="仿宋_GB2312" w:eastAsia="仿宋_GB2312" w:cs="仿宋_GB2312"/>
          <w:spacing w:val="-2"/>
          <w:sz w:val="31"/>
          <w:szCs w:val="31"/>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104.01</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101.49</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97.58</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小于</w:t>
      </w:r>
      <w:r>
        <w:rPr>
          <w:rFonts w:hint="eastAsia" w:ascii="仿宋_GB2312" w:hAnsi="仿宋_GB2312" w:eastAsia="仿宋_GB2312" w:cs="仿宋_GB2312"/>
          <w:sz w:val="32"/>
          <w:szCs w:val="32"/>
        </w:rPr>
        <w:t>年初预算数的主要原因是：</w:t>
      </w:r>
      <w:r>
        <w:rPr>
          <w:rFonts w:hint="eastAsia" w:ascii="仿宋_GB2312" w:hAnsi="仿宋_GB2312" w:eastAsia="仿宋_GB2312" w:cs="仿宋_GB2312"/>
          <w:spacing w:val="7"/>
          <w:sz w:val="31"/>
          <w:szCs w:val="31"/>
        </w:rPr>
        <w:t>基本按</w:t>
      </w:r>
      <w:r>
        <w:rPr>
          <w:rFonts w:hint="eastAsia" w:ascii="仿宋_GB2312" w:hAnsi="仿宋_GB2312" w:eastAsia="仿宋_GB2312" w:cs="仿宋_GB2312"/>
          <w:spacing w:val="-2"/>
          <w:sz w:val="31"/>
          <w:szCs w:val="31"/>
        </w:rPr>
        <w:t>照预算执行</w:t>
      </w:r>
      <w:r>
        <w:rPr>
          <w:rFonts w:hint="eastAsia" w:ascii="仿宋_GB2312" w:hAnsi="仿宋_GB2312" w:eastAsia="仿宋_GB2312" w:cs="仿宋_GB2312"/>
          <w:spacing w:val="-2"/>
          <w:sz w:val="31"/>
          <w:szCs w:val="31"/>
          <w:lang w:eastAsia="zh-CN"/>
        </w:rPr>
        <w:t>。</w:t>
      </w:r>
    </w:p>
    <w:p w14:paraId="07C10498">
      <w:pPr>
        <w:pStyle w:val="19"/>
        <w:keepNext w:val="0"/>
        <w:keepLines w:val="0"/>
        <w:pageBreakBefore w:val="0"/>
        <w:numPr>
          <w:ilvl w:val="0"/>
          <w:numId w:val="0"/>
        </w:numPr>
        <w:shd w:val="clear"/>
        <w:kinsoku/>
        <w:wordWrap/>
        <w:overflowPunct w:val="0"/>
        <w:topLinePunct w:val="0"/>
        <w:autoSpaceDE/>
        <w:autoSpaceDN/>
        <w:bidi w:val="0"/>
        <w:snapToGrid/>
        <w:spacing w:line="520" w:lineRule="exact"/>
        <w:ind w:left="0" w:right="0" w:firstLine="568" w:firstLineChars="200"/>
        <w:jc w:val="both"/>
        <w:textAlignment w:val="auto"/>
        <w:rPr>
          <w:rFonts w:hint="eastAsia" w:ascii="仿宋_GB2312" w:hAnsi="仿宋_GB2312" w:eastAsia="仿宋_GB2312" w:cs="仿宋_GB2312"/>
          <w:spacing w:val="-13"/>
          <w:sz w:val="31"/>
          <w:szCs w:val="31"/>
        </w:rPr>
      </w:pPr>
      <w:r>
        <w:rPr>
          <w:rFonts w:hint="eastAsia" w:ascii="仿宋_GB2312" w:hAnsi="仿宋_GB2312" w:eastAsia="仿宋_GB2312" w:cs="仿宋_GB2312"/>
          <w:color w:val="000000"/>
          <w:spacing w:val="-13"/>
          <w:sz w:val="31"/>
          <w:szCs w:val="31"/>
          <w:lang w:val="en-US" w:eastAsia="zh-CN" w:bidi="ar-SA"/>
        </w:rPr>
        <w:t>6、</w:t>
      </w:r>
      <w:r>
        <w:rPr>
          <w:rFonts w:hint="eastAsia" w:ascii="仿宋_GB2312" w:hAnsi="仿宋_GB2312" w:eastAsia="仿宋_GB2312" w:cs="仿宋_GB2312"/>
          <w:spacing w:val="-13"/>
          <w:sz w:val="31"/>
          <w:szCs w:val="31"/>
          <w:lang w:eastAsia="zh-CN"/>
        </w:rPr>
        <w:t>科学技术支出</w:t>
      </w:r>
      <w:r>
        <w:rPr>
          <w:rFonts w:hint="eastAsia" w:ascii="仿宋_GB2312" w:hAnsi="仿宋_GB2312" w:eastAsia="仿宋_GB2312" w:cs="仿宋_GB2312"/>
          <w:spacing w:val="-13"/>
          <w:sz w:val="31"/>
          <w:szCs w:val="31"/>
        </w:rPr>
        <w:t>（类）</w:t>
      </w:r>
      <w:r>
        <w:rPr>
          <w:rFonts w:hint="eastAsia" w:ascii="仿宋_GB2312" w:hAnsi="仿宋_GB2312" w:eastAsia="仿宋_GB2312" w:cs="仿宋_GB2312"/>
          <w:spacing w:val="-13"/>
          <w:sz w:val="31"/>
          <w:szCs w:val="31"/>
          <w:lang w:eastAsia="zh-CN"/>
        </w:rPr>
        <w:t>社会科学</w:t>
      </w:r>
      <w:r>
        <w:rPr>
          <w:rFonts w:hint="eastAsia" w:ascii="仿宋_GB2312" w:hAnsi="仿宋_GB2312" w:eastAsia="仿宋_GB2312" w:cs="仿宋_GB2312"/>
          <w:spacing w:val="-13"/>
          <w:sz w:val="31"/>
          <w:szCs w:val="31"/>
        </w:rPr>
        <w:t>（款）</w:t>
      </w:r>
      <w:r>
        <w:rPr>
          <w:rFonts w:hint="eastAsia" w:ascii="仿宋_GB2312" w:hAnsi="仿宋_GB2312" w:eastAsia="仿宋_GB2312" w:cs="仿宋_GB2312"/>
          <w:spacing w:val="-13"/>
          <w:sz w:val="31"/>
          <w:szCs w:val="31"/>
          <w:lang w:eastAsia="zh-CN"/>
        </w:rPr>
        <w:t>社会科学研究</w:t>
      </w:r>
      <w:r>
        <w:rPr>
          <w:rFonts w:hint="eastAsia" w:ascii="仿宋_GB2312" w:hAnsi="仿宋_GB2312" w:eastAsia="仿宋_GB2312" w:cs="仿宋_GB2312"/>
          <w:spacing w:val="-13"/>
          <w:sz w:val="31"/>
          <w:szCs w:val="31"/>
        </w:rPr>
        <w:t>（项）。</w:t>
      </w:r>
    </w:p>
    <w:p w14:paraId="3E6C6641">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rPr>
        <w:t>年初预算为</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万元，支出决算为</w:t>
      </w:r>
      <w:r>
        <w:rPr>
          <w:rFonts w:hint="eastAsia" w:ascii="仿宋_GB2312" w:hAnsi="仿宋_GB2312" w:eastAsia="仿宋_GB2312" w:cs="仿宋_GB2312"/>
          <w:color w:val="auto"/>
          <w:sz w:val="32"/>
          <w:szCs w:val="32"/>
          <w:lang w:val="en-US" w:eastAsia="zh-CN"/>
        </w:rPr>
        <w:t>3.06</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sz w:val="32"/>
          <w:szCs w:val="32"/>
        </w:rPr>
        <w:t>决算数大于年初预算数的主要原因是：</w:t>
      </w:r>
      <w:r>
        <w:rPr>
          <w:rFonts w:hint="eastAsia" w:ascii="仿宋_GB2312" w:hAnsi="仿宋_GB2312" w:eastAsia="仿宋_GB2312" w:cs="仿宋_GB2312"/>
          <w:color w:val="auto"/>
          <w:sz w:val="32"/>
          <w:szCs w:val="32"/>
          <w:lang w:val="en-US" w:eastAsia="zh-CN"/>
        </w:rPr>
        <w:t>年初无预算，年中财政追加新增项目资金。</w:t>
      </w:r>
    </w:p>
    <w:p w14:paraId="5B271986">
      <w:pPr>
        <w:pStyle w:val="19"/>
        <w:keepNext w:val="0"/>
        <w:keepLines w:val="0"/>
        <w:pageBreakBefore w:val="0"/>
        <w:numPr>
          <w:ilvl w:val="0"/>
          <w:numId w:val="0"/>
        </w:numPr>
        <w:shd w:val="clear"/>
        <w:kinsoku/>
        <w:wordWrap/>
        <w:overflowPunct w:val="0"/>
        <w:topLinePunct w:val="0"/>
        <w:autoSpaceDE/>
        <w:autoSpaceDN/>
        <w:bidi w:val="0"/>
        <w:snapToGrid/>
        <w:spacing w:line="520" w:lineRule="exact"/>
        <w:ind w:left="0" w:right="0" w:firstLine="568" w:firstLineChars="200"/>
        <w:jc w:val="both"/>
        <w:textAlignment w:val="auto"/>
        <w:rPr>
          <w:rFonts w:hint="eastAsia" w:ascii="仿宋_GB2312" w:hAnsi="仿宋_GB2312" w:eastAsia="仿宋_GB2312" w:cs="仿宋_GB2312"/>
          <w:spacing w:val="-13"/>
          <w:sz w:val="31"/>
          <w:szCs w:val="31"/>
        </w:rPr>
      </w:pPr>
      <w:r>
        <w:rPr>
          <w:rFonts w:hint="eastAsia" w:ascii="仿宋_GB2312" w:hAnsi="仿宋_GB2312" w:eastAsia="仿宋_GB2312" w:cs="仿宋_GB2312"/>
          <w:color w:val="000000"/>
          <w:spacing w:val="-13"/>
          <w:sz w:val="31"/>
          <w:szCs w:val="31"/>
          <w:lang w:val="en-US" w:eastAsia="zh-CN" w:bidi="ar-SA"/>
        </w:rPr>
        <w:t>7、</w:t>
      </w:r>
      <w:r>
        <w:rPr>
          <w:rFonts w:hint="eastAsia" w:ascii="仿宋_GB2312" w:hAnsi="仿宋_GB2312" w:eastAsia="仿宋_GB2312" w:cs="仿宋_GB2312"/>
          <w:spacing w:val="-13"/>
          <w:sz w:val="31"/>
          <w:szCs w:val="31"/>
          <w:lang w:eastAsia="zh-CN"/>
        </w:rPr>
        <w:t>科学技术支出</w:t>
      </w:r>
      <w:r>
        <w:rPr>
          <w:rFonts w:hint="eastAsia" w:ascii="仿宋_GB2312" w:hAnsi="仿宋_GB2312" w:eastAsia="仿宋_GB2312" w:cs="仿宋_GB2312"/>
          <w:spacing w:val="-13"/>
          <w:sz w:val="31"/>
          <w:szCs w:val="31"/>
        </w:rPr>
        <w:t>（类）</w:t>
      </w:r>
      <w:r>
        <w:rPr>
          <w:rFonts w:hint="eastAsia" w:ascii="仿宋_GB2312" w:hAnsi="仿宋_GB2312" w:eastAsia="仿宋_GB2312" w:cs="仿宋_GB2312"/>
          <w:spacing w:val="-13"/>
          <w:sz w:val="31"/>
          <w:szCs w:val="31"/>
          <w:lang w:eastAsia="zh-CN"/>
        </w:rPr>
        <w:t>社会科学</w:t>
      </w:r>
      <w:r>
        <w:rPr>
          <w:rFonts w:hint="eastAsia" w:ascii="仿宋_GB2312" w:hAnsi="仿宋_GB2312" w:eastAsia="仿宋_GB2312" w:cs="仿宋_GB2312"/>
          <w:spacing w:val="-13"/>
          <w:sz w:val="31"/>
          <w:szCs w:val="31"/>
        </w:rPr>
        <w:t>（款）</w:t>
      </w:r>
      <w:r>
        <w:rPr>
          <w:rFonts w:hint="eastAsia" w:ascii="仿宋_GB2312" w:hAnsi="仿宋_GB2312" w:eastAsia="仿宋_GB2312" w:cs="仿宋_GB2312"/>
          <w:spacing w:val="-13"/>
          <w:sz w:val="31"/>
          <w:szCs w:val="31"/>
          <w:lang w:eastAsia="zh-CN"/>
        </w:rPr>
        <w:t>社科基金支出</w:t>
      </w:r>
      <w:r>
        <w:rPr>
          <w:rFonts w:hint="eastAsia" w:ascii="仿宋_GB2312" w:hAnsi="仿宋_GB2312" w:eastAsia="仿宋_GB2312" w:cs="仿宋_GB2312"/>
          <w:spacing w:val="-13"/>
          <w:sz w:val="31"/>
          <w:szCs w:val="31"/>
        </w:rPr>
        <w:t>（项）。</w:t>
      </w:r>
    </w:p>
    <w:p w14:paraId="772B0B9B">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12.8</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10.85</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84.77</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小</w:t>
      </w:r>
      <w:r>
        <w:rPr>
          <w:rFonts w:hint="eastAsia" w:ascii="仿宋_GB2312" w:hAnsi="仿宋_GB2312" w:eastAsia="仿宋_GB2312" w:cs="仿宋_GB2312"/>
          <w:sz w:val="32"/>
          <w:szCs w:val="32"/>
        </w:rPr>
        <w:t>于年初预算</w:t>
      </w:r>
      <w:r>
        <w:rPr>
          <w:rFonts w:hint="eastAsia" w:ascii="仿宋_GB2312" w:hAnsi="仿宋_GB2312" w:eastAsia="仿宋_GB2312" w:cs="仿宋_GB2312"/>
          <w:color w:val="000000" w:themeColor="text1"/>
          <w:sz w:val="32"/>
          <w:szCs w:val="32"/>
          <w14:textFill>
            <w14:solidFill>
              <w14:schemeClr w14:val="tx1"/>
            </w14:solidFill>
          </w14:textFill>
        </w:rPr>
        <w:t>数的主要原因是：</w:t>
      </w:r>
      <w:r>
        <w:rPr>
          <w:rFonts w:hint="eastAsia" w:ascii="仿宋_GB2312" w:hAnsi="仿宋_GB2312" w:eastAsia="仿宋_GB2312" w:cs="仿宋_GB2312"/>
          <w:color w:val="000000" w:themeColor="text1"/>
          <w:sz w:val="32"/>
          <w:szCs w:val="32"/>
          <w:lang w:eastAsia="zh-CN"/>
          <w14:textFill>
            <w14:solidFill>
              <w14:schemeClr w14:val="tx1"/>
            </w14:solidFill>
          </w14:textFill>
        </w:rPr>
        <w:t>项目已启动，待验收合格后支付剩余款项。</w:t>
      </w:r>
    </w:p>
    <w:p w14:paraId="3F389939">
      <w:pPr>
        <w:pStyle w:val="19"/>
        <w:keepNext w:val="0"/>
        <w:keepLines w:val="0"/>
        <w:pageBreakBefore w:val="0"/>
        <w:numPr>
          <w:ilvl w:val="0"/>
          <w:numId w:val="0"/>
        </w:numPr>
        <w:shd w:val="clear"/>
        <w:kinsoku/>
        <w:wordWrap/>
        <w:overflowPunct w:val="0"/>
        <w:topLinePunct w:val="0"/>
        <w:autoSpaceDE/>
        <w:autoSpaceDN/>
        <w:bidi w:val="0"/>
        <w:snapToGrid/>
        <w:spacing w:line="520" w:lineRule="exact"/>
        <w:ind w:left="0" w:right="0" w:firstLine="568" w:firstLineChars="200"/>
        <w:jc w:val="both"/>
        <w:textAlignment w:val="auto"/>
        <w:rPr>
          <w:rFonts w:hint="eastAsia" w:ascii="仿宋_GB2312" w:hAnsi="仿宋_GB2312" w:eastAsia="仿宋_GB2312" w:cs="仿宋_GB2312"/>
          <w:spacing w:val="-13"/>
          <w:sz w:val="31"/>
          <w:szCs w:val="31"/>
        </w:rPr>
      </w:pPr>
      <w:r>
        <w:rPr>
          <w:rFonts w:hint="eastAsia" w:ascii="仿宋_GB2312" w:hAnsi="仿宋_GB2312" w:eastAsia="仿宋_GB2312" w:cs="仿宋_GB2312"/>
          <w:color w:val="000000"/>
          <w:spacing w:val="-13"/>
          <w:sz w:val="31"/>
          <w:szCs w:val="31"/>
          <w:lang w:val="en-US" w:eastAsia="zh-CN" w:bidi="ar-SA"/>
        </w:rPr>
        <w:t>8、</w:t>
      </w:r>
      <w:r>
        <w:rPr>
          <w:rFonts w:hint="eastAsia" w:ascii="仿宋_GB2312" w:hAnsi="仿宋_GB2312" w:eastAsia="仿宋_GB2312" w:cs="仿宋_GB2312"/>
          <w:spacing w:val="-13"/>
          <w:sz w:val="31"/>
          <w:szCs w:val="31"/>
          <w:lang w:eastAsia="zh-CN"/>
        </w:rPr>
        <w:t>科学技术支出</w:t>
      </w:r>
      <w:r>
        <w:rPr>
          <w:rFonts w:hint="eastAsia" w:ascii="仿宋_GB2312" w:hAnsi="仿宋_GB2312" w:eastAsia="仿宋_GB2312" w:cs="仿宋_GB2312"/>
          <w:spacing w:val="-13"/>
          <w:sz w:val="31"/>
          <w:szCs w:val="31"/>
        </w:rPr>
        <w:t>（类）</w:t>
      </w:r>
      <w:r>
        <w:rPr>
          <w:rFonts w:hint="eastAsia" w:ascii="仿宋_GB2312" w:hAnsi="仿宋_GB2312" w:eastAsia="仿宋_GB2312" w:cs="仿宋_GB2312"/>
          <w:spacing w:val="-13"/>
          <w:sz w:val="31"/>
          <w:szCs w:val="31"/>
          <w:lang w:eastAsia="zh-CN"/>
        </w:rPr>
        <w:t>其他科学技术支出</w:t>
      </w:r>
      <w:r>
        <w:rPr>
          <w:rFonts w:hint="eastAsia" w:ascii="仿宋_GB2312" w:hAnsi="仿宋_GB2312" w:eastAsia="仿宋_GB2312" w:cs="仿宋_GB2312"/>
          <w:spacing w:val="-13"/>
          <w:sz w:val="31"/>
          <w:szCs w:val="31"/>
        </w:rPr>
        <w:t>（款）</w:t>
      </w:r>
      <w:r>
        <w:rPr>
          <w:rFonts w:hint="eastAsia" w:ascii="仿宋_GB2312" w:hAnsi="仿宋_GB2312" w:eastAsia="仿宋_GB2312" w:cs="仿宋_GB2312"/>
          <w:spacing w:val="-13"/>
          <w:sz w:val="31"/>
          <w:szCs w:val="31"/>
          <w:lang w:eastAsia="zh-CN"/>
        </w:rPr>
        <w:t>其他科学技术支出</w:t>
      </w:r>
      <w:r>
        <w:rPr>
          <w:rFonts w:hint="eastAsia" w:ascii="仿宋_GB2312" w:hAnsi="仿宋_GB2312" w:eastAsia="仿宋_GB2312" w:cs="仿宋_GB2312"/>
          <w:spacing w:val="-13"/>
          <w:sz w:val="31"/>
          <w:szCs w:val="31"/>
        </w:rPr>
        <w:t>（项）。</w:t>
      </w:r>
    </w:p>
    <w:p w14:paraId="0B807E9E">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21.5</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215</w:t>
      </w:r>
      <w:r>
        <w:rPr>
          <w:rFonts w:hint="eastAsia" w:ascii="仿宋_GB2312" w:hAnsi="仿宋_GB2312" w:eastAsia="仿宋_GB2312" w:cs="仿宋_GB2312"/>
          <w:sz w:val="32"/>
          <w:szCs w:val="32"/>
        </w:rPr>
        <w:t>%，决算数大于年初预算数</w:t>
      </w:r>
      <w:r>
        <w:rPr>
          <w:rFonts w:hint="eastAsia" w:ascii="仿宋_GB2312" w:hAnsi="仿宋_GB2312" w:eastAsia="仿宋_GB2312" w:cs="仿宋_GB2312"/>
          <w:color w:val="000000" w:themeColor="text1"/>
          <w:sz w:val="32"/>
          <w:szCs w:val="32"/>
          <w14:textFill>
            <w14:solidFill>
              <w14:schemeClr w14:val="tx1"/>
            </w14:solidFill>
          </w14:textFill>
        </w:rPr>
        <w:t>的主要原因是：</w:t>
      </w:r>
      <w:r>
        <w:rPr>
          <w:rFonts w:hint="eastAsia" w:ascii="仿宋_GB2312" w:hAnsi="仿宋_GB2312" w:eastAsia="仿宋_GB2312" w:cs="仿宋_GB2312"/>
          <w:color w:val="auto"/>
          <w:sz w:val="32"/>
          <w:szCs w:val="32"/>
          <w:lang w:val="en-US" w:eastAsia="zh-CN"/>
        </w:rPr>
        <w:t>年中财政追加新增项目资金。</w:t>
      </w:r>
    </w:p>
    <w:p w14:paraId="1A75E255">
      <w:pPr>
        <w:pStyle w:val="19"/>
        <w:keepNext w:val="0"/>
        <w:keepLines w:val="0"/>
        <w:pageBreakBefore w:val="0"/>
        <w:numPr>
          <w:ilvl w:val="0"/>
          <w:numId w:val="0"/>
        </w:numPr>
        <w:shd w:val="clear"/>
        <w:kinsoku/>
        <w:wordWrap/>
        <w:overflowPunct w:val="0"/>
        <w:topLinePunct w:val="0"/>
        <w:autoSpaceDE/>
        <w:autoSpaceDN/>
        <w:bidi w:val="0"/>
        <w:snapToGrid/>
        <w:spacing w:line="520" w:lineRule="exact"/>
        <w:ind w:left="0" w:right="0" w:firstLine="568" w:firstLineChars="200"/>
        <w:jc w:val="both"/>
        <w:textAlignment w:val="auto"/>
        <w:rPr>
          <w:rFonts w:hint="eastAsia" w:ascii="仿宋_GB2312" w:hAnsi="仿宋_GB2312" w:eastAsia="仿宋_GB2312" w:cs="仿宋_GB2312"/>
          <w:spacing w:val="-13"/>
          <w:sz w:val="31"/>
          <w:szCs w:val="31"/>
        </w:rPr>
      </w:pPr>
      <w:r>
        <w:rPr>
          <w:rFonts w:hint="eastAsia" w:ascii="仿宋_GB2312" w:hAnsi="仿宋_GB2312" w:eastAsia="仿宋_GB2312" w:cs="仿宋_GB2312"/>
          <w:color w:val="000000"/>
          <w:spacing w:val="-13"/>
          <w:sz w:val="31"/>
          <w:szCs w:val="31"/>
          <w:lang w:val="en-US" w:eastAsia="zh-CN" w:bidi="ar-SA"/>
        </w:rPr>
        <w:t>9、</w:t>
      </w:r>
      <w:r>
        <w:rPr>
          <w:rFonts w:hint="eastAsia" w:ascii="仿宋_GB2312" w:hAnsi="仿宋_GB2312" w:eastAsia="仿宋_GB2312" w:cs="仿宋_GB2312"/>
          <w:spacing w:val="-13"/>
          <w:sz w:val="31"/>
          <w:szCs w:val="31"/>
          <w:lang w:eastAsia="zh-CN"/>
        </w:rPr>
        <w:t>文化旅游体育与传媒支出</w:t>
      </w:r>
      <w:r>
        <w:rPr>
          <w:rFonts w:hint="eastAsia" w:ascii="仿宋_GB2312" w:hAnsi="仿宋_GB2312" w:eastAsia="仿宋_GB2312" w:cs="仿宋_GB2312"/>
          <w:spacing w:val="-13"/>
          <w:sz w:val="31"/>
          <w:szCs w:val="31"/>
        </w:rPr>
        <w:t>（类）</w:t>
      </w:r>
      <w:r>
        <w:rPr>
          <w:rFonts w:hint="eastAsia" w:ascii="仿宋_GB2312" w:hAnsi="仿宋_GB2312" w:eastAsia="仿宋_GB2312" w:cs="仿宋_GB2312"/>
          <w:spacing w:val="-13"/>
          <w:sz w:val="31"/>
          <w:szCs w:val="31"/>
          <w:lang w:eastAsia="zh-CN"/>
        </w:rPr>
        <w:t>文化和旅游</w:t>
      </w:r>
      <w:r>
        <w:rPr>
          <w:rFonts w:hint="eastAsia" w:ascii="仿宋_GB2312" w:hAnsi="仿宋_GB2312" w:eastAsia="仿宋_GB2312" w:cs="仿宋_GB2312"/>
          <w:spacing w:val="-13"/>
          <w:sz w:val="31"/>
          <w:szCs w:val="31"/>
        </w:rPr>
        <w:t>（款）</w:t>
      </w:r>
      <w:r>
        <w:rPr>
          <w:rFonts w:hint="eastAsia" w:ascii="仿宋_GB2312" w:hAnsi="仿宋_GB2312" w:eastAsia="仿宋_GB2312" w:cs="仿宋_GB2312"/>
          <w:spacing w:val="-13"/>
          <w:sz w:val="31"/>
          <w:szCs w:val="31"/>
          <w:lang w:eastAsia="zh-CN"/>
        </w:rPr>
        <w:t>行政运行</w:t>
      </w:r>
      <w:r>
        <w:rPr>
          <w:rFonts w:hint="eastAsia" w:ascii="仿宋_GB2312" w:hAnsi="仿宋_GB2312" w:eastAsia="仿宋_GB2312" w:cs="仿宋_GB2312"/>
          <w:spacing w:val="-13"/>
          <w:sz w:val="31"/>
          <w:szCs w:val="31"/>
        </w:rPr>
        <w:t>（项）。</w:t>
      </w:r>
    </w:p>
    <w:p w14:paraId="7BFB5418">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3300.75</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3416.66</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103.51</w:t>
      </w:r>
      <w:r>
        <w:rPr>
          <w:rFonts w:hint="eastAsia" w:ascii="仿宋_GB2312" w:hAnsi="仿宋_GB2312" w:eastAsia="仿宋_GB2312" w:cs="仿宋_GB2312"/>
          <w:sz w:val="32"/>
          <w:szCs w:val="32"/>
        </w:rPr>
        <w:t>%，决算数大于年初预算</w:t>
      </w:r>
      <w:r>
        <w:rPr>
          <w:rFonts w:hint="eastAsia" w:ascii="仿宋_GB2312" w:hAnsi="仿宋_GB2312" w:eastAsia="仿宋_GB2312" w:cs="仿宋_GB2312"/>
          <w:color w:val="auto"/>
          <w:sz w:val="32"/>
          <w:szCs w:val="32"/>
        </w:rPr>
        <w:t>数的主要原因是：</w:t>
      </w:r>
      <w:r>
        <w:rPr>
          <w:rFonts w:hint="eastAsia" w:ascii="仿宋_GB2312" w:hAnsi="仿宋_GB2312" w:eastAsia="仿宋_GB2312" w:cs="仿宋_GB2312"/>
          <w:color w:val="auto"/>
          <w:sz w:val="32"/>
          <w:szCs w:val="32"/>
          <w:lang w:eastAsia="zh-CN"/>
        </w:rPr>
        <w:t>年中追加了年度绩效考核奖。</w:t>
      </w:r>
    </w:p>
    <w:p w14:paraId="6A72AB11">
      <w:pPr>
        <w:pStyle w:val="19"/>
        <w:keepNext w:val="0"/>
        <w:keepLines w:val="0"/>
        <w:pageBreakBefore w:val="0"/>
        <w:numPr>
          <w:ilvl w:val="0"/>
          <w:numId w:val="0"/>
        </w:numPr>
        <w:shd w:val="clear"/>
        <w:kinsoku/>
        <w:wordWrap/>
        <w:overflowPunct w:val="0"/>
        <w:topLinePunct w:val="0"/>
        <w:autoSpaceDE/>
        <w:autoSpaceDN/>
        <w:bidi w:val="0"/>
        <w:snapToGrid/>
        <w:spacing w:line="520" w:lineRule="exact"/>
        <w:ind w:left="0" w:right="0" w:firstLine="568" w:firstLineChars="200"/>
        <w:jc w:val="both"/>
        <w:textAlignment w:val="auto"/>
        <w:rPr>
          <w:rFonts w:hint="eastAsia" w:ascii="仿宋_GB2312" w:hAnsi="仿宋_GB2312" w:eastAsia="仿宋_GB2312" w:cs="仿宋_GB2312"/>
          <w:spacing w:val="-13"/>
          <w:sz w:val="31"/>
          <w:szCs w:val="31"/>
        </w:rPr>
      </w:pPr>
      <w:r>
        <w:rPr>
          <w:rFonts w:hint="eastAsia" w:ascii="仿宋_GB2312" w:hAnsi="仿宋_GB2312" w:eastAsia="仿宋_GB2312" w:cs="仿宋_GB2312"/>
          <w:color w:val="000000"/>
          <w:spacing w:val="-13"/>
          <w:sz w:val="31"/>
          <w:szCs w:val="31"/>
          <w:lang w:val="en-US" w:eastAsia="zh-CN" w:bidi="ar-SA"/>
        </w:rPr>
        <w:t>10、</w:t>
      </w:r>
      <w:r>
        <w:rPr>
          <w:rFonts w:hint="eastAsia" w:ascii="仿宋_GB2312" w:hAnsi="仿宋_GB2312" w:eastAsia="仿宋_GB2312" w:cs="仿宋_GB2312"/>
          <w:spacing w:val="-13"/>
          <w:sz w:val="31"/>
          <w:szCs w:val="31"/>
          <w:lang w:eastAsia="zh-CN"/>
        </w:rPr>
        <w:t>文化旅游体育与传媒支出</w:t>
      </w:r>
      <w:r>
        <w:rPr>
          <w:rFonts w:hint="eastAsia" w:ascii="仿宋_GB2312" w:hAnsi="仿宋_GB2312" w:eastAsia="仿宋_GB2312" w:cs="仿宋_GB2312"/>
          <w:spacing w:val="-13"/>
          <w:sz w:val="31"/>
          <w:szCs w:val="31"/>
        </w:rPr>
        <w:t>（类）</w:t>
      </w:r>
      <w:r>
        <w:rPr>
          <w:rFonts w:hint="eastAsia" w:ascii="仿宋_GB2312" w:hAnsi="仿宋_GB2312" w:eastAsia="仿宋_GB2312" w:cs="仿宋_GB2312"/>
          <w:spacing w:val="-13"/>
          <w:sz w:val="31"/>
          <w:szCs w:val="31"/>
          <w:lang w:eastAsia="zh-CN"/>
        </w:rPr>
        <w:t>文化和旅游</w:t>
      </w:r>
      <w:r>
        <w:rPr>
          <w:rFonts w:hint="eastAsia" w:ascii="仿宋_GB2312" w:hAnsi="仿宋_GB2312" w:eastAsia="仿宋_GB2312" w:cs="仿宋_GB2312"/>
          <w:spacing w:val="-13"/>
          <w:sz w:val="31"/>
          <w:szCs w:val="31"/>
        </w:rPr>
        <w:t>（款）</w:t>
      </w:r>
      <w:r>
        <w:rPr>
          <w:rFonts w:hint="eastAsia" w:ascii="仿宋_GB2312" w:hAnsi="仿宋_GB2312" w:eastAsia="仿宋_GB2312" w:cs="仿宋_GB2312"/>
          <w:spacing w:val="-13"/>
          <w:sz w:val="31"/>
          <w:szCs w:val="31"/>
          <w:lang w:eastAsia="zh-CN"/>
        </w:rPr>
        <w:t>一般行政管理事务</w:t>
      </w:r>
      <w:r>
        <w:rPr>
          <w:rFonts w:hint="eastAsia" w:ascii="仿宋_GB2312" w:hAnsi="仿宋_GB2312" w:eastAsia="仿宋_GB2312" w:cs="仿宋_GB2312"/>
          <w:spacing w:val="-13"/>
          <w:sz w:val="31"/>
          <w:szCs w:val="31"/>
        </w:rPr>
        <w:t>（项）。</w:t>
      </w:r>
    </w:p>
    <w:p w14:paraId="02F88CAA">
      <w:pPr>
        <w:keepNext w:val="0"/>
        <w:keepLines w:val="0"/>
        <w:pageBreakBefore w:val="0"/>
        <w:shd w:val="clear"/>
        <w:kinsoku/>
        <w:wordWrap/>
        <w:topLinePunct w:val="0"/>
        <w:bidi w:val="0"/>
        <w:snapToGrid/>
        <w:spacing w:line="520" w:lineRule="exact"/>
        <w:ind w:left="0" w:right="0" w:firstLine="632"/>
        <w:textAlignment w:val="auto"/>
        <w:rPr>
          <w:rFonts w:hint="eastAsia" w:ascii="仿宋_GB2312" w:hAnsi="仿宋_GB2312" w:eastAsia="仿宋_GB2312" w:cs="仿宋_GB2312"/>
          <w:sz w:val="31"/>
          <w:szCs w:val="31"/>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139.46</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128.22</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91.94</w:t>
      </w:r>
      <w:r>
        <w:rPr>
          <w:rFonts w:hint="eastAsia" w:ascii="仿宋_GB2312" w:hAnsi="仿宋_GB2312" w:eastAsia="仿宋_GB2312" w:cs="仿宋_GB2312"/>
          <w:sz w:val="32"/>
          <w:szCs w:val="32"/>
        </w:rPr>
        <w:t>%，决算数小于年初预算数的主要原因是：</w:t>
      </w:r>
      <w:r>
        <w:rPr>
          <w:rFonts w:hint="eastAsia" w:ascii="仿宋_GB2312" w:hAnsi="仿宋_GB2312" w:eastAsia="仿宋_GB2312" w:cs="仿宋_GB2312"/>
          <w:spacing w:val="7"/>
          <w:sz w:val="31"/>
          <w:szCs w:val="31"/>
        </w:rPr>
        <w:t>基本按</w:t>
      </w:r>
      <w:r>
        <w:rPr>
          <w:rFonts w:hint="eastAsia" w:ascii="仿宋_GB2312" w:hAnsi="仿宋_GB2312" w:eastAsia="仿宋_GB2312" w:cs="仿宋_GB2312"/>
          <w:spacing w:val="-2"/>
          <w:sz w:val="31"/>
          <w:szCs w:val="31"/>
        </w:rPr>
        <w:t>照预算执行。</w:t>
      </w:r>
    </w:p>
    <w:p w14:paraId="7DBDA9F8">
      <w:pPr>
        <w:pStyle w:val="19"/>
        <w:keepNext w:val="0"/>
        <w:keepLines w:val="0"/>
        <w:pageBreakBefore w:val="0"/>
        <w:numPr>
          <w:ilvl w:val="0"/>
          <w:numId w:val="0"/>
        </w:numPr>
        <w:shd w:val="clear"/>
        <w:kinsoku/>
        <w:wordWrap/>
        <w:overflowPunct w:val="0"/>
        <w:topLinePunct w:val="0"/>
        <w:autoSpaceDE/>
        <w:autoSpaceDN/>
        <w:bidi w:val="0"/>
        <w:snapToGrid/>
        <w:spacing w:line="520" w:lineRule="exact"/>
        <w:ind w:left="0" w:right="0" w:firstLine="568" w:firstLineChars="200"/>
        <w:jc w:val="both"/>
        <w:textAlignment w:val="auto"/>
        <w:rPr>
          <w:rFonts w:hint="eastAsia" w:ascii="仿宋_GB2312" w:hAnsi="仿宋_GB2312" w:eastAsia="仿宋_GB2312" w:cs="仿宋_GB2312"/>
          <w:spacing w:val="-13"/>
          <w:sz w:val="31"/>
          <w:szCs w:val="31"/>
        </w:rPr>
      </w:pPr>
      <w:r>
        <w:rPr>
          <w:rFonts w:hint="eastAsia" w:ascii="仿宋_GB2312" w:hAnsi="仿宋_GB2312" w:eastAsia="仿宋_GB2312" w:cs="仿宋_GB2312"/>
          <w:color w:val="000000"/>
          <w:spacing w:val="-13"/>
          <w:sz w:val="31"/>
          <w:szCs w:val="31"/>
          <w:lang w:val="en-US" w:eastAsia="zh-CN" w:bidi="ar-SA"/>
        </w:rPr>
        <w:t>11、</w:t>
      </w:r>
      <w:r>
        <w:rPr>
          <w:rFonts w:hint="eastAsia" w:ascii="仿宋_GB2312" w:hAnsi="仿宋_GB2312" w:eastAsia="仿宋_GB2312" w:cs="仿宋_GB2312"/>
          <w:spacing w:val="-13"/>
          <w:sz w:val="31"/>
          <w:szCs w:val="31"/>
          <w:lang w:eastAsia="zh-CN"/>
        </w:rPr>
        <w:t>文化旅游体育与传媒支出</w:t>
      </w:r>
      <w:r>
        <w:rPr>
          <w:rFonts w:hint="eastAsia" w:ascii="仿宋_GB2312" w:hAnsi="仿宋_GB2312" w:eastAsia="仿宋_GB2312" w:cs="仿宋_GB2312"/>
          <w:spacing w:val="-13"/>
          <w:sz w:val="31"/>
          <w:szCs w:val="31"/>
        </w:rPr>
        <w:t>（类）</w:t>
      </w:r>
      <w:r>
        <w:rPr>
          <w:rFonts w:hint="eastAsia" w:ascii="仿宋_GB2312" w:hAnsi="仿宋_GB2312" w:eastAsia="仿宋_GB2312" w:cs="仿宋_GB2312"/>
          <w:spacing w:val="-13"/>
          <w:sz w:val="31"/>
          <w:szCs w:val="31"/>
          <w:lang w:eastAsia="zh-CN"/>
        </w:rPr>
        <w:t>文化和旅游</w:t>
      </w:r>
      <w:r>
        <w:rPr>
          <w:rFonts w:hint="eastAsia" w:ascii="仿宋_GB2312" w:hAnsi="仿宋_GB2312" w:eastAsia="仿宋_GB2312" w:cs="仿宋_GB2312"/>
          <w:spacing w:val="-13"/>
          <w:sz w:val="31"/>
          <w:szCs w:val="31"/>
        </w:rPr>
        <w:t>（款）</w:t>
      </w:r>
      <w:r>
        <w:rPr>
          <w:rFonts w:hint="eastAsia" w:ascii="仿宋_GB2312" w:hAnsi="仿宋_GB2312" w:eastAsia="仿宋_GB2312" w:cs="仿宋_GB2312"/>
          <w:spacing w:val="-13"/>
          <w:sz w:val="31"/>
          <w:szCs w:val="31"/>
          <w:lang w:eastAsia="zh-CN"/>
        </w:rPr>
        <w:t>图书馆</w:t>
      </w:r>
      <w:r>
        <w:rPr>
          <w:rFonts w:hint="eastAsia" w:ascii="仿宋_GB2312" w:hAnsi="仿宋_GB2312" w:eastAsia="仿宋_GB2312" w:cs="仿宋_GB2312"/>
          <w:spacing w:val="-13"/>
          <w:sz w:val="31"/>
          <w:szCs w:val="31"/>
        </w:rPr>
        <w:t>（项）。</w:t>
      </w:r>
    </w:p>
    <w:p w14:paraId="4911C611">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hint="eastAsia" w:ascii="仿宋_GB2312" w:hAnsi="仿宋_GB2312" w:eastAsia="仿宋_GB2312" w:cs="仿宋_GB2312"/>
          <w:color w:val="0000FF"/>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8041.11</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8778.79</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109.17</w:t>
      </w:r>
      <w:r>
        <w:rPr>
          <w:rFonts w:hint="eastAsia" w:ascii="仿宋_GB2312" w:hAnsi="仿宋_GB2312" w:eastAsia="仿宋_GB2312" w:cs="仿宋_GB2312"/>
          <w:sz w:val="32"/>
          <w:szCs w:val="32"/>
        </w:rPr>
        <w:t>%，决算数大于年</w:t>
      </w:r>
      <w:r>
        <w:rPr>
          <w:rFonts w:hint="eastAsia" w:ascii="仿宋_GB2312" w:hAnsi="仿宋_GB2312" w:eastAsia="仿宋_GB2312" w:cs="仿宋_GB2312"/>
          <w:color w:val="auto"/>
          <w:sz w:val="32"/>
          <w:szCs w:val="32"/>
        </w:rPr>
        <w:t>初预算数的主要原因是：</w:t>
      </w:r>
      <w:r>
        <w:rPr>
          <w:rFonts w:hint="eastAsia" w:ascii="仿宋_GB2312" w:hAnsi="仿宋_GB2312" w:eastAsia="仿宋_GB2312" w:cs="仿宋_GB2312"/>
          <w:color w:val="auto"/>
          <w:sz w:val="32"/>
          <w:szCs w:val="32"/>
          <w:lang w:val="en-US" w:eastAsia="zh-CN"/>
        </w:rPr>
        <w:t>年中追加了2025年中央支持地方公共文化服务体系建设补助资金，相应支出增加。</w:t>
      </w:r>
    </w:p>
    <w:p w14:paraId="01652F56">
      <w:pPr>
        <w:pStyle w:val="19"/>
        <w:keepNext w:val="0"/>
        <w:keepLines w:val="0"/>
        <w:pageBreakBefore w:val="0"/>
        <w:numPr>
          <w:ilvl w:val="0"/>
          <w:numId w:val="0"/>
        </w:numPr>
        <w:shd w:val="clear"/>
        <w:kinsoku/>
        <w:wordWrap/>
        <w:overflowPunct w:val="0"/>
        <w:topLinePunct w:val="0"/>
        <w:autoSpaceDE/>
        <w:autoSpaceDN/>
        <w:bidi w:val="0"/>
        <w:snapToGrid/>
        <w:spacing w:line="520" w:lineRule="exact"/>
        <w:ind w:left="0" w:right="0" w:firstLine="568" w:firstLineChars="200"/>
        <w:jc w:val="both"/>
        <w:textAlignment w:val="auto"/>
        <w:rPr>
          <w:rFonts w:hint="eastAsia" w:ascii="仿宋_GB2312" w:hAnsi="仿宋_GB2312" w:eastAsia="仿宋_GB2312" w:cs="仿宋_GB2312"/>
          <w:spacing w:val="-13"/>
          <w:sz w:val="31"/>
          <w:szCs w:val="31"/>
        </w:rPr>
      </w:pPr>
      <w:r>
        <w:rPr>
          <w:rFonts w:hint="eastAsia" w:ascii="仿宋_GB2312" w:hAnsi="仿宋_GB2312" w:eastAsia="仿宋_GB2312" w:cs="仿宋_GB2312"/>
          <w:color w:val="000000"/>
          <w:spacing w:val="-13"/>
          <w:sz w:val="31"/>
          <w:szCs w:val="31"/>
          <w:lang w:val="en-US" w:eastAsia="zh-CN" w:bidi="ar-SA"/>
        </w:rPr>
        <w:t>12、</w:t>
      </w:r>
      <w:r>
        <w:rPr>
          <w:rFonts w:hint="eastAsia" w:ascii="仿宋_GB2312" w:hAnsi="仿宋_GB2312" w:eastAsia="仿宋_GB2312" w:cs="仿宋_GB2312"/>
          <w:spacing w:val="-13"/>
          <w:sz w:val="31"/>
          <w:szCs w:val="31"/>
          <w:lang w:eastAsia="zh-CN"/>
        </w:rPr>
        <w:t>文化旅游体育与传媒支出</w:t>
      </w:r>
      <w:r>
        <w:rPr>
          <w:rFonts w:hint="eastAsia" w:ascii="仿宋_GB2312" w:hAnsi="仿宋_GB2312" w:eastAsia="仿宋_GB2312" w:cs="仿宋_GB2312"/>
          <w:spacing w:val="-13"/>
          <w:sz w:val="31"/>
          <w:szCs w:val="31"/>
        </w:rPr>
        <w:t>（类）</w:t>
      </w:r>
      <w:r>
        <w:rPr>
          <w:rFonts w:hint="eastAsia" w:ascii="仿宋_GB2312" w:hAnsi="仿宋_GB2312" w:eastAsia="仿宋_GB2312" w:cs="仿宋_GB2312"/>
          <w:spacing w:val="-13"/>
          <w:sz w:val="31"/>
          <w:szCs w:val="31"/>
          <w:lang w:eastAsia="zh-CN"/>
        </w:rPr>
        <w:t>文化和旅游</w:t>
      </w:r>
      <w:r>
        <w:rPr>
          <w:rFonts w:hint="eastAsia" w:ascii="仿宋_GB2312" w:hAnsi="仿宋_GB2312" w:eastAsia="仿宋_GB2312" w:cs="仿宋_GB2312"/>
          <w:spacing w:val="-13"/>
          <w:sz w:val="31"/>
          <w:szCs w:val="31"/>
        </w:rPr>
        <w:t>（款）</w:t>
      </w:r>
      <w:r>
        <w:rPr>
          <w:rFonts w:hint="eastAsia" w:ascii="仿宋_GB2312" w:hAnsi="仿宋_GB2312" w:eastAsia="仿宋_GB2312" w:cs="仿宋_GB2312"/>
          <w:spacing w:val="-13"/>
          <w:sz w:val="31"/>
          <w:szCs w:val="31"/>
          <w:lang w:eastAsia="zh-CN"/>
        </w:rPr>
        <w:t>艺术表演团体</w:t>
      </w:r>
      <w:r>
        <w:rPr>
          <w:rFonts w:hint="eastAsia" w:ascii="仿宋_GB2312" w:hAnsi="仿宋_GB2312" w:eastAsia="仿宋_GB2312" w:cs="仿宋_GB2312"/>
          <w:spacing w:val="-13"/>
          <w:sz w:val="31"/>
          <w:szCs w:val="31"/>
        </w:rPr>
        <w:t>（项）。</w:t>
      </w:r>
    </w:p>
    <w:p w14:paraId="06772844">
      <w:pPr>
        <w:keepNext w:val="0"/>
        <w:keepLines w:val="0"/>
        <w:pageBreakBefore w:val="0"/>
        <w:widowControl/>
        <w:suppressLineNumbers w:val="0"/>
        <w:kinsoku/>
        <w:wordWrap/>
        <w:topLinePunct w:val="0"/>
        <w:bidi w:val="0"/>
        <w:snapToGrid/>
        <w:spacing w:line="520" w:lineRule="exact"/>
        <w:ind w:left="0" w:right="0" w:firstLine="640" w:firstLineChars="200"/>
        <w:jc w:val="left"/>
        <w:textAlignment w:val="auto"/>
        <w:rPr>
          <w:rFonts w:hint="eastAsia" w:ascii="仿宋_GB2312" w:hAnsi="仿宋_GB2312" w:eastAsia="仿宋_GB2312" w:cs="仿宋_GB231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5275.99</w:t>
      </w:r>
      <w:r>
        <w:rPr>
          <w:rFonts w:hint="eastAsia" w:ascii="仿宋_GB2312" w:hAnsi="仿宋_GB2312" w:eastAsia="仿宋_GB2312" w:cs="仿宋_GB2312"/>
          <w:sz w:val="32"/>
          <w:szCs w:val="32"/>
        </w:rPr>
        <w:t>万元，支出决</w:t>
      </w:r>
      <w:r>
        <w:rPr>
          <w:rFonts w:hint="eastAsia" w:ascii="仿宋_GB2312" w:hAnsi="仿宋_GB2312" w:eastAsia="仿宋_GB2312" w:cs="仿宋_GB2312"/>
          <w:color w:val="auto"/>
          <w:sz w:val="32"/>
          <w:szCs w:val="32"/>
        </w:rPr>
        <w:t>算为</w:t>
      </w:r>
      <w:r>
        <w:rPr>
          <w:rFonts w:hint="eastAsia" w:ascii="仿宋_GB2312" w:hAnsi="仿宋_GB2312" w:eastAsia="仿宋_GB2312" w:cs="仿宋_GB2312"/>
          <w:color w:val="auto"/>
          <w:sz w:val="32"/>
          <w:szCs w:val="32"/>
          <w:lang w:val="en-US" w:eastAsia="zh-CN"/>
        </w:rPr>
        <w:t>6213.63</w:t>
      </w:r>
      <w:r>
        <w:rPr>
          <w:rFonts w:hint="eastAsia" w:ascii="仿宋_GB2312" w:hAnsi="仿宋_GB2312" w:eastAsia="仿宋_GB2312" w:cs="仿宋_GB2312"/>
          <w:color w:val="auto"/>
          <w:sz w:val="32"/>
          <w:szCs w:val="32"/>
        </w:rPr>
        <w:t>万元，完成年初预算的</w:t>
      </w:r>
      <w:r>
        <w:rPr>
          <w:rFonts w:hint="eastAsia" w:ascii="仿宋_GB2312" w:hAnsi="仿宋_GB2312" w:eastAsia="仿宋_GB2312" w:cs="仿宋_GB2312"/>
          <w:color w:val="auto"/>
          <w:sz w:val="32"/>
          <w:szCs w:val="32"/>
          <w:lang w:val="en-US" w:eastAsia="zh-CN"/>
        </w:rPr>
        <w:t>117.77</w:t>
      </w:r>
      <w:r>
        <w:rPr>
          <w:rFonts w:hint="eastAsia" w:ascii="仿宋_GB2312" w:hAnsi="仿宋_GB2312" w:eastAsia="仿宋_GB2312" w:cs="仿宋_GB2312"/>
          <w:color w:val="auto"/>
          <w:sz w:val="32"/>
          <w:szCs w:val="32"/>
        </w:rPr>
        <w:t>%，决算数大于年初预算数的主要原因是：</w:t>
      </w:r>
      <w:r>
        <w:rPr>
          <w:rFonts w:hint="eastAsia" w:ascii="仿宋_GB2312" w:hAnsi="仿宋_GB2312" w:eastAsia="仿宋_GB2312" w:cs="仿宋_GB2312"/>
          <w:color w:val="000000"/>
          <w:kern w:val="0"/>
          <w:sz w:val="31"/>
          <w:szCs w:val="31"/>
          <w:lang w:val="en-US" w:eastAsia="zh-CN" w:bidi="ar"/>
        </w:rPr>
        <w:t>年中追加了中央支持地方公共文化服务体系建设项目和政策性人员经费调增。</w:t>
      </w:r>
    </w:p>
    <w:p w14:paraId="23D652F2">
      <w:pPr>
        <w:pStyle w:val="19"/>
        <w:keepNext w:val="0"/>
        <w:keepLines w:val="0"/>
        <w:pageBreakBefore w:val="0"/>
        <w:numPr>
          <w:ilvl w:val="0"/>
          <w:numId w:val="0"/>
        </w:numPr>
        <w:shd w:val="clear"/>
        <w:kinsoku/>
        <w:wordWrap/>
        <w:overflowPunct w:val="0"/>
        <w:topLinePunct w:val="0"/>
        <w:autoSpaceDE/>
        <w:autoSpaceDN/>
        <w:bidi w:val="0"/>
        <w:snapToGrid/>
        <w:spacing w:line="520" w:lineRule="exact"/>
        <w:ind w:left="0" w:right="0" w:firstLine="568" w:firstLineChars="200"/>
        <w:jc w:val="both"/>
        <w:textAlignment w:val="auto"/>
        <w:rPr>
          <w:rFonts w:hint="eastAsia" w:ascii="仿宋_GB2312" w:hAnsi="仿宋_GB2312" w:eastAsia="仿宋_GB2312" w:cs="仿宋_GB2312"/>
          <w:spacing w:val="-13"/>
          <w:sz w:val="31"/>
          <w:szCs w:val="31"/>
        </w:rPr>
      </w:pPr>
      <w:r>
        <w:rPr>
          <w:rFonts w:hint="eastAsia" w:ascii="仿宋_GB2312" w:hAnsi="仿宋_GB2312" w:eastAsia="仿宋_GB2312" w:cs="仿宋_GB2312"/>
          <w:color w:val="000000"/>
          <w:spacing w:val="-13"/>
          <w:sz w:val="31"/>
          <w:szCs w:val="31"/>
          <w:lang w:val="en-US" w:eastAsia="zh-CN" w:bidi="ar-SA"/>
        </w:rPr>
        <w:t>13、</w:t>
      </w:r>
      <w:r>
        <w:rPr>
          <w:rFonts w:hint="eastAsia" w:ascii="仿宋_GB2312" w:hAnsi="仿宋_GB2312" w:eastAsia="仿宋_GB2312" w:cs="仿宋_GB2312"/>
          <w:spacing w:val="-13"/>
          <w:sz w:val="31"/>
          <w:szCs w:val="31"/>
          <w:lang w:eastAsia="zh-CN"/>
        </w:rPr>
        <w:t>文化旅游体育与传媒支出</w:t>
      </w:r>
      <w:r>
        <w:rPr>
          <w:rFonts w:hint="eastAsia" w:ascii="仿宋_GB2312" w:hAnsi="仿宋_GB2312" w:eastAsia="仿宋_GB2312" w:cs="仿宋_GB2312"/>
          <w:spacing w:val="-13"/>
          <w:sz w:val="31"/>
          <w:szCs w:val="31"/>
        </w:rPr>
        <w:t>（类）</w:t>
      </w:r>
      <w:r>
        <w:rPr>
          <w:rFonts w:hint="eastAsia" w:ascii="仿宋_GB2312" w:hAnsi="仿宋_GB2312" w:eastAsia="仿宋_GB2312" w:cs="仿宋_GB2312"/>
          <w:spacing w:val="-13"/>
          <w:sz w:val="31"/>
          <w:szCs w:val="31"/>
          <w:lang w:eastAsia="zh-CN"/>
        </w:rPr>
        <w:t>文化和旅游</w:t>
      </w:r>
      <w:r>
        <w:rPr>
          <w:rFonts w:hint="eastAsia" w:ascii="仿宋_GB2312" w:hAnsi="仿宋_GB2312" w:eastAsia="仿宋_GB2312" w:cs="仿宋_GB2312"/>
          <w:spacing w:val="-13"/>
          <w:sz w:val="31"/>
          <w:szCs w:val="31"/>
        </w:rPr>
        <w:t>（款）</w:t>
      </w:r>
      <w:r>
        <w:rPr>
          <w:rFonts w:hint="eastAsia" w:ascii="仿宋_GB2312" w:hAnsi="仿宋_GB2312" w:eastAsia="仿宋_GB2312" w:cs="仿宋_GB2312"/>
          <w:spacing w:val="-13"/>
          <w:sz w:val="31"/>
          <w:szCs w:val="31"/>
          <w:lang w:eastAsia="zh-CN"/>
        </w:rPr>
        <w:t>群众文化</w:t>
      </w:r>
      <w:r>
        <w:rPr>
          <w:rFonts w:hint="eastAsia" w:ascii="仿宋_GB2312" w:hAnsi="仿宋_GB2312" w:eastAsia="仿宋_GB2312" w:cs="仿宋_GB2312"/>
          <w:spacing w:val="-13"/>
          <w:sz w:val="31"/>
          <w:szCs w:val="31"/>
        </w:rPr>
        <w:t>（项）。</w:t>
      </w:r>
    </w:p>
    <w:p w14:paraId="18073769">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1851.45</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1878.94</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101.48</w:t>
      </w:r>
      <w:r>
        <w:rPr>
          <w:rFonts w:hint="eastAsia" w:ascii="仿宋_GB2312" w:hAnsi="仿宋_GB2312" w:eastAsia="仿宋_GB2312" w:cs="仿宋_GB2312"/>
          <w:sz w:val="32"/>
          <w:szCs w:val="32"/>
        </w:rPr>
        <w:t>%，决</w:t>
      </w:r>
      <w:r>
        <w:rPr>
          <w:rFonts w:hint="eastAsia" w:ascii="仿宋_GB2312" w:hAnsi="仿宋_GB2312" w:eastAsia="仿宋_GB2312" w:cs="仿宋_GB2312"/>
          <w:color w:val="auto"/>
          <w:sz w:val="32"/>
          <w:szCs w:val="32"/>
        </w:rPr>
        <w:t>算数大于年初预算数的主要原因是：</w:t>
      </w:r>
      <w:r>
        <w:rPr>
          <w:rFonts w:hint="eastAsia" w:ascii="仿宋_GB2312" w:hAnsi="仿宋_GB2312" w:eastAsia="仿宋_GB2312" w:cs="仿宋_GB2312"/>
          <w:color w:val="auto"/>
          <w:sz w:val="32"/>
          <w:szCs w:val="32"/>
          <w:lang w:val="en-US" w:eastAsia="zh-CN"/>
        </w:rPr>
        <w:t>年中财政追加新增项目资金。</w:t>
      </w:r>
    </w:p>
    <w:p w14:paraId="66B254D4">
      <w:pPr>
        <w:pStyle w:val="19"/>
        <w:keepNext w:val="0"/>
        <w:keepLines w:val="0"/>
        <w:pageBreakBefore w:val="0"/>
        <w:numPr>
          <w:ilvl w:val="0"/>
          <w:numId w:val="0"/>
        </w:numPr>
        <w:shd w:val="clear"/>
        <w:kinsoku/>
        <w:wordWrap/>
        <w:overflowPunct w:val="0"/>
        <w:topLinePunct w:val="0"/>
        <w:autoSpaceDE/>
        <w:autoSpaceDN/>
        <w:bidi w:val="0"/>
        <w:snapToGrid/>
        <w:spacing w:line="520" w:lineRule="exact"/>
        <w:ind w:left="0" w:right="0" w:firstLine="568" w:firstLineChars="200"/>
        <w:jc w:val="both"/>
        <w:textAlignment w:val="auto"/>
        <w:rPr>
          <w:rFonts w:hint="eastAsia" w:ascii="仿宋_GB2312" w:hAnsi="仿宋_GB2312" w:eastAsia="仿宋_GB2312" w:cs="仿宋_GB2312"/>
          <w:spacing w:val="-13"/>
          <w:sz w:val="31"/>
          <w:szCs w:val="31"/>
          <w:highlight w:val="none"/>
        </w:rPr>
      </w:pPr>
      <w:r>
        <w:rPr>
          <w:rFonts w:hint="eastAsia" w:ascii="仿宋_GB2312" w:hAnsi="仿宋_GB2312" w:eastAsia="仿宋_GB2312" w:cs="仿宋_GB2312"/>
          <w:color w:val="000000"/>
          <w:spacing w:val="-13"/>
          <w:sz w:val="31"/>
          <w:szCs w:val="31"/>
          <w:highlight w:val="none"/>
          <w:lang w:val="en-US" w:eastAsia="zh-CN" w:bidi="ar-SA"/>
        </w:rPr>
        <w:t>14、</w:t>
      </w:r>
      <w:r>
        <w:rPr>
          <w:rFonts w:hint="eastAsia" w:ascii="仿宋_GB2312" w:hAnsi="仿宋_GB2312" w:eastAsia="仿宋_GB2312" w:cs="仿宋_GB2312"/>
          <w:spacing w:val="-13"/>
          <w:sz w:val="31"/>
          <w:szCs w:val="31"/>
          <w:highlight w:val="none"/>
          <w:lang w:eastAsia="zh-CN"/>
        </w:rPr>
        <w:t>文化旅游体育与传媒支出</w:t>
      </w:r>
      <w:r>
        <w:rPr>
          <w:rFonts w:hint="eastAsia" w:ascii="仿宋_GB2312" w:hAnsi="仿宋_GB2312" w:eastAsia="仿宋_GB2312" w:cs="仿宋_GB2312"/>
          <w:spacing w:val="-13"/>
          <w:sz w:val="31"/>
          <w:szCs w:val="31"/>
          <w:highlight w:val="none"/>
        </w:rPr>
        <w:t>（类）</w:t>
      </w:r>
      <w:r>
        <w:rPr>
          <w:rFonts w:hint="eastAsia" w:ascii="仿宋_GB2312" w:hAnsi="仿宋_GB2312" w:eastAsia="仿宋_GB2312" w:cs="仿宋_GB2312"/>
          <w:spacing w:val="-13"/>
          <w:sz w:val="31"/>
          <w:szCs w:val="31"/>
          <w:highlight w:val="none"/>
          <w:lang w:eastAsia="zh-CN"/>
        </w:rPr>
        <w:t>文化和旅游</w:t>
      </w:r>
      <w:r>
        <w:rPr>
          <w:rFonts w:hint="eastAsia" w:ascii="仿宋_GB2312" w:hAnsi="仿宋_GB2312" w:eastAsia="仿宋_GB2312" w:cs="仿宋_GB2312"/>
          <w:spacing w:val="-13"/>
          <w:sz w:val="31"/>
          <w:szCs w:val="31"/>
          <w:highlight w:val="none"/>
        </w:rPr>
        <w:t>（款）</w:t>
      </w:r>
      <w:r>
        <w:rPr>
          <w:rFonts w:hint="eastAsia" w:ascii="仿宋_GB2312" w:hAnsi="仿宋_GB2312" w:eastAsia="仿宋_GB2312" w:cs="仿宋_GB2312"/>
          <w:spacing w:val="-13"/>
          <w:sz w:val="31"/>
          <w:szCs w:val="31"/>
          <w:highlight w:val="none"/>
          <w:lang w:eastAsia="zh-CN"/>
        </w:rPr>
        <w:t>文化和旅游交流与合作</w:t>
      </w:r>
      <w:r>
        <w:rPr>
          <w:rFonts w:hint="eastAsia" w:ascii="仿宋_GB2312" w:hAnsi="仿宋_GB2312" w:eastAsia="仿宋_GB2312" w:cs="仿宋_GB2312"/>
          <w:spacing w:val="-13"/>
          <w:sz w:val="31"/>
          <w:szCs w:val="31"/>
          <w:highlight w:val="none"/>
        </w:rPr>
        <w:t>（项）。</w:t>
      </w:r>
    </w:p>
    <w:p w14:paraId="5230CD10">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75</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73.17</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97.56</w:t>
      </w:r>
      <w:r>
        <w:rPr>
          <w:rFonts w:hint="eastAsia" w:ascii="仿宋_GB2312" w:hAnsi="仿宋_GB2312" w:eastAsia="仿宋_GB2312" w:cs="仿宋_GB2312"/>
          <w:sz w:val="32"/>
          <w:szCs w:val="32"/>
        </w:rPr>
        <w:t>%，决算数小于年初预算数的主要原因是：</w:t>
      </w:r>
      <w:r>
        <w:rPr>
          <w:rFonts w:hint="eastAsia" w:ascii="仿宋_GB2312" w:hAnsi="仿宋_GB2312" w:eastAsia="仿宋_GB2312" w:cs="仿宋_GB2312"/>
          <w:spacing w:val="7"/>
          <w:sz w:val="31"/>
          <w:szCs w:val="31"/>
        </w:rPr>
        <w:t>基本按</w:t>
      </w:r>
      <w:r>
        <w:rPr>
          <w:rFonts w:hint="eastAsia" w:ascii="仿宋_GB2312" w:hAnsi="仿宋_GB2312" w:eastAsia="仿宋_GB2312" w:cs="仿宋_GB2312"/>
          <w:spacing w:val="-2"/>
          <w:sz w:val="31"/>
          <w:szCs w:val="31"/>
        </w:rPr>
        <w:t>照预算执行</w:t>
      </w:r>
      <w:r>
        <w:rPr>
          <w:rFonts w:hint="eastAsia" w:ascii="仿宋_GB2312" w:hAnsi="仿宋_GB2312" w:eastAsia="仿宋_GB2312" w:cs="仿宋_GB2312"/>
          <w:spacing w:val="-2"/>
          <w:sz w:val="31"/>
          <w:szCs w:val="31"/>
          <w:lang w:eastAsia="zh-CN"/>
        </w:rPr>
        <w:t>。</w:t>
      </w:r>
    </w:p>
    <w:p w14:paraId="7AC7E814">
      <w:pPr>
        <w:pStyle w:val="19"/>
        <w:keepNext w:val="0"/>
        <w:keepLines w:val="0"/>
        <w:pageBreakBefore w:val="0"/>
        <w:numPr>
          <w:ilvl w:val="0"/>
          <w:numId w:val="0"/>
        </w:numPr>
        <w:shd w:val="clear"/>
        <w:kinsoku/>
        <w:wordWrap/>
        <w:overflowPunct w:val="0"/>
        <w:topLinePunct w:val="0"/>
        <w:autoSpaceDE/>
        <w:autoSpaceDN/>
        <w:bidi w:val="0"/>
        <w:snapToGrid/>
        <w:spacing w:line="520" w:lineRule="exact"/>
        <w:ind w:left="0" w:right="0" w:firstLine="568" w:firstLineChars="200"/>
        <w:jc w:val="both"/>
        <w:textAlignment w:val="auto"/>
        <w:rPr>
          <w:rFonts w:hint="eastAsia" w:ascii="仿宋_GB2312" w:hAnsi="仿宋_GB2312" w:eastAsia="仿宋_GB2312" w:cs="仿宋_GB2312"/>
          <w:spacing w:val="-13"/>
          <w:sz w:val="31"/>
          <w:szCs w:val="31"/>
        </w:rPr>
      </w:pPr>
      <w:r>
        <w:rPr>
          <w:rFonts w:hint="eastAsia" w:ascii="仿宋_GB2312" w:hAnsi="仿宋_GB2312" w:eastAsia="仿宋_GB2312" w:cs="仿宋_GB2312"/>
          <w:color w:val="000000"/>
          <w:spacing w:val="-13"/>
          <w:sz w:val="31"/>
          <w:szCs w:val="31"/>
          <w:lang w:val="en-US" w:eastAsia="zh-CN" w:bidi="ar-SA"/>
        </w:rPr>
        <w:t>15、</w:t>
      </w:r>
      <w:r>
        <w:rPr>
          <w:rFonts w:hint="eastAsia" w:ascii="仿宋_GB2312" w:hAnsi="仿宋_GB2312" w:eastAsia="仿宋_GB2312" w:cs="仿宋_GB2312"/>
          <w:spacing w:val="-13"/>
          <w:sz w:val="31"/>
          <w:szCs w:val="31"/>
          <w:lang w:eastAsia="zh-CN"/>
        </w:rPr>
        <w:t>文化旅游体育与传媒支出</w:t>
      </w:r>
      <w:r>
        <w:rPr>
          <w:rFonts w:hint="eastAsia" w:ascii="仿宋_GB2312" w:hAnsi="仿宋_GB2312" w:eastAsia="仿宋_GB2312" w:cs="仿宋_GB2312"/>
          <w:spacing w:val="-13"/>
          <w:sz w:val="31"/>
          <w:szCs w:val="31"/>
        </w:rPr>
        <w:t>（类）</w:t>
      </w:r>
      <w:r>
        <w:rPr>
          <w:rFonts w:hint="eastAsia" w:ascii="仿宋_GB2312" w:hAnsi="仿宋_GB2312" w:eastAsia="仿宋_GB2312" w:cs="仿宋_GB2312"/>
          <w:spacing w:val="-13"/>
          <w:sz w:val="31"/>
          <w:szCs w:val="31"/>
          <w:lang w:eastAsia="zh-CN"/>
        </w:rPr>
        <w:t>文化和旅游</w:t>
      </w:r>
      <w:r>
        <w:rPr>
          <w:rFonts w:hint="eastAsia" w:ascii="仿宋_GB2312" w:hAnsi="仿宋_GB2312" w:eastAsia="仿宋_GB2312" w:cs="仿宋_GB2312"/>
          <w:spacing w:val="-13"/>
          <w:sz w:val="31"/>
          <w:szCs w:val="31"/>
        </w:rPr>
        <w:t>（款）</w:t>
      </w:r>
      <w:r>
        <w:rPr>
          <w:rFonts w:hint="eastAsia" w:ascii="仿宋_GB2312" w:hAnsi="仿宋_GB2312" w:eastAsia="仿宋_GB2312" w:cs="仿宋_GB2312"/>
          <w:spacing w:val="-13"/>
          <w:sz w:val="31"/>
          <w:szCs w:val="31"/>
          <w:lang w:eastAsia="zh-CN"/>
        </w:rPr>
        <w:t>文化创作与保护</w:t>
      </w:r>
      <w:r>
        <w:rPr>
          <w:rFonts w:hint="eastAsia" w:ascii="仿宋_GB2312" w:hAnsi="仿宋_GB2312" w:eastAsia="仿宋_GB2312" w:cs="仿宋_GB2312"/>
          <w:spacing w:val="-13"/>
          <w:sz w:val="31"/>
          <w:szCs w:val="31"/>
        </w:rPr>
        <w:t>（项）。</w:t>
      </w:r>
    </w:p>
    <w:p w14:paraId="28173386">
      <w:pPr>
        <w:keepNext w:val="0"/>
        <w:keepLines w:val="0"/>
        <w:pageBreakBefore w:val="0"/>
        <w:kinsoku/>
        <w:wordWrap/>
        <w:topLinePunct w:val="0"/>
        <w:bidi w:val="0"/>
        <w:snapToGrid/>
        <w:spacing w:line="520" w:lineRule="exact"/>
        <w:ind w:left="0" w:righ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1128.68</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1407.3</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124.69</w:t>
      </w:r>
      <w:r>
        <w:rPr>
          <w:rFonts w:hint="eastAsia" w:ascii="仿宋_GB2312" w:hAnsi="仿宋_GB2312" w:eastAsia="仿宋_GB2312" w:cs="仿宋_GB2312"/>
          <w:sz w:val="32"/>
          <w:szCs w:val="32"/>
        </w:rPr>
        <w:t>%，决算数大于年初预算数的主要原因是：年中追加了非物质文化遗产保护资金。</w:t>
      </w:r>
    </w:p>
    <w:p w14:paraId="3C94EA55">
      <w:pPr>
        <w:pStyle w:val="19"/>
        <w:keepNext w:val="0"/>
        <w:keepLines w:val="0"/>
        <w:pageBreakBefore w:val="0"/>
        <w:numPr>
          <w:ilvl w:val="0"/>
          <w:numId w:val="0"/>
        </w:numPr>
        <w:shd w:val="clear"/>
        <w:kinsoku/>
        <w:wordWrap/>
        <w:overflowPunct w:val="0"/>
        <w:topLinePunct w:val="0"/>
        <w:autoSpaceDE/>
        <w:autoSpaceDN/>
        <w:bidi w:val="0"/>
        <w:snapToGrid/>
        <w:spacing w:line="520" w:lineRule="exact"/>
        <w:ind w:left="0" w:right="0" w:firstLine="568" w:firstLineChars="200"/>
        <w:jc w:val="both"/>
        <w:textAlignment w:val="auto"/>
        <w:rPr>
          <w:rFonts w:hint="eastAsia" w:ascii="仿宋_GB2312" w:hAnsi="仿宋_GB2312" w:eastAsia="仿宋_GB2312" w:cs="仿宋_GB2312"/>
          <w:spacing w:val="-13"/>
          <w:sz w:val="31"/>
          <w:szCs w:val="31"/>
        </w:rPr>
      </w:pPr>
      <w:r>
        <w:rPr>
          <w:rFonts w:hint="eastAsia" w:ascii="仿宋_GB2312" w:hAnsi="仿宋_GB2312" w:eastAsia="仿宋_GB2312" w:cs="仿宋_GB2312"/>
          <w:color w:val="000000"/>
          <w:spacing w:val="-13"/>
          <w:sz w:val="31"/>
          <w:szCs w:val="31"/>
          <w:lang w:val="en-US" w:eastAsia="zh-CN" w:bidi="ar-SA"/>
        </w:rPr>
        <w:t>16、</w:t>
      </w:r>
      <w:r>
        <w:rPr>
          <w:rFonts w:hint="eastAsia" w:ascii="仿宋_GB2312" w:hAnsi="仿宋_GB2312" w:eastAsia="仿宋_GB2312" w:cs="仿宋_GB2312"/>
          <w:spacing w:val="-13"/>
          <w:sz w:val="31"/>
          <w:szCs w:val="31"/>
          <w:lang w:eastAsia="zh-CN"/>
        </w:rPr>
        <w:t>文化旅游体育与传媒支出</w:t>
      </w:r>
      <w:r>
        <w:rPr>
          <w:rFonts w:hint="eastAsia" w:ascii="仿宋_GB2312" w:hAnsi="仿宋_GB2312" w:eastAsia="仿宋_GB2312" w:cs="仿宋_GB2312"/>
          <w:spacing w:val="-13"/>
          <w:sz w:val="31"/>
          <w:szCs w:val="31"/>
        </w:rPr>
        <w:t>（类）</w:t>
      </w:r>
      <w:r>
        <w:rPr>
          <w:rFonts w:hint="eastAsia" w:ascii="仿宋_GB2312" w:hAnsi="仿宋_GB2312" w:eastAsia="仿宋_GB2312" w:cs="仿宋_GB2312"/>
          <w:spacing w:val="-13"/>
          <w:sz w:val="31"/>
          <w:szCs w:val="31"/>
          <w:lang w:eastAsia="zh-CN"/>
        </w:rPr>
        <w:t>文化和旅游</w:t>
      </w:r>
      <w:r>
        <w:rPr>
          <w:rFonts w:hint="eastAsia" w:ascii="仿宋_GB2312" w:hAnsi="仿宋_GB2312" w:eastAsia="仿宋_GB2312" w:cs="仿宋_GB2312"/>
          <w:spacing w:val="-13"/>
          <w:sz w:val="31"/>
          <w:szCs w:val="31"/>
        </w:rPr>
        <w:t>（款）</w:t>
      </w:r>
      <w:r>
        <w:rPr>
          <w:rFonts w:hint="eastAsia" w:ascii="仿宋_GB2312" w:hAnsi="仿宋_GB2312" w:eastAsia="仿宋_GB2312" w:cs="仿宋_GB2312"/>
          <w:spacing w:val="-13"/>
          <w:sz w:val="31"/>
          <w:szCs w:val="31"/>
          <w:lang w:eastAsia="zh-CN"/>
        </w:rPr>
        <w:t>文化和旅游市场管理</w:t>
      </w:r>
      <w:r>
        <w:rPr>
          <w:rFonts w:hint="eastAsia" w:ascii="仿宋_GB2312" w:hAnsi="仿宋_GB2312" w:eastAsia="仿宋_GB2312" w:cs="仿宋_GB2312"/>
          <w:spacing w:val="-13"/>
          <w:sz w:val="31"/>
          <w:szCs w:val="31"/>
        </w:rPr>
        <w:t>（项）。</w:t>
      </w:r>
    </w:p>
    <w:p w14:paraId="0159E3FF">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250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156.36</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62.54</w:t>
      </w:r>
      <w:r>
        <w:rPr>
          <w:rFonts w:hint="eastAsia" w:ascii="仿宋_GB2312" w:hAnsi="仿宋_GB2312" w:eastAsia="仿宋_GB2312" w:cs="仿宋_GB2312"/>
          <w:sz w:val="32"/>
          <w:szCs w:val="32"/>
        </w:rPr>
        <w:t>%，决算数小于年初预算数的主要原因是：</w:t>
      </w:r>
      <w:r>
        <w:rPr>
          <w:rFonts w:hint="eastAsia" w:ascii="仿宋_GB2312" w:hAnsi="仿宋_GB2312" w:eastAsia="仿宋_GB2312" w:cs="仿宋_GB2312"/>
          <w:spacing w:val="7"/>
          <w:sz w:val="31"/>
          <w:szCs w:val="31"/>
        </w:rPr>
        <w:t>部分</w:t>
      </w:r>
      <w:r>
        <w:rPr>
          <w:rFonts w:hint="eastAsia" w:ascii="仿宋_GB2312" w:hAnsi="仿宋_GB2312" w:eastAsia="仿宋_GB2312" w:cs="仿宋_GB2312"/>
          <w:spacing w:val="6"/>
          <w:sz w:val="31"/>
          <w:szCs w:val="31"/>
        </w:rPr>
        <w:t>项目预留的合同尾款，待项目验收合格后支付</w:t>
      </w:r>
      <w:r>
        <w:rPr>
          <w:rFonts w:hint="eastAsia" w:ascii="仿宋_GB2312" w:hAnsi="仿宋_GB2312" w:eastAsia="仿宋_GB2312" w:cs="仿宋_GB2312"/>
          <w:spacing w:val="6"/>
          <w:sz w:val="31"/>
          <w:szCs w:val="31"/>
          <w:lang w:eastAsia="zh-CN"/>
        </w:rPr>
        <w:t>。</w:t>
      </w:r>
    </w:p>
    <w:p w14:paraId="7A108B00">
      <w:pPr>
        <w:pStyle w:val="19"/>
        <w:keepNext w:val="0"/>
        <w:keepLines w:val="0"/>
        <w:pageBreakBefore w:val="0"/>
        <w:numPr>
          <w:ilvl w:val="0"/>
          <w:numId w:val="0"/>
        </w:numPr>
        <w:shd w:val="clear"/>
        <w:kinsoku/>
        <w:wordWrap/>
        <w:overflowPunct w:val="0"/>
        <w:topLinePunct w:val="0"/>
        <w:autoSpaceDE/>
        <w:autoSpaceDN/>
        <w:bidi w:val="0"/>
        <w:snapToGrid/>
        <w:spacing w:line="520" w:lineRule="exact"/>
        <w:ind w:left="0" w:right="0" w:firstLine="568" w:firstLineChars="200"/>
        <w:jc w:val="both"/>
        <w:textAlignment w:val="auto"/>
        <w:rPr>
          <w:rFonts w:hint="eastAsia" w:ascii="仿宋_GB2312" w:hAnsi="仿宋_GB2312" w:eastAsia="仿宋_GB2312" w:cs="仿宋_GB2312"/>
          <w:spacing w:val="-13"/>
          <w:sz w:val="31"/>
          <w:szCs w:val="31"/>
        </w:rPr>
      </w:pPr>
      <w:r>
        <w:rPr>
          <w:rFonts w:hint="eastAsia" w:ascii="仿宋_GB2312" w:hAnsi="仿宋_GB2312" w:eastAsia="仿宋_GB2312" w:cs="仿宋_GB2312"/>
          <w:color w:val="000000"/>
          <w:spacing w:val="-13"/>
          <w:sz w:val="31"/>
          <w:szCs w:val="31"/>
          <w:lang w:val="en-US" w:eastAsia="zh-CN" w:bidi="ar-SA"/>
        </w:rPr>
        <w:t>17、</w:t>
      </w:r>
      <w:r>
        <w:rPr>
          <w:rFonts w:hint="eastAsia" w:ascii="仿宋_GB2312" w:hAnsi="仿宋_GB2312" w:eastAsia="仿宋_GB2312" w:cs="仿宋_GB2312"/>
          <w:spacing w:val="-13"/>
          <w:sz w:val="31"/>
          <w:szCs w:val="31"/>
          <w:lang w:eastAsia="zh-CN"/>
        </w:rPr>
        <w:t>文化旅游体育与传媒支出</w:t>
      </w:r>
      <w:r>
        <w:rPr>
          <w:rFonts w:hint="eastAsia" w:ascii="仿宋_GB2312" w:hAnsi="仿宋_GB2312" w:eastAsia="仿宋_GB2312" w:cs="仿宋_GB2312"/>
          <w:spacing w:val="-13"/>
          <w:sz w:val="31"/>
          <w:szCs w:val="31"/>
        </w:rPr>
        <w:t>（类）</w:t>
      </w:r>
      <w:r>
        <w:rPr>
          <w:rFonts w:hint="eastAsia" w:ascii="仿宋_GB2312" w:hAnsi="仿宋_GB2312" w:eastAsia="仿宋_GB2312" w:cs="仿宋_GB2312"/>
          <w:spacing w:val="-13"/>
          <w:sz w:val="31"/>
          <w:szCs w:val="31"/>
          <w:lang w:eastAsia="zh-CN"/>
        </w:rPr>
        <w:t>文化和旅游</w:t>
      </w:r>
      <w:r>
        <w:rPr>
          <w:rFonts w:hint="eastAsia" w:ascii="仿宋_GB2312" w:hAnsi="仿宋_GB2312" w:eastAsia="仿宋_GB2312" w:cs="仿宋_GB2312"/>
          <w:spacing w:val="-13"/>
          <w:sz w:val="31"/>
          <w:szCs w:val="31"/>
        </w:rPr>
        <w:t>（款）</w:t>
      </w:r>
      <w:r>
        <w:rPr>
          <w:rFonts w:hint="eastAsia" w:ascii="仿宋_GB2312" w:hAnsi="仿宋_GB2312" w:eastAsia="仿宋_GB2312" w:cs="仿宋_GB2312"/>
          <w:spacing w:val="-13"/>
          <w:sz w:val="31"/>
          <w:szCs w:val="31"/>
          <w:lang w:eastAsia="zh-CN"/>
        </w:rPr>
        <w:t>旅游宣传</w:t>
      </w:r>
      <w:r>
        <w:rPr>
          <w:rFonts w:hint="eastAsia" w:ascii="仿宋_GB2312" w:hAnsi="仿宋_GB2312" w:eastAsia="仿宋_GB2312" w:cs="仿宋_GB2312"/>
          <w:spacing w:val="-13"/>
          <w:sz w:val="31"/>
          <w:szCs w:val="31"/>
        </w:rPr>
        <w:t>（项）。</w:t>
      </w:r>
    </w:p>
    <w:p w14:paraId="69D443E6">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4178.33</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4163.22</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99.64</w:t>
      </w:r>
      <w:r>
        <w:rPr>
          <w:rFonts w:hint="eastAsia" w:ascii="仿宋_GB2312" w:hAnsi="仿宋_GB2312" w:eastAsia="仿宋_GB2312" w:cs="仿宋_GB2312"/>
          <w:sz w:val="32"/>
          <w:szCs w:val="32"/>
        </w:rPr>
        <w:t>%，决算数小于年初预算数的主要原因是：</w:t>
      </w:r>
      <w:r>
        <w:rPr>
          <w:rFonts w:hint="eastAsia" w:ascii="仿宋_GB2312" w:hAnsi="仿宋_GB2312" w:eastAsia="仿宋_GB2312" w:cs="仿宋_GB2312"/>
          <w:spacing w:val="7"/>
          <w:sz w:val="31"/>
          <w:szCs w:val="31"/>
        </w:rPr>
        <w:t>基本按</w:t>
      </w:r>
      <w:r>
        <w:rPr>
          <w:rFonts w:hint="eastAsia" w:ascii="仿宋_GB2312" w:hAnsi="仿宋_GB2312" w:eastAsia="仿宋_GB2312" w:cs="仿宋_GB2312"/>
          <w:spacing w:val="-2"/>
          <w:sz w:val="31"/>
          <w:szCs w:val="31"/>
        </w:rPr>
        <w:t>照预算执行</w:t>
      </w:r>
      <w:r>
        <w:rPr>
          <w:rFonts w:hint="eastAsia" w:ascii="仿宋_GB2312" w:hAnsi="仿宋_GB2312" w:eastAsia="仿宋_GB2312" w:cs="仿宋_GB2312"/>
          <w:spacing w:val="-2"/>
          <w:sz w:val="31"/>
          <w:szCs w:val="31"/>
          <w:lang w:eastAsia="zh-CN"/>
        </w:rPr>
        <w:t>。</w:t>
      </w:r>
    </w:p>
    <w:p w14:paraId="242C8979">
      <w:pPr>
        <w:pStyle w:val="19"/>
        <w:keepNext w:val="0"/>
        <w:keepLines w:val="0"/>
        <w:pageBreakBefore w:val="0"/>
        <w:numPr>
          <w:ilvl w:val="0"/>
          <w:numId w:val="0"/>
        </w:numPr>
        <w:shd w:val="clear"/>
        <w:kinsoku/>
        <w:wordWrap/>
        <w:overflowPunct w:val="0"/>
        <w:topLinePunct w:val="0"/>
        <w:autoSpaceDE/>
        <w:autoSpaceDN/>
        <w:bidi w:val="0"/>
        <w:snapToGrid/>
        <w:spacing w:line="520" w:lineRule="exact"/>
        <w:ind w:left="0" w:right="0" w:firstLine="568" w:firstLineChars="200"/>
        <w:jc w:val="both"/>
        <w:textAlignment w:val="auto"/>
        <w:rPr>
          <w:rFonts w:hint="eastAsia" w:ascii="仿宋_GB2312" w:hAnsi="仿宋_GB2312" w:eastAsia="仿宋_GB2312" w:cs="仿宋_GB2312"/>
          <w:spacing w:val="-13"/>
          <w:sz w:val="31"/>
          <w:szCs w:val="31"/>
        </w:rPr>
      </w:pPr>
      <w:r>
        <w:rPr>
          <w:rFonts w:hint="eastAsia" w:ascii="仿宋_GB2312" w:hAnsi="仿宋_GB2312" w:eastAsia="仿宋_GB2312" w:cs="仿宋_GB2312"/>
          <w:color w:val="000000"/>
          <w:spacing w:val="-13"/>
          <w:sz w:val="31"/>
          <w:szCs w:val="31"/>
          <w:lang w:val="en-US" w:eastAsia="zh-CN" w:bidi="ar-SA"/>
        </w:rPr>
        <w:t>18、</w:t>
      </w:r>
      <w:r>
        <w:rPr>
          <w:rFonts w:hint="eastAsia" w:ascii="仿宋_GB2312" w:hAnsi="仿宋_GB2312" w:eastAsia="仿宋_GB2312" w:cs="仿宋_GB2312"/>
          <w:spacing w:val="-13"/>
          <w:sz w:val="31"/>
          <w:szCs w:val="31"/>
          <w:lang w:eastAsia="zh-CN"/>
        </w:rPr>
        <w:t>文化旅游体育与传媒支出</w:t>
      </w:r>
      <w:r>
        <w:rPr>
          <w:rFonts w:hint="eastAsia" w:ascii="仿宋_GB2312" w:hAnsi="仿宋_GB2312" w:eastAsia="仿宋_GB2312" w:cs="仿宋_GB2312"/>
          <w:spacing w:val="-13"/>
          <w:sz w:val="31"/>
          <w:szCs w:val="31"/>
        </w:rPr>
        <w:t>（类）</w:t>
      </w:r>
      <w:r>
        <w:rPr>
          <w:rFonts w:hint="eastAsia" w:ascii="仿宋_GB2312" w:hAnsi="仿宋_GB2312" w:eastAsia="仿宋_GB2312" w:cs="仿宋_GB2312"/>
          <w:spacing w:val="-13"/>
          <w:sz w:val="31"/>
          <w:szCs w:val="31"/>
          <w:lang w:eastAsia="zh-CN"/>
        </w:rPr>
        <w:t>文化和旅游</w:t>
      </w:r>
      <w:r>
        <w:rPr>
          <w:rFonts w:hint="eastAsia" w:ascii="仿宋_GB2312" w:hAnsi="仿宋_GB2312" w:eastAsia="仿宋_GB2312" w:cs="仿宋_GB2312"/>
          <w:spacing w:val="-13"/>
          <w:sz w:val="31"/>
          <w:szCs w:val="31"/>
        </w:rPr>
        <w:t>（款）</w:t>
      </w:r>
      <w:r>
        <w:rPr>
          <w:rFonts w:hint="eastAsia" w:ascii="仿宋_GB2312" w:hAnsi="仿宋_GB2312" w:eastAsia="仿宋_GB2312" w:cs="仿宋_GB2312"/>
          <w:spacing w:val="-13"/>
          <w:sz w:val="31"/>
          <w:szCs w:val="31"/>
          <w:lang w:eastAsia="zh-CN"/>
        </w:rPr>
        <w:t>文化和旅游管理事务</w:t>
      </w:r>
      <w:r>
        <w:rPr>
          <w:rFonts w:hint="eastAsia" w:ascii="仿宋_GB2312" w:hAnsi="仿宋_GB2312" w:eastAsia="仿宋_GB2312" w:cs="仿宋_GB2312"/>
          <w:spacing w:val="-13"/>
          <w:sz w:val="31"/>
          <w:szCs w:val="31"/>
        </w:rPr>
        <w:t>（项）。</w:t>
      </w:r>
    </w:p>
    <w:p w14:paraId="317B0627">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501.18</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442.57</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88.31</w:t>
      </w:r>
      <w:r>
        <w:rPr>
          <w:rFonts w:hint="eastAsia" w:ascii="仿宋_GB2312" w:hAnsi="仿宋_GB2312" w:eastAsia="仿宋_GB2312" w:cs="仿宋_GB2312"/>
          <w:sz w:val="32"/>
          <w:szCs w:val="32"/>
        </w:rPr>
        <w:t>%，决算数小于年初预算数的主要原因是：</w:t>
      </w:r>
      <w:r>
        <w:rPr>
          <w:rFonts w:hint="eastAsia" w:ascii="仿宋_GB2312" w:hAnsi="仿宋_GB2312" w:eastAsia="仿宋_GB2312" w:cs="仿宋_GB2312"/>
          <w:spacing w:val="7"/>
          <w:sz w:val="31"/>
          <w:szCs w:val="31"/>
        </w:rPr>
        <w:t>部分</w:t>
      </w:r>
      <w:r>
        <w:rPr>
          <w:rFonts w:hint="eastAsia" w:ascii="仿宋_GB2312" w:hAnsi="仿宋_GB2312" w:eastAsia="仿宋_GB2312" w:cs="仿宋_GB2312"/>
          <w:spacing w:val="6"/>
          <w:sz w:val="31"/>
          <w:szCs w:val="31"/>
        </w:rPr>
        <w:t>项目预留的合同尾款，待项目验收合格后支付</w:t>
      </w:r>
      <w:r>
        <w:rPr>
          <w:rFonts w:hint="eastAsia" w:ascii="仿宋_GB2312" w:hAnsi="仿宋_GB2312" w:eastAsia="仿宋_GB2312" w:cs="仿宋_GB2312"/>
          <w:spacing w:val="6"/>
          <w:sz w:val="31"/>
          <w:szCs w:val="31"/>
          <w:lang w:eastAsia="zh-CN"/>
        </w:rPr>
        <w:t>。</w:t>
      </w:r>
    </w:p>
    <w:p w14:paraId="380BCCCF">
      <w:pPr>
        <w:pStyle w:val="19"/>
        <w:keepNext w:val="0"/>
        <w:keepLines w:val="0"/>
        <w:pageBreakBefore w:val="0"/>
        <w:numPr>
          <w:ilvl w:val="0"/>
          <w:numId w:val="0"/>
        </w:numPr>
        <w:shd w:val="clear"/>
        <w:kinsoku/>
        <w:wordWrap/>
        <w:overflowPunct w:val="0"/>
        <w:topLinePunct w:val="0"/>
        <w:autoSpaceDE/>
        <w:autoSpaceDN/>
        <w:bidi w:val="0"/>
        <w:snapToGrid/>
        <w:spacing w:line="520" w:lineRule="exact"/>
        <w:ind w:left="0" w:right="0" w:firstLine="568" w:firstLineChars="200"/>
        <w:jc w:val="both"/>
        <w:textAlignment w:val="auto"/>
        <w:rPr>
          <w:rFonts w:hint="eastAsia" w:ascii="仿宋_GB2312" w:hAnsi="仿宋_GB2312" w:eastAsia="仿宋_GB2312" w:cs="仿宋_GB2312"/>
          <w:spacing w:val="-13"/>
          <w:sz w:val="31"/>
          <w:szCs w:val="31"/>
        </w:rPr>
      </w:pPr>
      <w:r>
        <w:rPr>
          <w:rFonts w:hint="eastAsia" w:ascii="仿宋_GB2312" w:hAnsi="仿宋_GB2312" w:eastAsia="仿宋_GB2312" w:cs="仿宋_GB2312"/>
          <w:color w:val="000000"/>
          <w:spacing w:val="-13"/>
          <w:sz w:val="31"/>
          <w:szCs w:val="31"/>
          <w:lang w:val="en-US" w:eastAsia="zh-CN" w:bidi="ar-SA"/>
        </w:rPr>
        <w:t>19、</w:t>
      </w:r>
      <w:r>
        <w:rPr>
          <w:rFonts w:hint="eastAsia" w:ascii="仿宋_GB2312" w:hAnsi="仿宋_GB2312" w:eastAsia="仿宋_GB2312" w:cs="仿宋_GB2312"/>
          <w:spacing w:val="-13"/>
          <w:sz w:val="31"/>
          <w:szCs w:val="31"/>
          <w:lang w:eastAsia="zh-CN"/>
        </w:rPr>
        <w:t>文化旅游体育与传媒支出</w:t>
      </w:r>
      <w:r>
        <w:rPr>
          <w:rFonts w:hint="eastAsia" w:ascii="仿宋_GB2312" w:hAnsi="仿宋_GB2312" w:eastAsia="仿宋_GB2312" w:cs="仿宋_GB2312"/>
          <w:spacing w:val="-13"/>
          <w:sz w:val="31"/>
          <w:szCs w:val="31"/>
        </w:rPr>
        <w:t>（类）</w:t>
      </w:r>
      <w:r>
        <w:rPr>
          <w:rFonts w:hint="eastAsia" w:ascii="仿宋_GB2312" w:hAnsi="仿宋_GB2312" w:eastAsia="仿宋_GB2312" w:cs="仿宋_GB2312"/>
          <w:spacing w:val="-13"/>
          <w:sz w:val="31"/>
          <w:szCs w:val="31"/>
          <w:lang w:eastAsia="zh-CN"/>
        </w:rPr>
        <w:t>文化和旅游</w:t>
      </w:r>
      <w:r>
        <w:rPr>
          <w:rFonts w:hint="eastAsia" w:ascii="仿宋_GB2312" w:hAnsi="仿宋_GB2312" w:eastAsia="仿宋_GB2312" w:cs="仿宋_GB2312"/>
          <w:spacing w:val="-13"/>
          <w:sz w:val="31"/>
          <w:szCs w:val="31"/>
        </w:rPr>
        <w:t>（款）</w:t>
      </w:r>
      <w:r>
        <w:rPr>
          <w:rFonts w:hint="eastAsia" w:ascii="仿宋_GB2312" w:hAnsi="仿宋_GB2312" w:eastAsia="仿宋_GB2312" w:cs="仿宋_GB2312"/>
          <w:spacing w:val="-13"/>
          <w:sz w:val="31"/>
          <w:szCs w:val="31"/>
          <w:lang w:eastAsia="zh-CN"/>
        </w:rPr>
        <w:t>其他文化和旅游支出</w:t>
      </w:r>
      <w:r>
        <w:rPr>
          <w:rFonts w:hint="eastAsia" w:ascii="仿宋_GB2312" w:hAnsi="仿宋_GB2312" w:eastAsia="仿宋_GB2312" w:cs="仿宋_GB2312"/>
          <w:spacing w:val="-13"/>
          <w:sz w:val="31"/>
          <w:szCs w:val="31"/>
        </w:rPr>
        <w:t>（项）。</w:t>
      </w:r>
    </w:p>
    <w:p w14:paraId="076984A2">
      <w:pPr>
        <w:pStyle w:val="19"/>
        <w:keepNext w:val="0"/>
        <w:keepLines w:val="0"/>
        <w:pageBreakBefore w:val="0"/>
        <w:kinsoku/>
        <w:wordWrap/>
        <w:overflowPunct w:val="0"/>
        <w:topLinePunct w:val="0"/>
        <w:autoSpaceDE/>
        <w:autoSpaceDN/>
        <w:bidi w:val="0"/>
        <w:snapToGrid/>
        <w:spacing w:line="520" w:lineRule="exact"/>
        <w:ind w:left="0" w:right="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rPr>
        <w:t>年初预算</w:t>
      </w:r>
      <w:r>
        <w:rPr>
          <w:rFonts w:hint="eastAsia" w:ascii="仿宋_GB2312" w:hAnsi="仿宋_GB2312" w:eastAsia="仿宋_GB2312" w:cs="仿宋_GB2312"/>
          <w:sz w:val="32"/>
          <w:szCs w:val="32"/>
          <w:lang w:val="en-US" w:eastAsia="zh-CN"/>
        </w:rPr>
        <w:t>9977.55</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40838.01</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409.3</w:t>
      </w:r>
      <w:r>
        <w:rPr>
          <w:rFonts w:hint="eastAsia" w:ascii="仿宋_GB2312" w:hAnsi="仿宋_GB2312" w:eastAsia="仿宋_GB2312" w:cs="仿宋_GB2312"/>
          <w:sz w:val="32"/>
          <w:szCs w:val="32"/>
        </w:rPr>
        <w:t>%，决算数大于年初预</w:t>
      </w:r>
      <w:r>
        <w:rPr>
          <w:rFonts w:hint="eastAsia" w:ascii="仿宋_GB2312" w:hAnsi="仿宋_GB2312" w:eastAsia="仿宋_GB2312" w:cs="仿宋_GB2312"/>
          <w:color w:val="auto"/>
          <w:sz w:val="32"/>
          <w:szCs w:val="32"/>
        </w:rPr>
        <w:t>算数的主要原因是：相关项目资金为年中新增项目。</w:t>
      </w:r>
    </w:p>
    <w:p w14:paraId="57155A0C">
      <w:pPr>
        <w:pStyle w:val="19"/>
        <w:keepNext w:val="0"/>
        <w:keepLines w:val="0"/>
        <w:pageBreakBefore w:val="0"/>
        <w:numPr>
          <w:ilvl w:val="0"/>
          <w:numId w:val="0"/>
        </w:numPr>
        <w:shd w:val="clear"/>
        <w:kinsoku/>
        <w:wordWrap/>
        <w:overflowPunct w:val="0"/>
        <w:topLinePunct w:val="0"/>
        <w:autoSpaceDE/>
        <w:autoSpaceDN/>
        <w:bidi w:val="0"/>
        <w:snapToGrid/>
        <w:spacing w:line="520" w:lineRule="exact"/>
        <w:ind w:left="0" w:right="0" w:firstLine="568" w:firstLineChars="200"/>
        <w:jc w:val="both"/>
        <w:textAlignment w:val="auto"/>
        <w:rPr>
          <w:rFonts w:hint="eastAsia" w:ascii="仿宋_GB2312" w:hAnsi="仿宋_GB2312" w:eastAsia="仿宋_GB2312" w:cs="仿宋_GB2312"/>
          <w:spacing w:val="-13"/>
          <w:sz w:val="31"/>
          <w:szCs w:val="31"/>
        </w:rPr>
      </w:pPr>
      <w:r>
        <w:rPr>
          <w:rFonts w:hint="eastAsia" w:ascii="仿宋_GB2312" w:hAnsi="仿宋_GB2312" w:eastAsia="仿宋_GB2312" w:cs="仿宋_GB2312"/>
          <w:color w:val="000000"/>
          <w:spacing w:val="-13"/>
          <w:sz w:val="31"/>
          <w:szCs w:val="31"/>
          <w:lang w:val="en-US" w:eastAsia="zh-CN" w:bidi="ar-SA"/>
        </w:rPr>
        <w:t>20、</w:t>
      </w:r>
      <w:r>
        <w:rPr>
          <w:rFonts w:hint="eastAsia" w:ascii="仿宋_GB2312" w:hAnsi="仿宋_GB2312" w:eastAsia="仿宋_GB2312" w:cs="仿宋_GB2312"/>
          <w:spacing w:val="-13"/>
          <w:sz w:val="31"/>
          <w:szCs w:val="31"/>
          <w:lang w:eastAsia="zh-CN"/>
        </w:rPr>
        <w:t>文化旅游体育与传媒支出</w:t>
      </w:r>
      <w:r>
        <w:rPr>
          <w:rFonts w:hint="eastAsia" w:ascii="仿宋_GB2312" w:hAnsi="仿宋_GB2312" w:eastAsia="仿宋_GB2312" w:cs="仿宋_GB2312"/>
          <w:spacing w:val="-13"/>
          <w:sz w:val="31"/>
          <w:szCs w:val="31"/>
        </w:rPr>
        <w:t>（类）</w:t>
      </w:r>
      <w:r>
        <w:rPr>
          <w:rFonts w:hint="eastAsia" w:ascii="仿宋_GB2312" w:hAnsi="仿宋_GB2312" w:eastAsia="仿宋_GB2312" w:cs="仿宋_GB2312"/>
          <w:spacing w:val="-13"/>
          <w:sz w:val="31"/>
          <w:szCs w:val="31"/>
          <w:lang w:eastAsia="zh-CN"/>
        </w:rPr>
        <w:t>文物</w:t>
      </w:r>
      <w:r>
        <w:rPr>
          <w:rFonts w:hint="eastAsia" w:ascii="仿宋_GB2312" w:hAnsi="仿宋_GB2312" w:eastAsia="仿宋_GB2312" w:cs="仿宋_GB2312"/>
          <w:spacing w:val="-13"/>
          <w:sz w:val="31"/>
          <w:szCs w:val="31"/>
        </w:rPr>
        <w:t>（款）</w:t>
      </w:r>
      <w:r>
        <w:rPr>
          <w:rFonts w:hint="eastAsia" w:ascii="仿宋_GB2312" w:hAnsi="仿宋_GB2312" w:eastAsia="仿宋_GB2312" w:cs="仿宋_GB2312"/>
          <w:spacing w:val="-13"/>
          <w:sz w:val="31"/>
          <w:szCs w:val="31"/>
          <w:lang w:eastAsia="zh-CN"/>
        </w:rPr>
        <w:t>行政运行</w:t>
      </w:r>
      <w:r>
        <w:rPr>
          <w:rFonts w:hint="eastAsia" w:ascii="仿宋_GB2312" w:hAnsi="仿宋_GB2312" w:eastAsia="仿宋_GB2312" w:cs="仿宋_GB2312"/>
          <w:spacing w:val="-13"/>
          <w:sz w:val="31"/>
          <w:szCs w:val="31"/>
        </w:rPr>
        <w:t>（项）。</w:t>
      </w:r>
    </w:p>
    <w:p w14:paraId="2460B745">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731.06</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759.36</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103.87</w:t>
      </w:r>
      <w:r>
        <w:rPr>
          <w:rFonts w:hint="eastAsia" w:ascii="仿宋_GB2312" w:hAnsi="仿宋_GB2312" w:eastAsia="仿宋_GB2312" w:cs="仿宋_GB2312"/>
          <w:sz w:val="32"/>
          <w:szCs w:val="32"/>
        </w:rPr>
        <w:t>%，决算数大于年</w:t>
      </w:r>
      <w:r>
        <w:rPr>
          <w:rFonts w:hint="eastAsia" w:ascii="仿宋_GB2312" w:hAnsi="仿宋_GB2312" w:eastAsia="仿宋_GB2312" w:cs="仿宋_GB2312"/>
          <w:color w:val="000000" w:themeColor="text1"/>
          <w:sz w:val="32"/>
          <w:szCs w:val="32"/>
          <w14:textFill>
            <w14:solidFill>
              <w14:schemeClr w14:val="tx1"/>
            </w14:solidFill>
          </w14:textFill>
        </w:rPr>
        <w:t>初预算数的主要原因是：</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年中财政追加新增项目资金。</w:t>
      </w:r>
    </w:p>
    <w:p w14:paraId="7045C66A">
      <w:pPr>
        <w:pStyle w:val="19"/>
        <w:keepNext w:val="0"/>
        <w:keepLines w:val="0"/>
        <w:pageBreakBefore w:val="0"/>
        <w:numPr>
          <w:ilvl w:val="0"/>
          <w:numId w:val="0"/>
        </w:numPr>
        <w:shd w:val="clear"/>
        <w:kinsoku/>
        <w:wordWrap/>
        <w:overflowPunct w:val="0"/>
        <w:topLinePunct w:val="0"/>
        <w:autoSpaceDE/>
        <w:autoSpaceDN/>
        <w:bidi w:val="0"/>
        <w:snapToGrid/>
        <w:spacing w:line="520" w:lineRule="exact"/>
        <w:ind w:left="0" w:right="0" w:firstLine="568" w:firstLineChars="200"/>
        <w:jc w:val="both"/>
        <w:textAlignment w:val="auto"/>
        <w:rPr>
          <w:rFonts w:hint="eastAsia" w:ascii="仿宋_GB2312" w:hAnsi="仿宋_GB2312" w:eastAsia="仿宋_GB2312" w:cs="仿宋_GB2312"/>
          <w:spacing w:val="-13"/>
          <w:sz w:val="31"/>
          <w:szCs w:val="31"/>
        </w:rPr>
      </w:pPr>
      <w:r>
        <w:rPr>
          <w:rFonts w:hint="eastAsia" w:ascii="仿宋_GB2312" w:hAnsi="仿宋_GB2312" w:eastAsia="仿宋_GB2312" w:cs="仿宋_GB2312"/>
          <w:color w:val="000000"/>
          <w:spacing w:val="-13"/>
          <w:sz w:val="31"/>
          <w:szCs w:val="31"/>
          <w:lang w:val="en-US" w:eastAsia="zh-CN" w:bidi="ar-SA"/>
        </w:rPr>
        <w:t>21、</w:t>
      </w:r>
      <w:r>
        <w:rPr>
          <w:rFonts w:hint="eastAsia" w:ascii="仿宋_GB2312" w:hAnsi="仿宋_GB2312" w:eastAsia="仿宋_GB2312" w:cs="仿宋_GB2312"/>
          <w:spacing w:val="-13"/>
          <w:sz w:val="31"/>
          <w:szCs w:val="31"/>
          <w:lang w:eastAsia="zh-CN"/>
        </w:rPr>
        <w:t>文化旅游体育与传媒支出</w:t>
      </w:r>
      <w:r>
        <w:rPr>
          <w:rFonts w:hint="eastAsia" w:ascii="仿宋_GB2312" w:hAnsi="仿宋_GB2312" w:eastAsia="仿宋_GB2312" w:cs="仿宋_GB2312"/>
          <w:spacing w:val="-13"/>
          <w:sz w:val="31"/>
          <w:szCs w:val="31"/>
        </w:rPr>
        <w:t>（类）</w:t>
      </w:r>
      <w:r>
        <w:rPr>
          <w:rFonts w:hint="eastAsia" w:ascii="仿宋_GB2312" w:hAnsi="仿宋_GB2312" w:eastAsia="仿宋_GB2312" w:cs="仿宋_GB2312"/>
          <w:spacing w:val="-13"/>
          <w:sz w:val="31"/>
          <w:szCs w:val="31"/>
          <w:lang w:eastAsia="zh-CN"/>
        </w:rPr>
        <w:t>文物</w:t>
      </w:r>
      <w:r>
        <w:rPr>
          <w:rFonts w:hint="eastAsia" w:ascii="仿宋_GB2312" w:hAnsi="仿宋_GB2312" w:eastAsia="仿宋_GB2312" w:cs="仿宋_GB2312"/>
          <w:spacing w:val="-13"/>
          <w:sz w:val="31"/>
          <w:szCs w:val="31"/>
        </w:rPr>
        <w:t>（款）</w:t>
      </w:r>
      <w:r>
        <w:rPr>
          <w:rFonts w:hint="eastAsia" w:ascii="仿宋_GB2312" w:hAnsi="仿宋_GB2312" w:eastAsia="仿宋_GB2312" w:cs="仿宋_GB2312"/>
          <w:spacing w:val="-13"/>
          <w:sz w:val="31"/>
          <w:szCs w:val="31"/>
          <w:lang w:eastAsia="zh-CN"/>
        </w:rPr>
        <w:t>文物保护</w:t>
      </w:r>
      <w:r>
        <w:rPr>
          <w:rFonts w:hint="eastAsia" w:ascii="仿宋_GB2312" w:hAnsi="仿宋_GB2312" w:eastAsia="仿宋_GB2312" w:cs="仿宋_GB2312"/>
          <w:spacing w:val="-13"/>
          <w:sz w:val="31"/>
          <w:szCs w:val="31"/>
        </w:rPr>
        <w:t>（项）。</w:t>
      </w:r>
    </w:p>
    <w:p w14:paraId="21108063">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9170.55</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7919.37</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86.36</w:t>
      </w:r>
      <w:r>
        <w:rPr>
          <w:rFonts w:hint="eastAsia" w:ascii="仿宋_GB2312" w:hAnsi="仿宋_GB2312" w:eastAsia="仿宋_GB2312" w:cs="仿宋_GB2312"/>
          <w:sz w:val="32"/>
          <w:szCs w:val="32"/>
        </w:rPr>
        <w:t>%，决算</w:t>
      </w:r>
      <w:r>
        <w:rPr>
          <w:rFonts w:hint="eastAsia" w:ascii="仿宋_GB2312" w:hAnsi="仿宋_GB2312" w:eastAsia="仿宋_GB2312" w:cs="仿宋_GB2312"/>
          <w:color w:val="auto"/>
          <w:sz w:val="32"/>
          <w:szCs w:val="32"/>
        </w:rPr>
        <w:t>数</w:t>
      </w:r>
      <w:r>
        <w:rPr>
          <w:rFonts w:hint="eastAsia" w:ascii="仿宋_GB2312" w:hAnsi="仿宋_GB2312" w:eastAsia="仿宋_GB2312" w:cs="仿宋_GB2312"/>
          <w:color w:val="auto"/>
          <w:sz w:val="32"/>
          <w:szCs w:val="32"/>
          <w:lang w:eastAsia="zh-CN"/>
        </w:rPr>
        <w:t>小</w:t>
      </w:r>
      <w:r>
        <w:rPr>
          <w:rFonts w:hint="eastAsia" w:ascii="仿宋_GB2312" w:hAnsi="仿宋_GB2312" w:eastAsia="仿宋_GB2312" w:cs="仿宋_GB2312"/>
          <w:color w:val="auto"/>
          <w:sz w:val="32"/>
          <w:szCs w:val="32"/>
        </w:rPr>
        <w:t>于年初预算数的主要原因是：</w:t>
      </w:r>
      <w:r>
        <w:rPr>
          <w:rFonts w:hint="eastAsia" w:ascii="仿宋_GB2312" w:hAnsi="仿宋_GB2312" w:eastAsia="仿宋_GB2312" w:cs="仿宋_GB2312"/>
          <w:color w:val="auto"/>
          <w:spacing w:val="7"/>
          <w:sz w:val="31"/>
          <w:szCs w:val="31"/>
        </w:rPr>
        <w:t>部</w:t>
      </w:r>
      <w:r>
        <w:rPr>
          <w:rFonts w:hint="eastAsia" w:ascii="仿宋_GB2312" w:hAnsi="仿宋_GB2312" w:eastAsia="仿宋_GB2312" w:cs="仿宋_GB2312"/>
          <w:spacing w:val="7"/>
          <w:sz w:val="31"/>
          <w:szCs w:val="31"/>
        </w:rPr>
        <w:t>分</w:t>
      </w:r>
      <w:r>
        <w:rPr>
          <w:rFonts w:hint="eastAsia" w:ascii="仿宋_GB2312" w:hAnsi="仿宋_GB2312" w:eastAsia="仿宋_GB2312" w:cs="仿宋_GB2312"/>
          <w:spacing w:val="6"/>
          <w:sz w:val="31"/>
          <w:szCs w:val="31"/>
        </w:rPr>
        <w:t>项目预留的合同尾款，待项目验收合格后支付</w:t>
      </w:r>
      <w:r>
        <w:rPr>
          <w:rFonts w:hint="eastAsia" w:ascii="仿宋_GB2312" w:hAnsi="仿宋_GB2312" w:eastAsia="仿宋_GB2312" w:cs="仿宋_GB2312"/>
          <w:spacing w:val="6"/>
          <w:sz w:val="31"/>
          <w:szCs w:val="31"/>
          <w:lang w:eastAsia="zh-CN"/>
        </w:rPr>
        <w:t>。</w:t>
      </w:r>
    </w:p>
    <w:p w14:paraId="3D679915">
      <w:pPr>
        <w:pStyle w:val="19"/>
        <w:keepNext w:val="0"/>
        <w:keepLines w:val="0"/>
        <w:pageBreakBefore w:val="0"/>
        <w:numPr>
          <w:ilvl w:val="0"/>
          <w:numId w:val="0"/>
        </w:numPr>
        <w:shd w:val="clear"/>
        <w:kinsoku/>
        <w:wordWrap/>
        <w:overflowPunct w:val="0"/>
        <w:topLinePunct w:val="0"/>
        <w:autoSpaceDE/>
        <w:autoSpaceDN/>
        <w:bidi w:val="0"/>
        <w:snapToGrid/>
        <w:spacing w:line="520" w:lineRule="exact"/>
        <w:ind w:left="0" w:right="0" w:firstLine="568" w:firstLineChars="200"/>
        <w:jc w:val="both"/>
        <w:textAlignment w:val="auto"/>
        <w:rPr>
          <w:rFonts w:hint="eastAsia" w:ascii="仿宋_GB2312" w:hAnsi="仿宋_GB2312" w:eastAsia="仿宋_GB2312" w:cs="仿宋_GB2312"/>
          <w:spacing w:val="-13"/>
          <w:sz w:val="31"/>
          <w:szCs w:val="31"/>
        </w:rPr>
      </w:pPr>
      <w:r>
        <w:rPr>
          <w:rFonts w:hint="eastAsia" w:ascii="仿宋_GB2312" w:hAnsi="仿宋_GB2312" w:eastAsia="仿宋_GB2312" w:cs="仿宋_GB2312"/>
          <w:color w:val="000000"/>
          <w:spacing w:val="-13"/>
          <w:sz w:val="31"/>
          <w:szCs w:val="31"/>
          <w:lang w:val="en-US" w:eastAsia="zh-CN" w:bidi="ar-SA"/>
        </w:rPr>
        <w:t>22、</w:t>
      </w:r>
      <w:r>
        <w:rPr>
          <w:rFonts w:hint="eastAsia" w:ascii="仿宋_GB2312" w:hAnsi="仿宋_GB2312" w:eastAsia="仿宋_GB2312" w:cs="仿宋_GB2312"/>
          <w:spacing w:val="-13"/>
          <w:sz w:val="31"/>
          <w:szCs w:val="31"/>
          <w:lang w:eastAsia="zh-CN"/>
        </w:rPr>
        <w:t>文化旅游体育与传媒支出</w:t>
      </w:r>
      <w:r>
        <w:rPr>
          <w:rFonts w:hint="eastAsia" w:ascii="仿宋_GB2312" w:hAnsi="仿宋_GB2312" w:eastAsia="仿宋_GB2312" w:cs="仿宋_GB2312"/>
          <w:spacing w:val="-13"/>
          <w:sz w:val="31"/>
          <w:szCs w:val="31"/>
        </w:rPr>
        <w:t>（类）</w:t>
      </w:r>
      <w:r>
        <w:rPr>
          <w:rFonts w:hint="eastAsia" w:ascii="仿宋_GB2312" w:hAnsi="仿宋_GB2312" w:eastAsia="仿宋_GB2312" w:cs="仿宋_GB2312"/>
          <w:spacing w:val="-13"/>
          <w:sz w:val="31"/>
          <w:szCs w:val="31"/>
          <w:lang w:eastAsia="zh-CN"/>
        </w:rPr>
        <w:t>文物</w:t>
      </w:r>
      <w:r>
        <w:rPr>
          <w:rFonts w:hint="eastAsia" w:ascii="仿宋_GB2312" w:hAnsi="仿宋_GB2312" w:eastAsia="仿宋_GB2312" w:cs="仿宋_GB2312"/>
          <w:spacing w:val="-13"/>
          <w:sz w:val="31"/>
          <w:szCs w:val="31"/>
        </w:rPr>
        <w:t>（款）</w:t>
      </w:r>
      <w:r>
        <w:rPr>
          <w:rFonts w:hint="eastAsia" w:ascii="仿宋_GB2312" w:hAnsi="仿宋_GB2312" w:eastAsia="仿宋_GB2312" w:cs="仿宋_GB2312"/>
          <w:spacing w:val="-13"/>
          <w:sz w:val="31"/>
          <w:szCs w:val="31"/>
          <w:lang w:eastAsia="zh-CN"/>
        </w:rPr>
        <w:t>博物馆</w:t>
      </w:r>
      <w:r>
        <w:rPr>
          <w:rFonts w:hint="eastAsia" w:ascii="仿宋_GB2312" w:hAnsi="仿宋_GB2312" w:eastAsia="仿宋_GB2312" w:cs="仿宋_GB2312"/>
          <w:spacing w:val="-13"/>
          <w:sz w:val="31"/>
          <w:szCs w:val="31"/>
        </w:rPr>
        <w:t>（项）。</w:t>
      </w:r>
    </w:p>
    <w:p w14:paraId="17827EBB">
      <w:pPr>
        <w:pStyle w:val="19"/>
        <w:keepNext w:val="0"/>
        <w:keepLines w:val="0"/>
        <w:pageBreakBefore w:val="0"/>
        <w:kinsoku/>
        <w:wordWrap/>
        <w:overflowPunct w:val="0"/>
        <w:topLinePunct w:val="0"/>
        <w:autoSpaceDE/>
        <w:autoSpaceDN/>
        <w:bidi w:val="0"/>
        <w:snapToGrid/>
        <w:spacing w:line="520" w:lineRule="exact"/>
        <w:ind w:left="0" w:righ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19313.10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19531.71</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101.13</w:t>
      </w:r>
      <w:r>
        <w:rPr>
          <w:rFonts w:hint="eastAsia" w:ascii="仿宋_GB2312" w:hAnsi="仿宋_GB2312" w:eastAsia="仿宋_GB2312" w:cs="仿宋_GB2312"/>
          <w:sz w:val="32"/>
          <w:szCs w:val="32"/>
        </w:rPr>
        <w:t>%，决算数大</w:t>
      </w:r>
      <w:r>
        <w:rPr>
          <w:rFonts w:hint="eastAsia" w:ascii="仿宋_GB2312" w:hAnsi="仿宋_GB2312" w:eastAsia="仿宋_GB2312" w:cs="仿宋_GB2312"/>
          <w:color w:val="auto"/>
          <w:sz w:val="32"/>
          <w:szCs w:val="32"/>
        </w:rPr>
        <w:t>于年初预算数的主要原因是：</w:t>
      </w:r>
      <w:r>
        <w:rPr>
          <w:rFonts w:hint="eastAsia" w:ascii="仿宋_GB2312" w:hAnsi="仿宋_GB2312" w:eastAsia="仿宋_GB2312" w:cs="仿宋_GB2312"/>
          <w:color w:val="auto"/>
          <w:sz w:val="32"/>
          <w:szCs w:val="32"/>
          <w:lang w:val="en-US" w:eastAsia="zh-CN"/>
        </w:rPr>
        <w:t xml:space="preserve">  </w:t>
      </w:r>
    </w:p>
    <w:p w14:paraId="23E455FE">
      <w:pPr>
        <w:pStyle w:val="19"/>
        <w:keepNext w:val="0"/>
        <w:keepLines w:val="0"/>
        <w:pageBreakBefore w:val="0"/>
        <w:kinsoku/>
        <w:wordWrap/>
        <w:overflowPunct w:val="0"/>
        <w:topLinePunct w:val="0"/>
        <w:autoSpaceDE/>
        <w:autoSpaceDN/>
        <w:bidi w:val="0"/>
        <w:snapToGrid/>
        <w:spacing w:line="520" w:lineRule="exact"/>
        <w:ind w:left="0" w:right="0" w:firstLine="640" w:firstLineChars="200"/>
        <w:jc w:val="both"/>
        <w:textAlignment w:val="auto"/>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基本支出预算3756.63万元，实际支出4020.65万元，增加支出264.02万元主要为基本工资和离休费提标支出；</w:t>
      </w:r>
    </w:p>
    <w:p w14:paraId="65056D86">
      <w:pPr>
        <w:pStyle w:val="19"/>
        <w:keepNext w:val="0"/>
        <w:keepLines w:val="0"/>
        <w:pageBreakBefore w:val="0"/>
        <w:kinsoku/>
        <w:wordWrap/>
        <w:overflowPunct w:val="0"/>
        <w:topLinePunct w:val="0"/>
        <w:autoSpaceDE/>
        <w:autoSpaceDN/>
        <w:bidi w:val="0"/>
        <w:snapToGrid/>
        <w:spacing w:line="520" w:lineRule="exact"/>
        <w:ind w:left="0" w:right="0" w:firstLine="640" w:firstLineChars="200"/>
        <w:jc w:val="both"/>
        <w:textAlignment w:val="auto"/>
        <w:rPr>
          <w:rFonts w:hint="eastAsia" w:ascii="仿宋_GB2312" w:hAnsi="仿宋_GB2312" w:eastAsia="仿宋_GB2312" w:cs="仿宋_GB2312"/>
          <w:color w:val="FF0000"/>
          <w:sz w:val="32"/>
          <w:szCs w:val="32"/>
          <w:highlight w:val="none"/>
          <w:lang w:val="en-US" w:eastAsia="zh-CN"/>
        </w:rPr>
      </w:pPr>
      <w:r>
        <w:rPr>
          <w:rFonts w:hint="eastAsia" w:ascii="仿宋_GB2312" w:hAnsi="仿宋_GB2312" w:eastAsia="仿宋_GB2312" w:cs="仿宋_GB2312"/>
          <w:color w:val="auto"/>
          <w:sz w:val="32"/>
          <w:szCs w:val="32"/>
          <w:lang w:val="en-US" w:eastAsia="zh-CN"/>
        </w:rPr>
        <w:t>（2）2025年公共文化场馆免费开放专项预算7770.29万元，</w:t>
      </w:r>
      <w:r>
        <w:rPr>
          <w:rFonts w:hint="eastAsia" w:ascii="仿宋_GB2312" w:hAnsi="仿宋_GB2312" w:eastAsia="仿宋_GB2312" w:cs="仿宋_GB2312"/>
          <w:color w:val="auto"/>
          <w:sz w:val="32"/>
          <w:szCs w:val="32"/>
          <w:highlight w:val="none"/>
          <w:lang w:val="en-US" w:eastAsia="zh-CN"/>
        </w:rPr>
        <w:t>实际支出6203.04万元，剩余1576.25万元因本单位非税收入减少，相应支出减少；</w:t>
      </w:r>
    </w:p>
    <w:p w14:paraId="1E7FC4BB">
      <w:pPr>
        <w:pStyle w:val="19"/>
        <w:keepNext w:val="0"/>
        <w:keepLines w:val="0"/>
        <w:pageBreakBefore w:val="0"/>
        <w:kinsoku/>
        <w:wordWrap/>
        <w:overflowPunct w:val="0"/>
        <w:topLinePunct w:val="0"/>
        <w:autoSpaceDE/>
        <w:autoSpaceDN/>
        <w:bidi w:val="0"/>
        <w:snapToGrid/>
        <w:spacing w:line="520" w:lineRule="exact"/>
        <w:ind w:left="0" w:right="0" w:firstLine="640" w:firstLineChars="200"/>
        <w:jc w:val="both"/>
        <w:textAlignment w:val="auto"/>
        <w:rPr>
          <w:rFonts w:hint="eastAsia" w:ascii="仿宋_GB2312" w:hAnsi="仿宋_GB2312" w:eastAsia="仿宋_GB2312" w:cs="仿宋_GB2312"/>
          <w:color w:val="FF0000"/>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（3）基本陈列开放运行维护项目预算1850.85万元，实际支出1361.94万元，剩余488.91万元因本单位非税收入减少，相应支出减少；</w:t>
      </w:r>
    </w:p>
    <w:p w14:paraId="30C2C895">
      <w:pPr>
        <w:pStyle w:val="19"/>
        <w:keepNext w:val="0"/>
        <w:keepLines w:val="0"/>
        <w:pageBreakBefore w:val="0"/>
        <w:kinsoku/>
        <w:wordWrap/>
        <w:overflowPunct w:val="0"/>
        <w:topLinePunct w:val="0"/>
        <w:autoSpaceDE/>
        <w:autoSpaceDN/>
        <w:bidi w:val="0"/>
        <w:snapToGrid/>
        <w:spacing w:line="520" w:lineRule="exact"/>
        <w:ind w:left="0" w:right="0" w:firstLine="64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（4）湖南博物院服务支援湖南革命军事馆日常运行经费(2024结转)项目预算75万元，实际支出75万元，无结余。2025年该项目预算75万元，实际支出0.59万元，结转下年使用74.41万元；</w:t>
      </w:r>
    </w:p>
    <w:p w14:paraId="0E24DB76">
      <w:pPr>
        <w:pStyle w:val="19"/>
        <w:keepNext w:val="0"/>
        <w:keepLines w:val="0"/>
        <w:pageBreakBefore w:val="0"/>
        <w:kinsoku/>
        <w:wordWrap/>
        <w:overflowPunct w:val="0"/>
        <w:topLinePunct w:val="0"/>
        <w:autoSpaceDE/>
        <w:autoSpaceDN/>
        <w:bidi w:val="0"/>
        <w:snapToGrid/>
        <w:spacing w:line="520" w:lineRule="exact"/>
        <w:ind w:left="0" w:right="0" w:firstLine="64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（5）2025年中央补助地方免费开放项目预算2771万元，实际支出2771万元，无结转结余；</w:t>
      </w:r>
    </w:p>
    <w:p w14:paraId="24460DB4">
      <w:pPr>
        <w:pStyle w:val="19"/>
        <w:keepNext w:val="0"/>
        <w:keepLines w:val="0"/>
        <w:pageBreakBefore w:val="0"/>
        <w:kinsoku/>
        <w:wordWrap/>
        <w:overflowPunct w:val="0"/>
        <w:topLinePunct w:val="0"/>
        <w:autoSpaceDE/>
        <w:autoSpaceDN/>
        <w:bidi w:val="0"/>
        <w:snapToGrid/>
        <w:spacing w:line="520" w:lineRule="exact"/>
        <w:ind w:left="0" w:right="0" w:firstLine="64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（6）湖南博物院国家级重点博物馆补助(2024结转)项目预算1095.33万元，实际支出1095.33万元，无结余。2025年该项目预算1919万元，实际支出1187.95万元，结转下年使用731.05万元；</w:t>
      </w:r>
    </w:p>
    <w:p w14:paraId="74A1A02F">
      <w:pPr>
        <w:pStyle w:val="19"/>
        <w:keepNext w:val="0"/>
        <w:keepLines w:val="0"/>
        <w:pageBreakBefore w:val="0"/>
        <w:kinsoku/>
        <w:wordWrap/>
        <w:overflowPunct w:val="0"/>
        <w:topLinePunct w:val="0"/>
        <w:autoSpaceDE/>
        <w:autoSpaceDN/>
        <w:bidi w:val="0"/>
        <w:snapToGrid/>
        <w:spacing w:line="520" w:lineRule="exact"/>
        <w:ind w:left="0" w:right="0" w:firstLine="64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（7）年中追加2025年第四批省预算内基建资金项目1000万元，实际支出1000万元，无结转结余；</w:t>
      </w:r>
    </w:p>
    <w:p w14:paraId="07470109">
      <w:pPr>
        <w:pStyle w:val="19"/>
        <w:keepNext w:val="0"/>
        <w:keepLines w:val="0"/>
        <w:pageBreakBefore w:val="0"/>
        <w:kinsoku/>
        <w:wordWrap/>
        <w:overflowPunct w:val="0"/>
        <w:topLinePunct w:val="0"/>
        <w:autoSpaceDE/>
        <w:autoSpaceDN/>
        <w:bidi w:val="0"/>
        <w:snapToGrid/>
        <w:spacing w:line="520" w:lineRule="exact"/>
        <w:ind w:left="0" w:right="0" w:firstLine="64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（8）年中追加中央支持地方公共文化服务体系建设补助资金702万元，实际支出465.13万元，结转使用236.87万元；</w:t>
      </w:r>
    </w:p>
    <w:p w14:paraId="4905E9BF">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lang w:val="en-US" w:eastAsia="zh-CN"/>
        </w:rPr>
        <w:t>（9）年中追加财政专户剩余资金1912.13万元，实际支出1335.28万元，结余资金576.85万元。</w:t>
      </w:r>
    </w:p>
    <w:p w14:paraId="4145055E">
      <w:pPr>
        <w:pStyle w:val="19"/>
        <w:keepNext w:val="0"/>
        <w:keepLines w:val="0"/>
        <w:pageBreakBefore w:val="0"/>
        <w:numPr>
          <w:ilvl w:val="0"/>
          <w:numId w:val="0"/>
        </w:numPr>
        <w:shd w:val="clear"/>
        <w:kinsoku/>
        <w:wordWrap/>
        <w:overflowPunct w:val="0"/>
        <w:topLinePunct w:val="0"/>
        <w:autoSpaceDE/>
        <w:autoSpaceDN/>
        <w:bidi w:val="0"/>
        <w:snapToGrid/>
        <w:spacing w:line="520" w:lineRule="exact"/>
        <w:ind w:left="0" w:right="0" w:firstLine="568" w:firstLineChars="200"/>
        <w:jc w:val="both"/>
        <w:textAlignment w:val="auto"/>
        <w:rPr>
          <w:rFonts w:hint="eastAsia" w:ascii="仿宋_GB2312" w:hAnsi="仿宋_GB2312" w:eastAsia="仿宋_GB2312" w:cs="仿宋_GB2312"/>
          <w:spacing w:val="-13"/>
          <w:sz w:val="31"/>
          <w:szCs w:val="31"/>
        </w:rPr>
      </w:pPr>
      <w:r>
        <w:rPr>
          <w:rFonts w:hint="eastAsia" w:ascii="仿宋_GB2312" w:hAnsi="仿宋_GB2312" w:eastAsia="仿宋_GB2312" w:cs="仿宋_GB2312"/>
          <w:color w:val="000000"/>
          <w:spacing w:val="-13"/>
          <w:sz w:val="31"/>
          <w:szCs w:val="31"/>
          <w:lang w:val="en-US" w:eastAsia="zh-CN" w:bidi="ar-SA"/>
        </w:rPr>
        <w:t>23、</w:t>
      </w:r>
      <w:r>
        <w:rPr>
          <w:rFonts w:hint="eastAsia" w:ascii="仿宋_GB2312" w:hAnsi="仿宋_GB2312" w:eastAsia="仿宋_GB2312" w:cs="仿宋_GB2312"/>
          <w:spacing w:val="-13"/>
          <w:sz w:val="31"/>
          <w:szCs w:val="31"/>
          <w:lang w:eastAsia="zh-CN"/>
        </w:rPr>
        <w:t>文化旅游体育与传媒支出</w:t>
      </w:r>
      <w:r>
        <w:rPr>
          <w:rFonts w:hint="eastAsia" w:ascii="仿宋_GB2312" w:hAnsi="仿宋_GB2312" w:eastAsia="仿宋_GB2312" w:cs="仿宋_GB2312"/>
          <w:spacing w:val="-13"/>
          <w:sz w:val="31"/>
          <w:szCs w:val="31"/>
        </w:rPr>
        <w:t>（类）</w:t>
      </w:r>
      <w:r>
        <w:rPr>
          <w:rFonts w:hint="eastAsia" w:ascii="仿宋_GB2312" w:hAnsi="仿宋_GB2312" w:eastAsia="仿宋_GB2312" w:cs="仿宋_GB2312"/>
          <w:spacing w:val="-13"/>
          <w:sz w:val="31"/>
          <w:szCs w:val="31"/>
          <w:lang w:eastAsia="zh-CN"/>
        </w:rPr>
        <w:t>文物</w:t>
      </w:r>
      <w:r>
        <w:rPr>
          <w:rFonts w:hint="eastAsia" w:ascii="仿宋_GB2312" w:hAnsi="仿宋_GB2312" w:eastAsia="仿宋_GB2312" w:cs="仿宋_GB2312"/>
          <w:spacing w:val="-13"/>
          <w:sz w:val="31"/>
          <w:szCs w:val="31"/>
        </w:rPr>
        <w:t>（款）</w:t>
      </w:r>
      <w:r>
        <w:rPr>
          <w:rFonts w:hint="eastAsia" w:ascii="仿宋_GB2312" w:hAnsi="仿宋_GB2312" w:eastAsia="仿宋_GB2312" w:cs="仿宋_GB2312"/>
          <w:spacing w:val="-13"/>
          <w:sz w:val="31"/>
          <w:szCs w:val="31"/>
          <w:lang w:eastAsia="zh-CN"/>
        </w:rPr>
        <w:t>其他文物支出</w:t>
      </w:r>
      <w:r>
        <w:rPr>
          <w:rFonts w:hint="eastAsia" w:ascii="仿宋_GB2312" w:hAnsi="仿宋_GB2312" w:eastAsia="仿宋_GB2312" w:cs="仿宋_GB2312"/>
          <w:spacing w:val="-13"/>
          <w:sz w:val="31"/>
          <w:szCs w:val="31"/>
        </w:rPr>
        <w:t>（项）。</w:t>
      </w:r>
    </w:p>
    <w:p w14:paraId="66790867">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4965.01</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4332.47</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87.26</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小</w:t>
      </w:r>
      <w:r>
        <w:rPr>
          <w:rFonts w:hint="eastAsia" w:ascii="仿宋_GB2312" w:hAnsi="仿宋_GB2312" w:eastAsia="仿宋_GB2312" w:cs="仿宋_GB2312"/>
          <w:color w:val="auto"/>
          <w:sz w:val="32"/>
          <w:szCs w:val="32"/>
        </w:rPr>
        <w:t>于年初预算数的主要原因是：</w:t>
      </w:r>
      <w:r>
        <w:rPr>
          <w:rFonts w:hint="eastAsia" w:ascii="仿宋_GB2312" w:hAnsi="仿宋_GB2312" w:eastAsia="仿宋_GB2312" w:cs="仿宋_GB2312"/>
          <w:color w:val="auto"/>
          <w:spacing w:val="7"/>
          <w:sz w:val="31"/>
          <w:szCs w:val="31"/>
        </w:rPr>
        <w:t>部</w:t>
      </w:r>
      <w:r>
        <w:rPr>
          <w:rFonts w:hint="eastAsia" w:ascii="仿宋_GB2312" w:hAnsi="仿宋_GB2312" w:eastAsia="仿宋_GB2312" w:cs="仿宋_GB2312"/>
          <w:spacing w:val="7"/>
          <w:sz w:val="31"/>
          <w:szCs w:val="31"/>
        </w:rPr>
        <w:t>分</w:t>
      </w:r>
      <w:r>
        <w:rPr>
          <w:rFonts w:hint="eastAsia" w:ascii="仿宋_GB2312" w:hAnsi="仿宋_GB2312" w:eastAsia="仿宋_GB2312" w:cs="仿宋_GB2312"/>
          <w:spacing w:val="6"/>
          <w:sz w:val="31"/>
          <w:szCs w:val="31"/>
        </w:rPr>
        <w:t>项目预留的合同尾款，待项目验收合格后支付</w:t>
      </w:r>
      <w:r>
        <w:rPr>
          <w:rFonts w:hint="eastAsia" w:ascii="仿宋_GB2312" w:hAnsi="仿宋_GB2312" w:eastAsia="仿宋_GB2312" w:cs="仿宋_GB2312"/>
          <w:spacing w:val="6"/>
          <w:sz w:val="31"/>
          <w:szCs w:val="31"/>
          <w:lang w:eastAsia="zh-CN"/>
        </w:rPr>
        <w:t>。</w:t>
      </w:r>
    </w:p>
    <w:p w14:paraId="268574B3">
      <w:pPr>
        <w:pStyle w:val="19"/>
        <w:keepNext w:val="0"/>
        <w:keepLines w:val="0"/>
        <w:pageBreakBefore w:val="0"/>
        <w:numPr>
          <w:ilvl w:val="0"/>
          <w:numId w:val="0"/>
        </w:numPr>
        <w:shd w:val="clear"/>
        <w:kinsoku/>
        <w:wordWrap/>
        <w:overflowPunct w:val="0"/>
        <w:topLinePunct w:val="0"/>
        <w:autoSpaceDE/>
        <w:autoSpaceDN/>
        <w:bidi w:val="0"/>
        <w:snapToGrid/>
        <w:spacing w:line="520" w:lineRule="exact"/>
        <w:ind w:left="0" w:right="0" w:firstLine="568" w:firstLineChars="200"/>
        <w:jc w:val="both"/>
        <w:textAlignment w:val="auto"/>
        <w:rPr>
          <w:rFonts w:hint="eastAsia" w:ascii="仿宋_GB2312" w:hAnsi="仿宋_GB2312" w:eastAsia="仿宋_GB2312" w:cs="仿宋_GB2312"/>
          <w:spacing w:val="-13"/>
          <w:sz w:val="31"/>
          <w:szCs w:val="31"/>
        </w:rPr>
      </w:pPr>
      <w:r>
        <w:rPr>
          <w:rFonts w:hint="eastAsia" w:ascii="仿宋_GB2312" w:hAnsi="仿宋_GB2312" w:eastAsia="仿宋_GB2312" w:cs="仿宋_GB2312"/>
          <w:color w:val="000000"/>
          <w:spacing w:val="-13"/>
          <w:sz w:val="31"/>
          <w:szCs w:val="31"/>
          <w:lang w:val="en-US" w:eastAsia="zh-CN" w:bidi="ar-SA"/>
        </w:rPr>
        <w:t>24、</w:t>
      </w:r>
      <w:r>
        <w:rPr>
          <w:rFonts w:hint="eastAsia" w:ascii="仿宋_GB2312" w:hAnsi="仿宋_GB2312" w:eastAsia="仿宋_GB2312" w:cs="仿宋_GB2312"/>
          <w:spacing w:val="-13"/>
          <w:sz w:val="31"/>
          <w:szCs w:val="31"/>
          <w:lang w:eastAsia="zh-CN"/>
        </w:rPr>
        <w:t>文化旅游体育与传媒支出</w:t>
      </w:r>
      <w:r>
        <w:rPr>
          <w:rFonts w:hint="eastAsia" w:ascii="仿宋_GB2312" w:hAnsi="仿宋_GB2312" w:eastAsia="仿宋_GB2312" w:cs="仿宋_GB2312"/>
          <w:spacing w:val="-13"/>
          <w:sz w:val="31"/>
          <w:szCs w:val="31"/>
        </w:rPr>
        <w:t>（类）</w:t>
      </w:r>
      <w:r>
        <w:rPr>
          <w:rFonts w:hint="eastAsia" w:ascii="仿宋_GB2312" w:hAnsi="仿宋_GB2312" w:eastAsia="仿宋_GB2312" w:cs="仿宋_GB2312"/>
          <w:spacing w:val="-13"/>
          <w:sz w:val="31"/>
          <w:szCs w:val="31"/>
          <w:lang w:eastAsia="zh-CN"/>
        </w:rPr>
        <w:t>其他文化旅游体育与传媒支出</w:t>
      </w:r>
      <w:r>
        <w:rPr>
          <w:rFonts w:hint="eastAsia" w:ascii="仿宋_GB2312" w:hAnsi="仿宋_GB2312" w:eastAsia="仿宋_GB2312" w:cs="仿宋_GB2312"/>
          <w:spacing w:val="-13"/>
          <w:sz w:val="31"/>
          <w:szCs w:val="31"/>
        </w:rPr>
        <w:t>（款）</w:t>
      </w:r>
      <w:r>
        <w:rPr>
          <w:rFonts w:hint="eastAsia" w:ascii="仿宋_GB2312" w:hAnsi="仿宋_GB2312" w:eastAsia="仿宋_GB2312" w:cs="仿宋_GB2312"/>
          <w:spacing w:val="-13"/>
          <w:sz w:val="31"/>
          <w:szCs w:val="31"/>
          <w:lang w:eastAsia="zh-CN"/>
        </w:rPr>
        <w:t>其他文化旅游体育与传媒支出</w:t>
      </w:r>
      <w:r>
        <w:rPr>
          <w:rFonts w:hint="eastAsia" w:ascii="仿宋_GB2312" w:hAnsi="仿宋_GB2312" w:eastAsia="仿宋_GB2312" w:cs="仿宋_GB2312"/>
          <w:spacing w:val="-13"/>
          <w:sz w:val="31"/>
          <w:szCs w:val="31"/>
        </w:rPr>
        <w:t>（项）。</w:t>
      </w:r>
    </w:p>
    <w:p w14:paraId="129CBF8F">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1096.70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3219.17</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293.53</w:t>
      </w:r>
      <w:r>
        <w:rPr>
          <w:rFonts w:hint="eastAsia" w:ascii="仿宋_GB2312" w:hAnsi="仿宋_GB2312" w:eastAsia="仿宋_GB2312" w:cs="仿宋_GB2312"/>
          <w:sz w:val="32"/>
          <w:szCs w:val="32"/>
        </w:rPr>
        <w:t>%，决算数大于年初预算数的主要原因是：</w:t>
      </w:r>
      <w:r>
        <w:rPr>
          <w:rFonts w:hint="eastAsia" w:ascii="仿宋_GB2312" w:hAnsi="仿宋_GB2312" w:eastAsia="仿宋_GB2312" w:cs="仿宋_GB2312"/>
          <w:spacing w:val="9"/>
          <w:sz w:val="31"/>
          <w:szCs w:val="31"/>
        </w:rPr>
        <w:t>年</w:t>
      </w:r>
      <w:r>
        <w:rPr>
          <w:rFonts w:hint="eastAsia" w:ascii="仿宋_GB2312" w:hAnsi="仿宋_GB2312" w:eastAsia="仿宋_GB2312" w:cs="仿宋_GB2312"/>
          <w:spacing w:val="2"/>
          <w:sz w:val="31"/>
          <w:szCs w:val="31"/>
        </w:rPr>
        <w:t>中追加</w:t>
      </w:r>
      <w:r>
        <w:rPr>
          <w:rFonts w:hint="eastAsia" w:ascii="仿宋_GB2312" w:hAnsi="仿宋_GB2312" w:eastAsia="仿宋_GB2312" w:cs="仿宋_GB2312"/>
          <w:spacing w:val="2"/>
          <w:sz w:val="31"/>
          <w:szCs w:val="31"/>
          <w:lang w:eastAsia="zh-CN"/>
        </w:rPr>
        <w:t>费用。</w:t>
      </w:r>
    </w:p>
    <w:p w14:paraId="371C119F">
      <w:pPr>
        <w:pStyle w:val="19"/>
        <w:keepNext w:val="0"/>
        <w:keepLines w:val="0"/>
        <w:pageBreakBefore w:val="0"/>
        <w:numPr>
          <w:ilvl w:val="0"/>
          <w:numId w:val="0"/>
        </w:numPr>
        <w:shd w:val="clear"/>
        <w:kinsoku/>
        <w:wordWrap/>
        <w:overflowPunct w:val="0"/>
        <w:topLinePunct w:val="0"/>
        <w:autoSpaceDE/>
        <w:autoSpaceDN/>
        <w:bidi w:val="0"/>
        <w:snapToGrid/>
        <w:spacing w:line="520" w:lineRule="exact"/>
        <w:ind w:left="0" w:right="0" w:firstLine="568" w:firstLineChars="200"/>
        <w:jc w:val="both"/>
        <w:textAlignment w:val="auto"/>
        <w:rPr>
          <w:rFonts w:hint="eastAsia" w:ascii="仿宋_GB2312" w:hAnsi="仿宋_GB2312" w:eastAsia="仿宋_GB2312" w:cs="仿宋_GB2312"/>
          <w:spacing w:val="-13"/>
          <w:sz w:val="31"/>
          <w:szCs w:val="31"/>
        </w:rPr>
      </w:pPr>
      <w:r>
        <w:rPr>
          <w:rFonts w:hint="eastAsia" w:ascii="仿宋_GB2312" w:hAnsi="仿宋_GB2312" w:eastAsia="仿宋_GB2312" w:cs="仿宋_GB2312"/>
          <w:color w:val="000000"/>
          <w:spacing w:val="-13"/>
          <w:sz w:val="31"/>
          <w:szCs w:val="31"/>
          <w:lang w:val="en-US" w:eastAsia="zh-CN" w:bidi="ar-SA"/>
        </w:rPr>
        <w:t>25、</w:t>
      </w:r>
      <w:r>
        <w:rPr>
          <w:rFonts w:hint="eastAsia" w:ascii="仿宋_GB2312" w:hAnsi="仿宋_GB2312" w:eastAsia="仿宋_GB2312" w:cs="仿宋_GB2312"/>
          <w:spacing w:val="-13"/>
          <w:sz w:val="31"/>
          <w:szCs w:val="31"/>
          <w:lang w:eastAsia="zh-CN"/>
        </w:rPr>
        <w:t>社会保障和就业支出</w:t>
      </w:r>
      <w:r>
        <w:rPr>
          <w:rFonts w:hint="eastAsia" w:ascii="仿宋_GB2312" w:hAnsi="仿宋_GB2312" w:eastAsia="仿宋_GB2312" w:cs="仿宋_GB2312"/>
          <w:spacing w:val="-13"/>
          <w:sz w:val="31"/>
          <w:szCs w:val="31"/>
        </w:rPr>
        <w:t>（类）</w:t>
      </w:r>
      <w:r>
        <w:rPr>
          <w:rFonts w:hint="eastAsia" w:ascii="仿宋_GB2312" w:hAnsi="仿宋_GB2312" w:eastAsia="仿宋_GB2312" w:cs="仿宋_GB2312"/>
          <w:spacing w:val="-13"/>
          <w:sz w:val="31"/>
          <w:szCs w:val="31"/>
          <w:lang w:eastAsia="zh-CN"/>
        </w:rPr>
        <w:t>行政事业单位养老支出</w:t>
      </w:r>
      <w:r>
        <w:rPr>
          <w:rFonts w:hint="eastAsia" w:ascii="仿宋_GB2312" w:hAnsi="仿宋_GB2312" w:eastAsia="仿宋_GB2312" w:cs="仿宋_GB2312"/>
          <w:spacing w:val="-13"/>
          <w:sz w:val="31"/>
          <w:szCs w:val="31"/>
        </w:rPr>
        <w:t>（款）</w:t>
      </w:r>
      <w:r>
        <w:rPr>
          <w:rFonts w:hint="eastAsia" w:ascii="仿宋_GB2312" w:hAnsi="仿宋_GB2312" w:eastAsia="仿宋_GB2312" w:cs="仿宋_GB2312"/>
          <w:spacing w:val="-13"/>
          <w:sz w:val="31"/>
          <w:szCs w:val="31"/>
          <w:lang w:eastAsia="zh-CN"/>
        </w:rPr>
        <w:t>行政单位离退休</w:t>
      </w:r>
      <w:r>
        <w:rPr>
          <w:rFonts w:hint="eastAsia" w:ascii="仿宋_GB2312" w:hAnsi="仿宋_GB2312" w:eastAsia="仿宋_GB2312" w:cs="仿宋_GB2312"/>
          <w:spacing w:val="-13"/>
          <w:sz w:val="31"/>
          <w:szCs w:val="31"/>
        </w:rPr>
        <w:t>（项）。</w:t>
      </w:r>
    </w:p>
    <w:p w14:paraId="40F36125">
      <w:pPr>
        <w:keepNext w:val="0"/>
        <w:keepLines w:val="0"/>
        <w:pageBreakBefore w:val="0"/>
        <w:shd w:val="clear"/>
        <w:kinsoku/>
        <w:wordWrap/>
        <w:topLinePunct w:val="0"/>
        <w:bidi w:val="0"/>
        <w:snapToGrid/>
        <w:spacing w:line="520" w:lineRule="exact"/>
        <w:ind w:left="0" w:right="0" w:firstLine="636"/>
        <w:jc w:val="both"/>
        <w:textAlignment w:val="auto"/>
        <w:rPr>
          <w:rFonts w:hint="eastAsia" w:ascii="仿宋_GB2312" w:hAnsi="仿宋_GB2312" w:eastAsia="仿宋_GB2312" w:cs="仿宋_GB2312"/>
          <w:spacing w:val="-12"/>
          <w:sz w:val="31"/>
          <w:szCs w:val="31"/>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673.7</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673.12</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99.91</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小于</w:t>
      </w:r>
      <w:r>
        <w:rPr>
          <w:rFonts w:hint="eastAsia" w:ascii="仿宋_GB2312" w:hAnsi="仿宋_GB2312" w:eastAsia="仿宋_GB2312" w:cs="仿宋_GB2312"/>
          <w:sz w:val="32"/>
          <w:szCs w:val="32"/>
        </w:rPr>
        <w:t>年初预算数的主要原因是：</w:t>
      </w:r>
      <w:r>
        <w:rPr>
          <w:rFonts w:hint="eastAsia" w:ascii="仿宋_GB2312" w:hAnsi="仿宋_GB2312" w:eastAsia="仿宋_GB2312" w:cs="仿宋_GB2312"/>
          <w:spacing w:val="4"/>
          <w:sz w:val="31"/>
          <w:szCs w:val="31"/>
          <w:lang w:eastAsia="zh-CN"/>
        </w:rPr>
        <w:t>基本</w:t>
      </w:r>
      <w:r>
        <w:rPr>
          <w:rFonts w:hint="eastAsia" w:ascii="仿宋_GB2312" w:hAnsi="仿宋_GB2312" w:eastAsia="仿宋_GB2312" w:cs="仿宋_GB2312"/>
          <w:spacing w:val="4"/>
          <w:sz w:val="31"/>
          <w:szCs w:val="31"/>
        </w:rPr>
        <w:t>按预算</w:t>
      </w:r>
      <w:r>
        <w:rPr>
          <w:rFonts w:hint="eastAsia" w:ascii="仿宋_GB2312" w:hAnsi="仿宋_GB2312" w:eastAsia="仿宋_GB2312" w:cs="仿宋_GB2312"/>
          <w:spacing w:val="-12"/>
          <w:sz w:val="31"/>
          <w:szCs w:val="31"/>
        </w:rPr>
        <w:t>执行。</w:t>
      </w:r>
    </w:p>
    <w:p w14:paraId="6C5DC057">
      <w:pPr>
        <w:pStyle w:val="19"/>
        <w:keepNext w:val="0"/>
        <w:keepLines w:val="0"/>
        <w:pageBreakBefore w:val="0"/>
        <w:numPr>
          <w:ilvl w:val="0"/>
          <w:numId w:val="0"/>
        </w:numPr>
        <w:shd w:val="clear"/>
        <w:kinsoku/>
        <w:wordWrap/>
        <w:overflowPunct w:val="0"/>
        <w:topLinePunct w:val="0"/>
        <w:autoSpaceDE/>
        <w:autoSpaceDN/>
        <w:bidi w:val="0"/>
        <w:snapToGrid/>
        <w:spacing w:line="520" w:lineRule="exact"/>
        <w:ind w:left="0" w:right="0" w:firstLine="568" w:firstLineChars="200"/>
        <w:jc w:val="both"/>
        <w:textAlignment w:val="auto"/>
        <w:rPr>
          <w:rFonts w:hint="eastAsia" w:ascii="仿宋_GB2312" w:hAnsi="仿宋_GB2312" w:eastAsia="仿宋_GB2312" w:cs="仿宋_GB2312"/>
          <w:spacing w:val="-13"/>
          <w:sz w:val="31"/>
          <w:szCs w:val="31"/>
        </w:rPr>
      </w:pPr>
      <w:r>
        <w:rPr>
          <w:rFonts w:hint="eastAsia" w:ascii="仿宋_GB2312" w:hAnsi="仿宋_GB2312" w:eastAsia="仿宋_GB2312" w:cs="仿宋_GB2312"/>
          <w:color w:val="000000"/>
          <w:spacing w:val="-13"/>
          <w:sz w:val="31"/>
          <w:szCs w:val="31"/>
          <w:lang w:val="en-US" w:eastAsia="zh-CN" w:bidi="ar-SA"/>
        </w:rPr>
        <w:t>26、</w:t>
      </w:r>
      <w:r>
        <w:rPr>
          <w:rFonts w:hint="eastAsia" w:ascii="仿宋_GB2312" w:hAnsi="仿宋_GB2312" w:eastAsia="仿宋_GB2312" w:cs="仿宋_GB2312"/>
          <w:spacing w:val="-13"/>
          <w:sz w:val="31"/>
          <w:szCs w:val="31"/>
          <w:lang w:eastAsia="zh-CN"/>
        </w:rPr>
        <w:t>社会保障和就业支出</w:t>
      </w:r>
      <w:r>
        <w:rPr>
          <w:rFonts w:hint="eastAsia" w:ascii="仿宋_GB2312" w:hAnsi="仿宋_GB2312" w:eastAsia="仿宋_GB2312" w:cs="仿宋_GB2312"/>
          <w:spacing w:val="-13"/>
          <w:sz w:val="31"/>
          <w:szCs w:val="31"/>
        </w:rPr>
        <w:t>（类）</w:t>
      </w:r>
      <w:r>
        <w:rPr>
          <w:rFonts w:hint="eastAsia" w:ascii="仿宋_GB2312" w:hAnsi="仿宋_GB2312" w:eastAsia="仿宋_GB2312" w:cs="仿宋_GB2312"/>
          <w:spacing w:val="-13"/>
          <w:sz w:val="31"/>
          <w:szCs w:val="31"/>
          <w:lang w:eastAsia="zh-CN"/>
        </w:rPr>
        <w:t>行政事业单位养老支出</w:t>
      </w:r>
      <w:r>
        <w:rPr>
          <w:rFonts w:hint="eastAsia" w:ascii="仿宋_GB2312" w:hAnsi="仿宋_GB2312" w:eastAsia="仿宋_GB2312" w:cs="仿宋_GB2312"/>
          <w:spacing w:val="-13"/>
          <w:sz w:val="31"/>
          <w:szCs w:val="31"/>
        </w:rPr>
        <w:t>（款）</w:t>
      </w:r>
      <w:r>
        <w:rPr>
          <w:rFonts w:hint="eastAsia" w:ascii="仿宋_GB2312" w:hAnsi="仿宋_GB2312" w:eastAsia="仿宋_GB2312" w:cs="仿宋_GB2312"/>
          <w:spacing w:val="-13"/>
          <w:sz w:val="31"/>
          <w:szCs w:val="31"/>
          <w:lang w:eastAsia="zh-CN"/>
        </w:rPr>
        <w:t>事业单位离退休</w:t>
      </w:r>
      <w:r>
        <w:rPr>
          <w:rFonts w:hint="eastAsia" w:ascii="仿宋_GB2312" w:hAnsi="仿宋_GB2312" w:eastAsia="仿宋_GB2312" w:cs="仿宋_GB2312"/>
          <w:spacing w:val="-13"/>
          <w:sz w:val="31"/>
          <w:szCs w:val="31"/>
        </w:rPr>
        <w:t>（项）。</w:t>
      </w:r>
    </w:p>
    <w:p w14:paraId="60752DCC">
      <w:pPr>
        <w:keepNext w:val="0"/>
        <w:keepLines w:val="0"/>
        <w:pageBreakBefore w:val="0"/>
        <w:shd w:val="clear"/>
        <w:kinsoku/>
        <w:wordWrap/>
        <w:topLinePunct w:val="0"/>
        <w:bidi w:val="0"/>
        <w:snapToGrid/>
        <w:spacing w:line="520" w:lineRule="exact"/>
        <w:ind w:left="0" w:right="0" w:firstLine="636"/>
        <w:jc w:val="both"/>
        <w:textAlignment w:val="auto"/>
        <w:rPr>
          <w:rFonts w:hint="eastAsia" w:ascii="仿宋_GB2312" w:hAnsi="仿宋_GB2312" w:eastAsia="仿宋_GB2312" w:cs="仿宋_GB2312"/>
          <w:sz w:val="31"/>
          <w:szCs w:val="31"/>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1618.13</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1618.13</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等于</w:t>
      </w:r>
      <w:r>
        <w:rPr>
          <w:rFonts w:hint="eastAsia" w:ascii="仿宋_GB2312" w:hAnsi="仿宋_GB2312" w:eastAsia="仿宋_GB2312" w:cs="仿宋_GB2312"/>
          <w:sz w:val="32"/>
          <w:szCs w:val="32"/>
        </w:rPr>
        <w:t>年初预算数的主要原因是：</w:t>
      </w:r>
      <w:r>
        <w:rPr>
          <w:rFonts w:hint="eastAsia" w:ascii="仿宋_GB2312" w:hAnsi="仿宋_GB2312" w:eastAsia="仿宋_GB2312" w:cs="仿宋_GB2312"/>
          <w:spacing w:val="4"/>
          <w:sz w:val="31"/>
          <w:szCs w:val="31"/>
        </w:rPr>
        <w:t>严格按预算</w:t>
      </w:r>
      <w:r>
        <w:rPr>
          <w:rFonts w:hint="eastAsia" w:ascii="仿宋_GB2312" w:hAnsi="仿宋_GB2312" w:eastAsia="仿宋_GB2312" w:cs="仿宋_GB2312"/>
          <w:spacing w:val="-12"/>
          <w:sz w:val="31"/>
          <w:szCs w:val="31"/>
        </w:rPr>
        <w:t>执行。</w:t>
      </w:r>
    </w:p>
    <w:p w14:paraId="682BE736">
      <w:pPr>
        <w:pStyle w:val="19"/>
        <w:keepNext w:val="0"/>
        <w:keepLines w:val="0"/>
        <w:pageBreakBefore w:val="0"/>
        <w:numPr>
          <w:ilvl w:val="0"/>
          <w:numId w:val="0"/>
        </w:numPr>
        <w:shd w:val="clear"/>
        <w:kinsoku/>
        <w:wordWrap/>
        <w:overflowPunct w:val="0"/>
        <w:topLinePunct w:val="0"/>
        <w:autoSpaceDE/>
        <w:autoSpaceDN/>
        <w:bidi w:val="0"/>
        <w:snapToGrid/>
        <w:spacing w:line="520" w:lineRule="exact"/>
        <w:ind w:left="0" w:right="0" w:firstLine="568" w:firstLineChars="200"/>
        <w:jc w:val="both"/>
        <w:textAlignment w:val="auto"/>
        <w:rPr>
          <w:rFonts w:hint="eastAsia" w:ascii="仿宋_GB2312" w:hAnsi="仿宋_GB2312" w:eastAsia="仿宋_GB2312" w:cs="仿宋_GB2312"/>
          <w:spacing w:val="-13"/>
          <w:sz w:val="31"/>
          <w:szCs w:val="31"/>
        </w:rPr>
      </w:pPr>
      <w:r>
        <w:rPr>
          <w:rFonts w:hint="eastAsia" w:ascii="仿宋_GB2312" w:hAnsi="仿宋_GB2312" w:eastAsia="仿宋_GB2312" w:cs="仿宋_GB2312"/>
          <w:color w:val="000000"/>
          <w:spacing w:val="-13"/>
          <w:sz w:val="31"/>
          <w:szCs w:val="31"/>
          <w:lang w:val="en-US" w:eastAsia="zh-CN" w:bidi="ar-SA"/>
        </w:rPr>
        <w:t>27、</w:t>
      </w:r>
      <w:r>
        <w:rPr>
          <w:rFonts w:hint="eastAsia" w:ascii="仿宋_GB2312" w:hAnsi="仿宋_GB2312" w:eastAsia="仿宋_GB2312" w:cs="仿宋_GB2312"/>
          <w:spacing w:val="-13"/>
          <w:sz w:val="31"/>
          <w:szCs w:val="31"/>
          <w:lang w:eastAsia="zh-CN"/>
        </w:rPr>
        <w:t>社会保障和就业支出</w:t>
      </w:r>
      <w:r>
        <w:rPr>
          <w:rFonts w:hint="eastAsia" w:ascii="仿宋_GB2312" w:hAnsi="仿宋_GB2312" w:eastAsia="仿宋_GB2312" w:cs="仿宋_GB2312"/>
          <w:spacing w:val="-13"/>
          <w:sz w:val="31"/>
          <w:szCs w:val="31"/>
        </w:rPr>
        <w:t>（类）</w:t>
      </w:r>
      <w:r>
        <w:rPr>
          <w:rFonts w:hint="eastAsia" w:ascii="仿宋_GB2312" w:hAnsi="仿宋_GB2312" w:eastAsia="仿宋_GB2312" w:cs="仿宋_GB2312"/>
          <w:spacing w:val="-13"/>
          <w:sz w:val="31"/>
          <w:szCs w:val="31"/>
          <w:lang w:eastAsia="zh-CN"/>
        </w:rPr>
        <w:t>行政事业单位养老支出</w:t>
      </w:r>
      <w:r>
        <w:rPr>
          <w:rFonts w:hint="eastAsia" w:ascii="仿宋_GB2312" w:hAnsi="仿宋_GB2312" w:eastAsia="仿宋_GB2312" w:cs="仿宋_GB2312"/>
          <w:spacing w:val="-13"/>
          <w:sz w:val="31"/>
          <w:szCs w:val="31"/>
        </w:rPr>
        <w:t>（款）</w:t>
      </w:r>
      <w:r>
        <w:rPr>
          <w:rFonts w:hint="eastAsia" w:ascii="仿宋_GB2312" w:hAnsi="仿宋_GB2312" w:eastAsia="仿宋_GB2312" w:cs="仿宋_GB2312"/>
          <w:spacing w:val="-13"/>
          <w:sz w:val="31"/>
          <w:szCs w:val="31"/>
          <w:lang w:eastAsia="zh-CN"/>
        </w:rPr>
        <w:t>机关事业单位基本养老保险缴费支出</w:t>
      </w:r>
      <w:r>
        <w:rPr>
          <w:rFonts w:hint="eastAsia" w:ascii="仿宋_GB2312" w:hAnsi="仿宋_GB2312" w:eastAsia="仿宋_GB2312" w:cs="仿宋_GB2312"/>
          <w:spacing w:val="-13"/>
          <w:sz w:val="31"/>
          <w:szCs w:val="31"/>
        </w:rPr>
        <w:t>（项）。</w:t>
      </w:r>
    </w:p>
    <w:p w14:paraId="6608E859">
      <w:pPr>
        <w:keepNext w:val="0"/>
        <w:keepLines w:val="0"/>
        <w:pageBreakBefore w:val="0"/>
        <w:shd w:val="clear"/>
        <w:kinsoku/>
        <w:wordWrap/>
        <w:topLinePunct w:val="0"/>
        <w:bidi w:val="0"/>
        <w:snapToGrid/>
        <w:spacing w:line="520" w:lineRule="exact"/>
        <w:ind w:left="0" w:right="0" w:firstLine="636"/>
        <w:jc w:val="both"/>
        <w:textAlignment w:val="auto"/>
        <w:rPr>
          <w:rFonts w:hint="eastAsia" w:ascii="仿宋_GB2312" w:hAnsi="仿宋_GB2312" w:eastAsia="仿宋_GB2312" w:cs="仿宋_GB2312"/>
          <w:spacing w:val="-12"/>
          <w:sz w:val="31"/>
          <w:szCs w:val="31"/>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2469.46</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2469.46</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等于</w:t>
      </w:r>
      <w:r>
        <w:rPr>
          <w:rFonts w:hint="eastAsia" w:ascii="仿宋_GB2312" w:hAnsi="仿宋_GB2312" w:eastAsia="仿宋_GB2312" w:cs="仿宋_GB2312"/>
          <w:sz w:val="32"/>
          <w:szCs w:val="32"/>
        </w:rPr>
        <w:t>年初预算数的主要原因是：</w:t>
      </w:r>
      <w:r>
        <w:rPr>
          <w:rFonts w:hint="eastAsia" w:ascii="仿宋_GB2312" w:hAnsi="仿宋_GB2312" w:eastAsia="仿宋_GB2312" w:cs="仿宋_GB2312"/>
          <w:spacing w:val="4"/>
          <w:sz w:val="31"/>
          <w:szCs w:val="31"/>
        </w:rPr>
        <w:t>严格按预算</w:t>
      </w:r>
      <w:r>
        <w:rPr>
          <w:rFonts w:hint="eastAsia" w:ascii="仿宋_GB2312" w:hAnsi="仿宋_GB2312" w:eastAsia="仿宋_GB2312" w:cs="仿宋_GB2312"/>
          <w:spacing w:val="-12"/>
          <w:sz w:val="31"/>
          <w:szCs w:val="31"/>
        </w:rPr>
        <w:t>执行。</w:t>
      </w:r>
    </w:p>
    <w:p w14:paraId="2188BC45">
      <w:pPr>
        <w:pStyle w:val="19"/>
        <w:keepNext w:val="0"/>
        <w:keepLines w:val="0"/>
        <w:pageBreakBefore w:val="0"/>
        <w:numPr>
          <w:ilvl w:val="0"/>
          <w:numId w:val="0"/>
        </w:numPr>
        <w:shd w:val="clear"/>
        <w:kinsoku/>
        <w:wordWrap/>
        <w:overflowPunct w:val="0"/>
        <w:topLinePunct w:val="0"/>
        <w:autoSpaceDE/>
        <w:autoSpaceDN/>
        <w:bidi w:val="0"/>
        <w:snapToGrid/>
        <w:spacing w:line="520" w:lineRule="exact"/>
        <w:ind w:left="0" w:right="0" w:firstLine="568" w:firstLineChars="200"/>
        <w:jc w:val="both"/>
        <w:textAlignment w:val="auto"/>
        <w:rPr>
          <w:rFonts w:hint="eastAsia" w:ascii="仿宋_GB2312" w:hAnsi="仿宋_GB2312" w:eastAsia="仿宋_GB2312" w:cs="仿宋_GB2312"/>
          <w:spacing w:val="-13"/>
          <w:sz w:val="31"/>
          <w:szCs w:val="31"/>
        </w:rPr>
      </w:pPr>
      <w:r>
        <w:rPr>
          <w:rFonts w:hint="eastAsia" w:ascii="仿宋_GB2312" w:hAnsi="仿宋_GB2312" w:eastAsia="仿宋_GB2312" w:cs="仿宋_GB2312"/>
          <w:color w:val="000000"/>
          <w:spacing w:val="-13"/>
          <w:sz w:val="31"/>
          <w:szCs w:val="31"/>
          <w:lang w:val="en-US" w:eastAsia="zh-CN" w:bidi="ar-SA"/>
        </w:rPr>
        <w:t>28、</w:t>
      </w:r>
      <w:r>
        <w:rPr>
          <w:rFonts w:hint="eastAsia" w:ascii="仿宋_GB2312" w:hAnsi="仿宋_GB2312" w:eastAsia="仿宋_GB2312" w:cs="仿宋_GB2312"/>
          <w:spacing w:val="-13"/>
          <w:sz w:val="31"/>
          <w:szCs w:val="31"/>
          <w:lang w:eastAsia="zh-CN"/>
        </w:rPr>
        <w:t>社会保障和就业支出</w:t>
      </w:r>
      <w:r>
        <w:rPr>
          <w:rFonts w:hint="eastAsia" w:ascii="仿宋_GB2312" w:hAnsi="仿宋_GB2312" w:eastAsia="仿宋_GB2312" w:cs="仿宋_GB2312"/>
          <w:spacing w:val="-13"/>
          <w:sz w:val="31"/>
          <w:szCs w:val="31"/>
        </w:rPr>
        <w:t>（类）</w:t>
      </w:r>
      <w:r>
        <w:rPr>
          <w:rFonts w:hint="eastAsia" w:ascii="仿宋_GB2312" w:hAnsi="仿宋_GB2312" w:eastAsia="仿宋_GB2312" w:cs="仿宋_GB2312"/>
          <w:spacing w:val="-13"/>
          <w:sz w:val="31"/>
          <w:szCs w:val="31"/>
          <w:lang w:eastAsia="zh-CN"/>
        </w:rPr>
        <w:t>行政事业单位养老支出</w:t>
      </w:r>
      <w:r>
        <w:rPr>
          <w:rFonts w:hint="eastAsia" w:ascii="仿宋_GB2312" w:hAnsi="仿宋_GB2312" w:eastAsia="仿宋_GB2312" w:cs="仿宋_GB2312"/>
          <w:spacing w:val="-13"/>
          <w:sz w:val="31"/>
          <w:szCs w:val="31"/>
        </w:rPr>
        <w:t>（款）</w:t>
      </w:r>
      <w:r>
        <w:rPr>
          <w:rFonts w:hint="eastAsia" w:ascii="仿宋_GB2312" w:hAnsi="仿宋_GB2312" w:eastAsia="仿宋_GB2312" w:cs="仿宋_GB2312"/>
          <w:spacing w:val="-13"/>
          <w:sz w:val="31"/>
          <w:szCs w:val="31"/>
          <w:lang w:eastAsia="zh-CN"/>
        </w:rPr>
        <w:t>机关事业单位职业年金缴费支出</w:t>
      </w:r>
      <w:r>
        <w:rPr>
          <w:rFonts w:hint="eastAsia" w:ascii="仿宋_GB2312" w:hAnsi="仿宋_GB2312" w:eastAsia="仿宋_GB2312" w:cs="仿宋_GB2312"/>
          <w:spacing w:val="-13"/>
          <w:sz w:val="31"/>
          <w:szCs w:val="31"/>
        </w:rPr>
        <w:t>（项）。</w:t>
      </w:r>
    </w:p>
    <w:p w14:paraId="3D64C0C6">
      <w:pPr>
        <w:keepNext w:val="0"/>
        <w:keepLines w:val="0"/>
        <w:pageBreakBefore w:val="0"/>
        <w:shd w:val="clear"/>
        <w:kinsoku/>
        <w:wordWrap/>
        <w:topLinePunct w:val="0"/>
        <w:bidi w:val="0"/>
        <w:snapToGrid/>
        <w:spacing w:line="520" w:lineRule="exact"/>
        <w:ind w:left="0" w:right="0" w:firstLine="636"/>
        <w:jc w:val="both"/>
        <w:textAlignment w:val="auto"/>
        <w:rPr>
          <w:rFonts w:hint="eastAsia" w:ascii="仿宋_GB2312" w:hAnsi="仿宋_GB2312" w:eastAsia="仿宋_GB2312" w:cs="仿宋_GB2312"/>
          <w:sz w:val="31"/>
          <w:szCs w:val="31"/>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388.83</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388.83</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等于</w:t>
      </w:r>
      <w:r>
        <w:rPr>
          <w:rFonts w:hint="eastAsia" w:ascii="仿宋_GB2312" w:hAnsi="仿宋_GB2312" w:eastAsia="仿宋_GB2312" w:cs="仿宋_GB2312"/>
          <w:sz w:val="32"/>
          <w:szCs w:val="32"/>
        </w:rPr>
        <w:t>年初预算数的主要原因是：</w:t>
      </w:r>
      <w:r>
        <w:rPr>
          <w:rFonts w:hint="eastAsia" w:ascii="仿宋_GB2312" w:hAnsi="仿宋_GB2312" w:eastAsia="仿宋_GB2312" w:cs="仿宋_GB2312"/>
          <w:spacing w:val="4"/>
          <w:sz w:val="31"/>
          <w:szCs w:val="31"/>
        </w:rPr>
        <w:t>严格按预算</w:t>
      </w:r>
      <w:r>
        <w:rPr>
          <w:rFonts w:hint="eastAsia" w:ascii="仿宋_GB2312" w:hAnsi="仿宋_GB2312" w:eastAsia="仿宋_GB2312" w:cs="仿宋_GB2312"/>
          <w:spacing w:val="-12"/>
          <w:sz w:val="31"/>
          <w:szCs w:val="31"/>
        </w:rPr>
        <w:t>执行。</w:t>
      </w:r>
    </w:p>
    <w:p w14:paraId="3A48DB11">
      <w:pPr>
        <w:pStyle w:val="19"/>
        <w:keepNext w:val="0"/>
        <w:keepLines w:val="0"/>
        <w:pageBreakBefore w:val="0"/>
        <w:numPr>
          <w:ilvl w:val="0"/>
          <w:numId w:val="0"/>
        </w:numPr>
        <w:shd w:val="clear"/>
        <w:kinsoku/>
        <w:wordWrap/>
        <w:overflowPunct w:val="0"/>
        <w:topLinePunct w:val="0"/>
        <w:autoSpaceDE/>
        <w:autoSpaceDN/>
        <w:bidi w:val="0"/>
        <w:snapToGrid/>
        <w:spacing w:line="520" w:lineRule="exact"/>
        <w:ind w:left="0" w:right="0" w:firstLine="568" w:firstLineChars="200"/>
        <w:jc w:val="both"/>
        <w:textAlignment w:val="auto"/>
        <w:rPr>
          <w:rFonts w:hint="eastAsia" w:ascii="仿宋_GB2312" w:hAnsi="仿宋_GB2312" w:eastAsia="仿宋_GB2312" w:cs="仿宋_GB2312"/>
          <w:spacing w:val="-13"/>
          <w:sz w:val="31"/>
          <w:szCs w:val="31"/>
        </w:rPr>
      </w:pPr>
      <w:r>
        <w:rPr>
          <w:rFonts w:hint="eastAsia" w:ascii="仿宋_GB2312" w:hAnsi="仿宋_GB2312" w:eastAsia="仿宋_GB2312" w:cs="仿宋_GB2312"/>
          <w:color w:val="000000"/>
          <w:spacing w:val="-13"/>
          <w:sz w:val="31"/>
          <w:szCs w:val="31"/>
          <w:lang w:val="en-US" w:eastAsia="zh-CN" w:bidi="ar-SA"/>
        </w:rPr>
        <w:t>29、</w:t>
      </w:r>
      <w:r>
        <w:rPr>
          <w:rFonts w:hint="eastAsia" w:ascii="仿宋_GB2312" w:hAnsi="仿宋_GB2312" w:eastAsia="仿宋_GB2312" w:cs="仿宋_GB2312"/>
          <w:spacing w:val="-13"/>
          <w:sz w:val="31"/>
          <w:szCs w:val="31"/>
          <w:lang w:eastAsia="zh-CN"/>
        </w:rPr>
        <w:t>社会保障和就业支出</w:t>
      </w:r>
      <w:r>
        <w:rPr>
          <w:rFonts w:hint="eastAsia" w:ascii="仿宋_GB2312" w:hAnsi="仿宋_GB2312" w:eastAsia="仿宋_GB2312" w:cs="仿宋_GB2312"/>
          <w:spacing w:val="-13"/>
          <w:sz w:val="31"/>
          <w:szCs w:val="31"/>
        </w:rPr>
        <w:t>（类）</w:t>
      </w:r>
      <w:r>
        <w:rPr>
          <w:rFonts w:hint="eastAsia" w:ascii="仿宋_GB2312" w:hAnsi="仿宋_GB2312" w:eastAsia="仿宋_GB2312" w:cs="仿宋_GB2312"/>
          <w:spacing w:val="-13"/>
          <w:sz w:val="31"/>
          <w:szCs w:val="31"/>
          <w:lang w:eastAsia="zh-CN"/>
        </w:rPr>
        <w:t>抚恤</w:t>
      </w:r>
      <w:r>
        <w:rPr>
          <w:rFonts w:hint="eastAsia" w:ascii="仿宋_GB2312" w:hAnsi="仿宋_GB2312" w:eastAsia="仿宋_GB2312" w:cs="仿宋_GB2312"/>
          <w:spacing w:val="-13"/>
          <w:sz w:val="31"/>
          <w:szCs w:val="31"/>
        </w:rPr>
        <w:t>（款）</w:t>
      </w:r>
      <w:r>
        <w:rPr>
          <w:rFonts w:hint="eastAsia" w:ascii="仿宋_GB2312" w:hAnsi="仿宋_GB2312" w:eastAsia="仿宋_GB2312" w:cs="仿宋_GB2312"/>
          <w:spacing w:val="-13"/>
          <w:sz w:val="31"/>
          <w:szCs w:val="31"/>
          <w:lang w:eastAsia="zh-CN"/>
        </w:rPr>
        <w:t>死亡抚恤支出</w:t>
      </w:r>
      <w:r>
        <w:rPr>
          <w:rFonts w:hint="eastAsia" w:ascii="仿宋_GB2312" w:hAnsi="仿宋_GB2312" w:eastAsia="仿宋_GB2312" w:cs="仿宋_GB2312"/>
          <w:spacing w:val="-13"/>
          <w:sz w:val="31"/>
          <w:szCs w:val="31"/>
        </w:rPr>
        <w:t>（项）。</w:t>
      </w:r>
    </w:p>
    <w:p w14:paraId="38DAA13C">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hint="eastAsia" w:ascii="仿宋_GB2312" w:hAnsi="仿宋_GB2312" w:eastAsia="仿宋_GB2312" w:cs="仿宋_GB2312"/>
          <w:color w:val="0000FF"/>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98.37</w:t>
      </w:r>
      <w:r>
        <w:rPr>
          <w:rFonts w:hint="eastAsia" w:ascii="仿宋_GB2312" w:hAnsi="仿宋_GB2312" w:eastAsia="仿宋_GB2312" w:cs="仿宋_GB2312"/>
          <w:sz w:val="32"/>
          <w:szCs w:val="32"/>
        </w:rPr>
        <w:t>万元，决算数大于年初预</w:t>
      </w:r>
      <w:r>
        <w:rPr>
          <w:rFonts w:hint="eastAsia" w:ascii="仿宋_GB2312" w:hAnsi="仿宋_GB2312" w:eastAsia="仿宋_GB2312" w:cs="仿宋_GB2312"/>
          <w:color w:val="auto"/>
          <w:sz w:val="32"/>
          <w:szCs w:val="32"/>
        </w:rPr>
        <w:t>算数的主要原因是</w:t>
      </w:r>
      <w:r>
        <w:rPr>
          <w:rFonts w:hint="eastAsia" w:ascii="仿宋_GB2312" w:hAnsi="仿宋_GB2312" w:eastAsia="仿宋_GB2312" w:cs="仿宋_GB2312"/>
          <w:color w:val="0000FF"/>
          <w:sz w:val="32"/>
          <w:szCs w:val="32"/>
        </w:rPr>
        <w:t>：</w:t>
      </w:r>
      <w:r>
        <w:rPr>
          <w:rFonts w:hint="eastAsia" w:ascii="仿宋_GB2312" w:hAnsi="仿宋_GB2312" w:eastAsia="仿宋_GB2312" w:cs="仿宋_GB2312"/>
          <w:sz w:val="32"/>
          <w:szCs w:val="32"/>
        </w:rPr>
        <w:t>死亡抚恤支出年初无法预计，未纳入年初预算</w:t>
      </w:r>
      <w:r>
        <w:rPr>
          <w:rFonts w:hint="eastAsia" w:ascii="仿宋_GB2312" w:hAnsi="仿宋_GB2312" w:eastAsia="仿宋_GB2312" w:cs="仿宋_GB2312"/>
          <w:b/>
          <w:bCs/>
          <w:i w:val="0"/>
          <w:iCs w:val="0"/>
          <w:caps w:val="0"/>
          <w:color w:val="0F1115"/>
          <w:spacing w:val="0"/>
          <w:sz w:val="24"/>
          <w:szCs w:val="24"/>
          <w:shd w:val="clear" w:fill="FFFFFF"/>
        </w:rPr>
        <w:t>。</w:t>
      </w:r>
    </w:p>
    <w:p w14:paraId="50D960DB">
      <w:pPr>
        <w:pStyle w:val="19"/>
        <w:keepNext w:val="0"/>
        <w:keepLines w:val="0"/>
        <w:pageBreakBefore w:val="0"/>
        <w:numPr>
          <w:ilvl w:val="0"/>
          <w:numId w:val="0"/>
        </w:numPr>
        <w:shd w:val="clear"/>
        <w:kinsoku/>
        <w:wordWrap/>
        <w:overflowPunct w:val="0"/>
        <w:topLinePunct w:val="0"/>
        <w:autoSpaceDE/>
        <w:autoSpaceDN/>
        <w:bidi w:val="0"/>
        <w:snapToGrid/>
        <w:spacing w:line="520" w:lineRule="exact"/>
        <w:ind w:left="0" w:right="0" w:firstLine="568" w:firstLineChars="200"/>
        <w:jc w:val="both"/>
        <w:textAlignment w:val="auto"/>
        <w:rPr>
          <w:rFonts w:hint="eastAsia" w:ascii="仿宋_GB2312" w:hAnsi="仿宋_GB2312" w:eastAsia="仿宋_GB2312" w:cs="仿宋_GB2312"/>
          <w:spacing w:val="-13"/>
          <w:sz w:val="31"/>
          <w:szCs w:val="31"/>
        </w:rPr>
      </w:pPr>
      <w:r>
        <w:rPr>
          <w:rFonts w:hint="eastAsia" w:ascii="仿宋_GB2312" w:hAnsi="仿宋_GB2312" w:eastAsia="仿宋_GB2312" w:cs="仿宋_GB2312"/>
          <w:color w:val="000000"/>
          <w:spacing w:val="-13"/>
          <w:sz w:val="31"/>
          <w:szCs w:val="31"/>
          <w:lang w:val="en-US" w:eastAsia="zh-CN" w:bidi="ar-SA"/>
        </w:rPr>
        <w:t>30、</w:t>
      </w:r>
      <w:r>
        <w:rPr>
          <w:rFonts w:hint="eastAsia" w:ascii="仿宋_GB2312" w:hAnsi="仿宋_GB2312" w:eastAsia="仿宋_GB2312" w:cs="仿宋_GB2312"/>
          <w:spacing w:val="-13"/>
          <w:sz w:val="31"/>
          <w:szCs w:val="31"/>
          <w:lang w:eastAsia="zh-CN"/>
        </w:rPr>
        <w:t>卫生健康支出</w:t>
      </w:r>
      <w:r>
        <w:rPr>
          <w:rFonts w:hint="eastAsia" w:ascii="仿宋_GB2312" w:hAnsi="仿宋_GB2312" w:eastAsia="仿宋_GB2312" w:cs="仿宋_GB2312"/>
          <w:spacing w:val="-13"/>
          <w:sz w:val="31"/>
          <w:szCs w:val="31"/>
        </w:rPr>
        <w:t>（类）</w:t>
      </w:r>
      <w:r>
        <w:rPr>
          <w:rFonts w:hint="eastAsia" w:ascii="仿宋_GB2312" w:hAnsi="仿宋_GB2312" w:eastAsia="仿宋_GB2312" w:cs="仿宋_GB2312"/>
          <w:spacing w:val="-13"/>
          <w:sz w:val="31"/>
          <w:szCs w:val="31"/>
          <w:lang w:eastAsia="zh-CN"/>
        </w:rPr>
        <w:t>卫生健康管理事务</w:t>
      </w:r>
      <w:r>
        <w:rPr>
          <w:rFonts w:hint="eastAsia" w:ascii="仿宋_GB2312" w:hAnsi="仿宋_GB2312" w:eastAsia="仿宋_GB2312" w:cs="仿宋_GB2312"/>
          <w:spacing w:val="-13"/>
          <w:sz w:val="31"/>
          <w:szCs w:val="31"/>
        </w:rPr>
        <w:t>（款）</w:t>
      </w:r>
      <w:r>
        <w:rPr>
          <w:rFonts w:hint="eastAsia" w:ascii="仿宋_GB2312" w:hAnsi="仿宋_GB2312" w:eastAsia="仿宋_GB2312" w:cs="仿宋_GB2312"/>
          <w:spacing w:val="-13"/>
          <w:sz w:val="31"/>
          <w:szCs w:val="31"/>
          <w:lang w:eastAsia="zh-CN"/>
        </w:rPr>
        <w:t>一般行政管理事务</w:t>
      </w:r>
      <w:r>
        <w:rPr>
          <w:rFonts w:hint="eastAsia" w:ascii="仿宋_GB2312" w:hAnsi="仿宋_GB2312" w:eastAsia="仿宋_GB2312" w:cs="仿宋_GB2312"/>
          <w:spacing w:val="-13"/>
          <w:sz w:val="31"/>
          <w:szCs w:val="31"/>
        </w:rPr>
        <w:t>（项）。</w:t>
      </w:r>
    </w:p>
    <w:p w14:paraId="33D810AE">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hint="eastAsia" w:ascii="仿宋_GB2312" w:hAnsi="仿宋_GB2312" w:eastAsia="仿宋_GB2312" w:cs="仿宋_GB2312"/>
          <w:spacing w:val="2"/>
          <w:sz w:val="31"/>
          <w:szCs w:val="31"/>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4.49</w:t>
      </w:r>
      <w:r>
        <w:rPr>
          <w:rFonts w:hint="eastAsia" w:ascii="仿宋_GB2312" w:hAnsi="仿宋_GB2312" w:eastAsia="仿宋_GB2312" w:cs="仿宋_GB2312"/>
          <w:sz w:val="32"/>
          <w:szCs w:val="32"/>
        </w:rPr>
        <w:t>万元，决算数大于年初预算数的主要原因是</w:t>
      </w:r>
      <w:r>
        <w:rPr>
          <w:rFonts w:hint="eastAsia" w:ascii="仿宋_GB2312" w:hAnsi="仿宋_GB2312" w:eastAsia="仿宋_GB2312" w:cs="仿宋_GB2312"/>
          <w:sz w:val="32"/>
          <w:szCs w:val="32"/>
          <w:lang w:eastAsia="zh-CN"/>
        </w:rPr>
        <w:t>：追加了离休职工的医疗费</w:t>
      </w:r>
      <w:r>
        <w:rPr>
          <w:rFonts w:hint="eastAsia" w:ascii="仿宋_GB2312" w:hAnsi="仿宋_GB2312" w:eastAsia="仿宋_GB2312" w:cs="仿宋_GB2312"/>
          <w:spacing w:val="9"/>
          <w:sz w:val="31"/>
          <w:szCs w:val="31"/>
          <w:lang w:val="en-US" w:eastAsia="zh-CN"/>
        </w:rPr>
        <w:t xml:space="preserve"> </w:t>
      </w:r>
      <w:r>
        <w:rPr>
          <w:rFonts w:hint="eastAsia" w:ascii="仿宋_GB2312" w:hAnsi="仿宋_GB2312" w:eastAsia="仿宋_GB2312" w:cs="仿宋_GB2312"/>
          <w:spacing w:val="2"/>
          <w:sz w:val="31"/>
          <w:szCs w:val="31"/>
          <w:lang w:eastAsia="zh-CN"/>
        </w:rPr>
        <w:t>。</w:t>
      </w:r>
    </w:p>
    <w:p w14:paraId="36F0CC83">
      <w:pPr>
        <w:pStyle w:val="19"/>
        <w:keepNext w:val="0"/>
        <w:keepLines w:val="0"/>
        <w:pageBreakBefore w:val="0"/>
        <w:numPr>
          <w:ilvl w:val="0"/>
          <w:numId w:val="0"/>
        </w:numPr>
        <w:shd w:val="clear"/>
        <w:kinsoku/>
        <w:wordWrap/>
        <w:overflowPunct w:val="0"/>
        <w:topLinePunct w:val="0"/>
        <w:autoSpaceDE/>
        <w:autoSpaceDN/>
        <w:bidi w:val="0"/>
        <w:snapToGrid/>
        <w:spacing w:line="520" w:lineRule="exact"/>
        <w:ind w:left="0" w:right="0" w:firstLine="568" w:firstLineChars="200"/>
        <w:jc w:val="both"/>
        <w:textAlignment w:val="auto"/>
        <w:rPr>
          <w:rFonts w:hint="eastAsia" w:ascii="仿宋_GB2312" w:hAnsi="仿宋_GB2312" w:eastAsia="仿宋_GB2312" w:cs="仿宋_GB2312"/>
          <w:spacing w:val="-13"/>
          <w:sz w:val="31"/>
          <w:szCs w:val="31"/>
        </w:rPr>
      </w:pPr>
      <w:r>
        <w:rPr>
          <w:rFonts w:hint="eastAsia" w:ascii="仿宋_GB2312" w:hAnsi="仿宋_GB2312" w:eastAsia="仿宋_GB2312" w:cs="仿宋_GB2312"/>
          <w:color w:val="000000"/>
          <w:spacing w:val="-13"/>
          <w:sz w:val="31"/>
          <w:szCs w:val="31"/>
          <w:lang w:val="en-US" w:eastAsia="zh-CN" w:bidi="ar-SA"/>
        </w:rPr>
        <w:t>31、</w:t>
      </w:r>
      <w:r>
        <w:rPr>
          <w:rFonts w:hint="eastAsia" w:ascii="仿宋_GB2312" w:hAnsi="仿宋_GB2312" w:eastAsia="仿宋_GB2312" w:cs="仿宋_GB2312"/>
          <w:spacing w:val="-13"/>
          <w:sz w:val="31"/>
          <w:szCs w:val="31"/>
          <w:lang w:eastAsia="zh-CN"/>
        </w:rPr>
        <w:t>卫生健康支出</w:t>
      </w:r>
      <w:r>
        <w:rPr>
          <w:rFonts w:hint="eastAsia" w:ascii="仿宋_GB2312" w:hAnsi="仿宋_GB2312" w:eastAsia="仿宋_GB2312" w:cs="仿宋_GB2312"/>
          <w:spacing w:val="-13"/>
          <w:sz w:val="31"/>
          <w:szCs w:val="31"/>
        </w:rPr>
        <w:t>（类）</w:t>
      </w:r>
      <w:r>
        <w:rPr>
          <w:rFonts w:hint="eastAsia" w:ascii="仿宋_GB2312" w:hAnsi="仿宋_GB2312" w:eastAsia="仿宋_GB2312" w:cs="仿宋_GB2312"/>
          <w:spacing w:val="-13"/>
          <w:sz w:val="31"/>
          <w:szCs w:val="31"/>
          <w:lang w:eastAsia="zh-CN"/>
        </w:rPr>
        <w:t>行政事业单位医疗</w:t>
      </w:r>
      <w:r>
        <w:rPr>
          <w:rFonts w:hint="eastAsia" w:ascii="仿宋_GB2312" w:hAnsi="仿宋_GB2312" w:eastAsia="仿宋_GB2312" w:cs="仿宋_GB2312"/>
          <w:spacing w:val="-13"/>
          <w:sz w:val="31"/>
          <w:szCs w:val="31"/>
        </w:rPr>
        <w:t>（款）</w:t>
      </w:r>
      <w:r>
        <w:rPr>
          <w:rFonts w:hint="eastAsia" w:ascii="仿宋_GB2312" w:hAnsi="仿宋_GB2312" w:eastAsia="仿宋_GB2312" w:cs="仿宋_GB2312"/>
          <w:spacing w:val="-13"/>
          <w:sz w:val="31"/>
          <w:szCs w:val="31"/>
          <w:lang w:eastAsia="zh-CN"/>
        </w:rPr>
        <w:t>行政单位医疗</w:t>
      </w:r>
      <w:r>
        <w:rPr>
          <w:rFonts w:hint="eastAsia" w:ascii="仿宋_GB2312" w:hAnsi="仿宋_GB2312" w:eastAsia="仿宋_GB2312" w:cs="仿宋_GB2312"/>
          <w:spacing w:val="-13"/>
          <w:sz w:val="31"/>
          <w:szCs w:val="31"/>
        </w:rPr>
        <w:t>（项）。</w:t>
      </w:r>
    </w:p>
    <w:p w14:paraId="5BA5A449">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26.66</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148.11</w:t>
      </w:r>
      <w:r>
        <w:rPr>
          <w:rFonts w:hint="eastAsia" w:ascii="仿宋_GB2312" w:hAnsi="仿宋_GB2312" w:eastAsia="仿宋_GB2312" w:cs="仿宋_GB2312"/>
          <w:sz w:val="32"/>
          <w:szCs w:val="32"/>
        </w:rPr>
        <w:t>%，决算数大于年初预算</w:t>
      </w:r>
      <w:r>
        <w:rPr>
          <w:rFonts w:hint="eastAsia" w:ascii="仿宋_GB2312" w:hAnsi="仿宋_GB2312" w:eastAsia="仿宋_GB2312" w:cs="仿宋_GB2312"/>
          <w:color w:val="auto"/>
          <w:sz w:val="32"/>
          <w:szCs w:val="32"/>
        </w:rPr>
        <w:t>数的主要原因是</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2025离休干部医药费支出较多</w:t>
      </w:r>
      <w:r>
        <w:rPr>
          <w:rFonts w:hint="eastAsia" w:ascii="仿宋_GB2312" w:hAnsi="仿宋_GB2312" w:eastAsia="仿宋_GB2312" w:cs="仿宋_GB2312"/>
          <w:color w:val="auto"/>
          <w:spacing w:val="2"/>
          <w:sz w:val="31"/>
          <w:szCs w:val="31"/>
          <w:lang w:eastAsia="zh-CN"/>
        </w:rPr>
        <w:t>。</w:t>
      </w:r>
    </w:p>
    <w:p w14:paraId="4CA2D1FA">
      <w:pPr>
        <w:pStyle w:val="19"/>
        <w:keepNext w:val="0"/>
        <w:keepLines w:val="0"/>
        <w:pageBreakBefore w:val="0"/>
        <w:numPr>
          <w:ilvl w:val="0"/>
          <w:numId w:val="0"/>
        </w:numPr>
        <w:shd w:val="clear"/>
        <w:kinsoku/>
        <w:wordWrap/>
        <w:overflowPunct w:val="0"/>
        <w:topLinePunct w:val="0"/>
        <w:autoSpaceDE/>
        <w:autoSpaceDN/>
        <w:bidi w:val="0"/>
        <w:snapToGrid/>
        <w:spacing w:line="520" w:lineRule="exact"/>
        <w:ind w:left="0" w:right="0" w:firstLine="568" w:firstLineChars="200"/>
        <w:jc w:val="both"/>
        <w:textAlignment w:val="auto"/>
        <w:rPr>
          <w:rFonts w:hint="eastAsia" w:ascii="仿宋_GB2312" w:hAnsi="仿宋_GB2312" w:eastAsia="仿宋_GB2312" w:cs="仿宋_GB2312"/>
          <w:spacing w:val="-13"/>
          <w:sz w:val="31"/>
          <w:szCs w:val="31"/>
        </w:rPr>
      </w:pPr>
      <w:r>
        <w:rPr>
          <w:rFonts w:hint="eastAsia" w:ascii="仿宋_GB2312" w:hAnsi="仿宋_GB2312" w:eastAsia="仿宋_GB2312" w:cs="仿宋_GB2312"/>
          <w:color w:val="000000"/>
          <w:spacing w:val="-13"/>
          <w:sz w:val="31"/>
          <w:szCs w:val="31"/>
          <w:lang w:val="en-US" w:eastAsia="zh-CN" w:bidi="ar-SA"/>
        </w:rPr>
        <w:t>32、</w:t>
      </w:r>
      <w:r>
        <w:rPr>
          <w:rFonts w:hint="eastAsia" w:ascii="仿宋_GB2312" w:hAnsi="仿宋_GB2312" w:eastAsia="仿宋_GB2312" w:cs="仿宋_GB2312"/>
          <w:spacing w:val="-13"/>
          <w:sz w:val="31"/>
          <w:szCs w:val="31"/>
          <w:lang w:eastAsia="zh-CN"/>
        </w:rPr>
        <w:t>卫生健康支出</w:t>
      </w:r>
      <w:r>
        <w:rPr>
          <w:rFonts w:hint="eastAsia" w:ascii="仿宋_GB2312" w:hAnsi="仿宋_GB2312" w:eastAsia="仿宋_GB2312" w:cs="仿宋_GB2312"/>
          <w:spacing w:val="-13"/>
          <w:sz w:val="31"/>
          <w:szCs w:val="31"/>
        </w:rPr>
        <w:t>（类）</w:t>
      </w:r>
      <w:r>
        <w:rPr>
          <w:rFonts w:hint="eastAsia" w:ascii="仿宋_GB2312" w:hAnsi="仿宋_GB2312" w:eastAsia="仿宋_GB2312" w:cs="仿宋_GB2312"/>
          <w:spacing w:val="-13"/>
          <w:sz w:val="31"/>
          <w:szCs w:val="31"/>
          <w:lang w:eastAsia="zh-CN"/>
        </w:rPr>
        <w:t>行政事业单位医疗</w:t>
      </w:r>
      <w:r>
        <w:rPr>
          <w:rFonts w:hint="eastAsia" w:ascii="仿宋_GB2312" w:hAnsi="仿宋_GB2312" w:eastAsia="仿宋_GB2312" w:cs="仿宋_GB2312"/>
          <w:spacing w:val="-13"/>
          <w:sz w:val="31"/>
          <w:szCs w:val="31"/>
        </w:rPr>
        <w:t>（款）</w:t>
      </w:r>
      <w:r>
        <w:rPr>
          <w:rFonts w:hint="eastAsia" w:ascii="仿宋_GB2312" w:hAnsi="仿宋_GB2312" w:eastAsia="仿宋_GB2312" w:cs="仿宋_GB2312"/>
          <w:spacing w:val="-13"/>
          <w:sz w:val="31"/>
          <w:szCs w:val="31"/>
          <w:lang w:eastAsia="zh-CN"/>
        </w:rPr>
        <w:t>事业单位医疗</w:t>
      </w:r>
      <w:r>
        <w:rPr>
          <w:rFonts w:hint="eastAsia" w:ascii="仿宋_GB2312" w:hAnsi="仿宋_GB2312" w:eastAsia="仿宋_GB2312" w:cs="仿宋_GB2312"/>
          <w:spacing w:val="-13"/>
          <w:sz w:val="31"/>
          <w:szCs w:val="31"/>
        </w:rPr>
        <w:t>（项）。</w:t>
      </w:r>
    </w:p>
    <w:p w14:paraId="11040ACB">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85.56</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97.72</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114.21</w:t>
      </w:r>
      <w:r>
        <w:rPr>
          <w:rFonts w:hint="eastAsia" w:ascii="仿宋_GB2312" w:hAnsi="仿宋_GB2312" w:eastAsia="仿宋_GB2312" w:cs="仿宋_GB2312"/>
          <w:sz w:val="32"/>
          <w:szCs w:val="32"/>
        </w:rPr>
        <w:t>%，决算数大于年初预算数的主要原因是：</w:t>
      </w:r>
      <w:r>
        <w:rPr>
          <w:rFonts w:hint="eastAsia" w:ascii="仿宋_GB2312" w:hAnsi="仿宋_GB2312" w:eastAsia="仿宋_GB2312" w:cs="仿宋_GB2312"/>
          <w:sz w:val="32"/>
          <w:szCs w:val="32"/>
          <w:lang w:val="en-US" w:eastAsia="zh-CN"/>
        </w:rPr>
        <w:t>部分厅直单位年中追加了离休干部医疗费</w:t>
      </w:r>
      <w:r>
        <w:rPr>
          <w:rFonts w:hint="eastAsia" w:ascii="仿宋_GB2312" w:hAnsi="仿宋_GB2312" w:eastAsia="仿宋_GB2312" w:cs="仿宋_GB2312"/>
          <w:spacing w:val="2"/>
          <w:sz w:val="31"/>
          <w:szCs w:val="31"/>
          <w:lang w:eastAsia="zh-CN"/>
        </w:rPr>
        <w:t>。</w:t>
      </w:r>
    </w:p>
    <w:p w14:paraId="1071E44E">
      <w:pPr>
        <w:pStyle w:val="19"/>
        <w:keepNext w:val="0"/>
        <w:keepLines w:val="0"/>
        <w:pageBreakBefore w:val="0"/>
        <w:numPr>
          <w:ilvl w:val="0"/>
          <w:numId w:val="0"/>
        </w:numPr>
        <w:shd w:val="clear"/>
        <w:kinsoku/>
        <w:wordWrap/>
        <w:overflowPunct w:val="0"/>
        <w:topLinePunct w:val="0"/>
        <w:autoSpaceDE/>
        <w:autoSpaceDN/>
        <w:bidi w:val="0"/>
        <w:snapToGrid/>
        <w:spacing w:line="520" w:lineRule="exact"/>
        <w:ind w:left="0" w:right="0" w:firstLine="568" w:firstLineChars="200"/>
        <w:jc w:val="both"/>
        <w:textAlignment w:val="auto"/>
        <w:rPr>
          <w:rFonts w:hint="eastAsia" w:ascii="仿宋_GB2312" w:hAnsi="仿宋_GB2312" w:eastAsia="仿宋_GB2312" w:cs="仿宋_GB2312"/>
          <w:spacing w:val="-13"/>
          <w:sz w:val="31"/>
          <w:szCs w:val="31"/>
        </w:rPr>
      </w:pPr>
      <w:r>
        <w:rPr>
          <w:rFonts w:hint="eastAsia" w:ascii="仿宋_GB2312" w:hAnsi="仿宋_GB2312" w:eastAsia="仿宋_GB2312" w:cs="仿宋_GB2312"/>
          <w:color w:val="000000"/>
          <w:spacing w:val="-13"/>
          <w:sz w:val="31"/>
          <w:szCs w:val="31"/>
          <w:lang w:val="en-US" w:eastAsia="zh-CN" w:bidi="ar-SA"/>
        </w:rPr>
        <w:t>33、</w:t>
      </w:r>
      <w:r>
        <w:rPr>
          <w:rFonts w:hint="eastAsia" w:ascii="仿宋_GB2312" w:hAnsi="仿宋_GB2312" w:eastAsia="仿宋_GB2312" w:cs="仿宋_GB2312"/>
          <w:spacing w:val="-13"/>
          <w:sz w:val="31"/>
          <w:szCs w:val="31"/>
          <w:lang w:eastAsia="zh-CN"/>
        </w:rPr>
        <w:t>卫生健康支出</w:t>
      </w:r>
      <w:r>
        <w:rPr>
          <w:rFonts w:hint="eastAsia" w:ascii="仿宋_GB2312" w:hAnsi="仿宋_GB2312" w:eastAsia="仿宋_GB2312" w:cs="仿宋_GB2312"/>
          <w:spacing w:val="-13"/>
          <w:sz w:val="31"/>
          <w:szCs w:val="31"/>
        </w:rPr>
        <w:t>（类）</w:t>
      </w:r>
      <w:r>
        <w:rPr>
          <w:rFonts w:hint="eastAsia" w:ascii="仿宋_GB2312" w:hAnsi="仿宋_GB2312" w:eastAsia="仿宋_GB2312" w:cs="仿宋_GB2312"/>
          <w:spacing w:val="-13"/>
          <w:sz w:val="31"/>
          <w:szCs w:val="31"/>
          <w:lang w:eastAsia="zh-CN"/>
        </w:rPr>
        <w:t>行政事业单位医疗</w:t>
      </w:r>
      <w:r>
        <w:rPr>
          <w:rFonts w:hint="eastAsia" w:ascii="仿宋_GB2312" w:hAnsi="仿宋_GB2312" w:eastAsia="仿宋_GB2312" w:cs="仿宋_GB2312"/>
          <w:spacing w:val="-13"/>
          <w:sz w:val="31"/>
          <w:szCs w:val="31"/>
        </w:rPr>
        <w:t>（款）</w:t>
      </w:r>
      <w:r>
        <w:rPr>
          <w:rFonts w:hint="eastAsia" w:ascii="仿宋_GB2312" w:hAnsi="仿宋_GB2312" w:eastAsia="仿宋_GB2312" w:cs="仿宋_GB2312"/>
          <w:spacing w:val="-13"/>
          <w:sz w:val="31"/>
          <w:szCs w:val="31"/>
          <w:lang w:eastAsia="zh-CN"/>
        </w:rPr>
        <w:t>公务员医疗补助</w:t>
      </w:r>
      <w:r>
        <w:rPr>
          <w:rFonts w:hint="eastAsia" w:ascii="仿宋_GB2312" w:hAnsi="仿宋_GB2312" w:eastAsia="仿宋_GB2312" w:cs="仿宋_GB2312"/>
          <w:spacing w:val="-13"/>
          <w:sz w:val="31"/>
          <w:szCs w:val="31"/>
        </w:rPr>
        <w:t>（项）。</w:t>
      </w:r>
    </w:p>
    <w:p w14:paraId="77C32C71">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235.75</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225.7</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95.74</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小</w:t>
      </w:r>
      <w:r>
        <w:rPr>
          <w:rFonts w:hint="eastAsia" w:ascii="仿宋_GB2312" w:hAnsi="仿宋_GB2312" w:eastAsia="仿宋_GB2312" w:cs="仿宋_GB2312"/>
          <w:sz w:val="32"/>
          <w:szCs w:val="32"/>
        </w:rPr>
        <w:t>于年初预算数的主要原因是</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pacing w:val="7"/>
          <w:sz w:val="31"/>
          <w:szCs w:val="31"/>
        </w:rPr>
        <w:t>基本按</w:t>
      </w:r>
      <w:r>
        <w:rPr>
          <w:rFonts w:hint="eastAsia" w:ascii="仿宋_GB2312" w:hAnsi="仿宋_GB2312" w:eastAsia="仿宋_GB2312" w:cs="仿宋_GB2312"/>
          <w:spacing w:val="-2"/>
          <w:sz w:val="31"/>
          <w:szCs w:val="31"/>
        </w:rPr>
        <w:t>照预算执行</w:t>
      </w:r>
      <w:r>
        <w:rPr>
          <w:rFonts w:hint="eastAsia" w:ascii="仿宋_GB2312" w:hAnsi="仿宋_GB2312" w:eastAsia="仿宋_GB2312" w:cs="仿宋_GB2312"/>
          <w:spacing w:val="2"/>
          <w:sz w:val="31"/>
          <w:szCs w:val="31"/>
          <w:lang w:eastAsia="zh-CN"/>
        </w:rPr>
        <w:t>。</w:t>
      </w:r>
    </w:p>
    <w:p w14:paraId="349CD399">
      <w:pPr>
        <w:pStyle w:val="19"/>
        <w:keepNext w:val="0"/>
        <w:keepLines w:val="0"/>
        <w:pageBreakBefore w:val="0"/>
        <w:numPr>
          <w:ilvl w:val="0"/>
          <w:numId w:val="0"/>
        </w:numPr>
        <w:shd w:val="clear"/>
        <w:kinsoku/>
        <w:wordWrap/>
        <w:overflowPunct w:val="0"/>
        <w:topLinePunct w:val="0"/>
        <w:autoSpaceDE/>
        <w:autoSpaceDN/>
        <w:bidi w:val="0"/>
        <w:snapToGrid/>
        <w:spacing w:line="520" w:lineRule="exact"/>
        <w:ind w:left="0" w:right="0" w:firstLine="568" w:firstLineChars="200"/>
        <w:jc w:val="both"/>
        <w:textAlignment w:val="auto"/>
        <w:rPr>
          <w:rFonts w:hint="eastAsia" w:ascii="仿宋_GB2312" w:hAnsi="仿宋_GB2312" w:eastAsia="仿宋_GB2312" w:cs="仿宋_GB2312"/>
          <w:spacing w:val="-13"/>
          <w:sz w:val="31"/>
          <w:szCs w:val="31"/>
        </w:rPr>
      </w:pPr>
      <w:r>
        <w:rPr>
          <w:rFonts w:hint="eastAsia" w:ascii="仿宋_GB2312" w:hAnsi="仿宋_GB2312" w:eastAsia="仿宋_GB2312" w:cs="仿宋_GB2312"/>
          <w:color w:val="000000"/>
          <w:spacing w:val="-13"/>
          <w:sz w:val="31"/>
          <w:szCs w:val="31"/>
          <w:lang w:val="en-US" w:eastAsia="zh-CN" w:bidi="ar-SA"/>
        </w:rPr>
        <w:t>34、</w:t>
      </w:r>
      <w:r>
        <w:rPr>
          <w:rFonts w:hint="eastAsia" w:ascii="仿宋_GB2312" w:hAnsi="仿宋_GB2312" w:eastAsia="仿宋_GB2312" w:cs="仿宋_GB2312"/>
          <w:spacing w:val="-13"/>
          <w:sz w:val="31"/>
          <w:szCs w:val="31"/>
          <w:lang w:eastAsia="zh-CN"/>
        </w:rPr>
        <w:t>住房保障支出</w:t>
      </w:r>
      <w:r>
        <w:rPr>
          <w:rFonts w:hint="eastAsia" w:ascii="仿宋_GB2312" w:hAnsi="仿宋_GB2312" w:eastAsia="仿宋_GB2312" w:cs="仿宋_GB2312"/>
          <w:spacing w:val="-13"/>
          <w:sz w:val="31"/>
          <w:szCs w:val="31"/>
        </w:rPr>
        <w:t>（类）</w:t>
      </w:r>
      <w:r>
        <w:rPr>
          <w:rFonts w:hint="eastAsia" w:ascii="仿宋_GB2312" w:hAnsi="仿宋_GB2312" w:eastAsia="仿宋_GB2312" w:cs="仿宋_GB2312"/>
          <w:spacing w:val="-13"/>
          <w:sz w:val="31"/>
          <w:szCs w:val="31"/>
          <w:lang w:eastAsia="zh-CN"/>
        </w:rPr>
        <w:t>住房改革支出</w:t>
      </w:r>
      <w:r>
        <w:rPr>
          <w:rFonts w:hint="eastAsia" w:ascii="仿宋_GB2312" w:hAnsi="仿宋_GB2312" w:eastAsia="仿宋_GB2312" w:cs="仿宋_GB2312"/>
          <w:spacing w:val="-13"/>
          <w:sz w:val="31"/>
          <w:szCs w:val="31"/>
        </w:rPr>
        <w:t>（款）</w:t>
      </w:r>
      <w:r>
        <w:rPr>
          <w:rFonts w:hint="eastAsia" w:ascii="仿宋_GB2312" w:hAnsi="仿宋_GB2312" w:eastAsia="仿宋_GB2312" w:cs="仿宋_GB2312"/>
          <w:spacing w:val="-13"/>
          <w:sz w:val="31"/>
          <w:szCs w:val="31"/>
          <w:lang w:eastAsia="zh-CN"/>
        </w:rPr>
        <w:t>住房公积金</w:t>
      </w:r>
      <w:r>
        <w:rPr>
          <w:rFonts w:hint="eastAsia" w:ascii="仿宋_GB2312" w:hAnsi="仿宋_GB2312" w:eastAsia="仿宋_GB2312" w:cs="仿宋_GB2312"/>
          <w:spacing w:val="-13"/>
          <w:sz w:val="31"/>
          <w:szCs w:val="31"/>
        </w:rPr>
        <w:t>（项）。</w:t>
      </w:r>
    </w:p>
    <w:p w14:paraId="138FAFDE">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2413.87</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2412.35</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99.94</w:t>
      </w:r>
      <w:r>
        <w:rPr>
          <w:rFonts w:hint="eastAsia" w:ascii="仿宋_GB2312" w:hAnsi="仿宋_GB2312" w:eastAsia="仿宋_GB2312" w:cs="仿宋_GB2312"/>
          <w:sz w:val="32"/>
          <w:szCs w:val="32"/>
        </w:rPr>
        <w:t>%，决算数小于年初预算数的主要原因是：</w:t>
      </w:r>
      <w:r>
        <w:rPr>
          <w:rFonts w:hint="eastAsia" w:ascii="仿宋_GB2312" w:hAnsi="仿宋_GB2312" w:eastAsia="仿宋_GB2312" w:cs="仿宋_GB2312"/>
          <w:spacing w:val="7"/>
          <w:sz w:val="31"/>
          <w:szCs w:val="31"/>
        </w:rPr>
        <w:t>基本按</w:t>
      </w:r>
      <w:r>
        <w:rPr>
          <w:rFonts w:hint="eastAsia" w:ascii="仿宋_GB2312" w:hAnsi="仿宋_GB2312" w:eastAsia="仿宋_GB2312" w:cs="仿宋_GB2312"/>
          <w:spacing w:val="-2"/>
          <w:sz w:val="31"/>
          <w:szCs w:val="31"/>
        </w:rPr>
        <w:t>照预算执行</w:t>
      </w:r>
      <w:r>
        <w:rPr>
          <w:rFonts w:hint="eastAsia" w:ascii="仿宋_GB2312" w:hAnsi="仿宋_GB2312" w:eastAsia="仿宋_GB2312" w:cs="仿宋_GB2312"/>
          <w:spacing w:val="-2"/>
          <w:sz w:val="31"/>
          <w:szCs w:val="31"/>
          <w:lang w:eastAsia="zh-CN"/>
        </w:rPr>
        <w:t>。</w:t>
      </w:r>
    </w:p>
    <w:p w14:paraId="434791B5">
      <w:pPr>
        <w:pStyle w:val="19"/>
        <w:keepNext w:val="0"/>
        <w:keepLines w:val="0"/>
        <w:pageBreakBefore w:val="0"/>
        <w:numPr>
          <w:ilvl w:val="0"/>
          <w:numId w:val="0"/>
        </w:numPr>
        <w:shd w:val="clear"/>
        <w:kinsoku/>
        <w:wordWrap/>
        <w:overflowPunct w:val="0"/>
        <w:topLinePunct w:val="0"/>
        <w:autoSpaceDE/>
        <w:autoSpaceDN/>
        <w:bidi w:val="0"/>
        <w:snapToGrid/>
        <w:spacing w:line="520" w:lineRule="exact"/>
        <w:ind w:left="0" w:right="0" w:firstLine="568" w:firstLineChars="200"/>
        <w:jc w:val="both"/>
        <w:textAlignment w:val="auto"/>
        <w:rPr>
          <w:rFonts w:hint="eastAsia" w:ascii="仿宋_GB2312" w:hAnsi="仿宋_GB2312" w:eastAsia="仿宋_GB2312" w:cs="仿宋_GB2312"/>
          <w:spacing w:val="-13"/>
          <w:sz w:val="31"/>
          <w:szCs w:val="31"/>
        </w:rPr>
      </w:pPr>
      <w:r>
        <w:rPr>
          <w:rFonts w:hint="eastAsia" w:ascii="仿宋_GB2312" w:hAnsi="仿宋_GB2312" w:eastAsia="仿宋_GB2312" w:cs="仿宋_GB2312"/>
          <w:color w:val="000000"/>
          <w:spacing w:val="-13"/>
          <w:sz w:val="31"/>
          <w:szCs w:val="31"/>
          <w:lang w:val="en-US" w:eastAsia="zh-CN" w:bidi="ar-SA"/>
        </w:rPr>
        <w:t>35、</w:t>
      </w:r>
      <w:r>
        <w:rPr>
          <w:rFonts w:hint="eastAsia" w:ascii="仿宋_GB2312" w:hAnsi="仿宋_GB2312" w:eastAsia="仿宋_GB2312" w:cs="仿宋_GB2312"/>
          <w:spacing w:val="-13"/>
          <w:sz w:val="31"/>
          <w:szCs w:val="31"/>
          <w:lang w:eastAsia="zh-CN"/>
        </w:rPr>
        <w:t>住房保障支出</w:t>
      </w:r>
      <w:r>
        <w:rPr>
          <w:rFonts w:hint="eastAsia" w:ascii="仿宋_GB2312" w:hAnsi="仿宋_GB2312" w:eastAsia="仿宋_GB2312" w:cs="仿宋_GB2312"/>
          <w:spacing w:val="-13"/>
          <w:sz w:val="31"/>
          <w:szCs w:val="31"/>
        </w:rPr>
        <w:t>（类）</w:t>
      </w:r>
      <w:r>
        <w:rPr>
          <w:rFonts w:hint="eastAsia" w:ascii="仿宋_GB2312" w:hAnsi="仿宋_GB2312" w:eastAsia="仿宋_GB2312" w:cs="仿宋_GB2312"/>
          <w:spacing w:val="-13"/>
          <w:sz w:val="31"/>
          <w:szCs w:val="31"/>
          <w:lang w:eastAsia="zh-CN"/>
        </w:rPr>
        <w:t>住房改革支出</w:t>
      </w:r>
      <w:r>
        <w:rPr>
          <w:rFonts w:hint="eastAsia" w:ascii="仿宋_GB2312" w:hAnsi="仿宋_GB2312" w:eastAsia="仿宋_GB2312" w:cs="仿宋_GB2312"/>
          <w:spacing w:val="-13"/>
          <w:sz w:val="31"/>
          <w:szCs w:val="31"/>
        </w:rPr>
        <w:t>（款）</w:t>
      </w:r>
      <w:r>
        <w:rPr>
          <w:rFonts w:hint="eastAsia" w:ascii="仿宋_GB2312" w:hAnsi="仿宋_GB2312" w:eastAsia="仿宋_GB2312" w:cs="仿宋_GB2312"/>
          <w:spacing w:val="-13"/>
          <w:sz w:val="31"/>
          <w:szCs w:val="31"/>
          <w:lang w:eastAsia="zh-CN"/>
        </w:rPr>
        <w:t>购房补贴</w:t>
      </w:r>
      <w:r>
        <w:rPr>
          <w:rFonts w:hint="eastAsia" w:ascii="仿宋_GB2312" w:hAnsi="仿宋_GB2312" w:eastAsia="仿宋_GB2312" w:cs="仿宋_GB2312"/>
          <w:spacing w:val="-13"/>
          <w:sz w:val="31"/>
          <w:szCs w:val="31"/>
        </w:rPr>
        <w:t>（项）。</w:t>
      </w:r>
    </w:p>
    <w:p w14:paraId="570A4439">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725.25</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721.98</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99.55</w:t>
      </w:r>
      <w:r>
        <w:rPr>
          <w:rFonts w:hint="eastAsia" w:ascii="仿宋_GB2312" w:hAnsi="仿宋_GB2312" w:eastAsia="仿宋_GB2312" w:cs="仿宋_GB2312"/>
          <w:sz w:val="32"/>
          <w:szCs w:val="32"/>
        </w:rPr>
        <w:t>%，决算数小于年初预算数的主要原因是：</w:t>
      </w:r>
      <w:r>
        <w:rPr>
          <w:rFonts w:hint="eastAsia" w:ascii="仿宋_GB2312" w:hAnsi="仿宋_GB2312" w:eastAsia="仿宋_GB2312" w:cs="仿宋_GB2312"/>
          <w:spacing w:val="7"/>
          <w:sz w:val="31"/>
          <w:szCs w:val="31"/>
        </w:rPr>
        <w:t>基本按</w:t>
      </w:r>
      <w:r>
        <w:rPr>
          <w:rFonts w:hint="eastAsia" w:ascii="仿宋_GB2312" w:hAnsi="仿宋_GB2312" w:eastAsia="仿宋_GB2312" w:cs="仿宋_GB2312"/>
          <w:spacing w:val="-2"/>
          <w:sz w:val="31"/>
          <w:szCs w:val="31"/>
        </w:rPr>
        <w:t>照预算执行</w:t>
      </w:r>
      <w:r>
        <w:rPr>
          <w:rFonts w:hint="eastAsia" w:ascii="仿宋_GB2312" w:hAnsi="仿宋_GB2312" w:eastAsia="仿宋_GB2312" w:cs="仿宋_GB2312"/>
          <w:spacing w:val="-2"/>
          <w:sz w:val="31"/>
          <w:szCs w:val="31"/>
          <w:lang w:eastAsia="zh-CN"/>
        </w:rPr>
        <w:t>。</w:t>
      </w:r>
    </w:p>
    <w:p w14:paraId="1EF26921">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03C762B5">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34062.31</w:t>
      </w:r>
      <w:r>
        <w:rPr>
          <w:rFonts w:ascii="Times New Roman" w:hAnsi="Times New Roman" w:eastAsia="仿宋_GB2312" w:cs="Times New Roman"/>
          <w:sz w:val="32"/>
          <w:szCs w:val="32"/>
        </w:rPr>
        <w:t>万元，其中：</w:t>
      </w:r>
    </w:p>
    <w:p w14:paraId="0A66CE5A">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ascii="FangSong_GB2312" w:hAnsi="FangSong_GB2312" w:eastAsia="FangSong_GB2312" w:cs="FangSong_GB2312"/>
          <w:spacing w:val="9"/>
          <w:sz w:val="31"/>
          <w:szCs w:val="31"/>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31436.63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92.29</w:t>
      </w:r>
      <w:r>
        <w:rPr>
          <w:rFonts w:ascii="Times New Roman" w:hAnsi="Times New Roman" w:eastAsia="仿宋_GB2312" w:cs="Times New Roman"/>
          <w:sz w:val="32"/>
          <w:szCs w:val="32"/>
        </w:rPr>
        <w:t>%,主要包括</w:t>
      </w:r>
      <w:r>
        <w:rPr>
          <w:rFonts w:ascii="FangSong_GB2312" w:hAnsi="FangSong_GB2312" w:eastAsia="FangSong_GB2312" w:cs="FangSong_GB2312"/>
          <w:spacing w:val="13"/>
          <w:sz w:val="31"/>
          <w:szCs w:val="31"/>
        </w:rPr>
        <w:t>基本工资、津贴补贴、奖金、伙食补助费、绩效工资、机关事业单位基本养老保险缴费、职业年金缴费、职工基本</w:t>
      </w:r>
      <w:r>
        <w:rPr>
          <w:rFonts w:ascii="FangSong_GB2312" w:hAnsi="FangSong_GB2312" w:eastAsia="FangSong_GB2312" w:cs="FangSong_GB2312"/>
          <w:spacing w:val="12"/>
          <w:sz w:val="31"/>
          <w:szCs w:val="31"/>
        </w:rPr>
        <w:t>医疗保险</w:t>
      </w:r>
      <w:r>
        <w:rPr>
          <w:rFonts w:ascii="FangSong_GB2312" w:hAnsi="FangSong_GB2312" w:eastAsia="FangSong_GB2312" w:cs="FangSong_GB2312"/>
          <w:spacing w:val="5"/>
          <w:sz w:val="31"/>
          <w:szCs w:val="31"/>
        </w:rPr>
        <w:t>缴费、公务员医疗补助缴费、其他社会保障缴费、住房公积</w:t>
      </w:r>
      <w:r>
        <w:rPr>
          <w:rFonts w:ascii="FangSong_GB2312" w:hAnsi="FangSong_GB2312" w:eastAsia="FangSong_GB2312" w:cs="FangSong_GB2312"/>
          <w:spacing w:val="4"/>
          <w:sz w:val="31"/>
          <w:szCs w:val="31"/>
        </w:rPr>
        <w:t>金、</w:t>
      </w:r>
      <w:r>
        <w:rPr>
          <w:rFonts w:ascii="FangSong_GB2312" w:hAnsi="FangSong_GB2312" w:eastAsia="FangSong_GB2312" w:cs="FangSong_GB2312"/>
          <w:spacing w:val="13"/>
          <w:sz w:val="31"/>
          <w:szCs w:val="31"/>
        </w:rPr>
        <w:t>医疗费、其他工资福利支出、离休费、退休费、抚恤</w:t>
      </w:r>
      <w:r>
        <w:rPr>
          <w:rFonts w:ascii="FangSong_GB2312" w:hAnsi="FangSong_GB2312" w:eastAsia="FangSong_GB2312" w:cs="FangSong_GB2312"/>
          <w:spacing w:val="12"/>
          <w:sz w:val="31"/>
          <w:szCs w:val="31"/>
        </w:rPr>
        <w:t>金、生活</w:t>
      </w:r>
      <w:r>
        <w:rPr>
          <w:rFonts w:ascii="FangSong_GB2312" w:hAnsi="FangSong_GB2312" w:eastAsia="FangSong_GB2312" w:cs="FangSong_GB2312"/>
          <w:spacing w:val="9"/>
          <w:sz w:val="31"/>
          <w:szCs w:val="31"/>
        </w:rPr>
        <w:t>补助、医疗费补助、奖励金、其他对个人和家庭的补助。</w:t>
      </w:r>
    </w:p>
    <w:p w14:paraId="711DD419">
      <w:pPr>
        <w:keepNext w:val="0"/>
        <w:keepLines w:val="0"/>
        <w:pageBreakBefore w:val="0"/>
        <w:kinsoku/>
        <w:wordWrap/>
        <w:topLinePunct w:val="0"/>
        <w:bidi w:val="0"/>
        <w:snapToGrid/>
        <w:spacing w:line="520" w:lineRule="exact"/>
        <w:ind w:left="0" w:right="0" w:firstLine="643"/>
        <w:jc w:val="both"/>
        <w:textAlignment w:val="auto"/>
        <w:rPr>
          <w:rFonts w:ascii="FangSong_GB2312" w:hAnsi="FangSong_GB2312" w:eastAsia="FangSong_GB2312" w:cs="FangSong_GB2312"/>
          <w:spacing w:val="10"/>
          <w:sz w:val="31"/>
          <w:szCs w:val="31"/>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b/>
          <w:bCs/>
          <w:sz w:val="32"/>
          <w:szCs w:val="32"/>
          <w:lang w:val="en-US" w:eastAsia="zh-CN"/>
        </w:rPr>
        <w:t>2625.68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7.71</w:t>
      </w:r>
      <w:r>
        <w:rPr>
          <w:rFonts w:ascii="Times New Roman" w:hAnsi="Times New Roman" w:eastAsia="仿宋_GB2312" w:cs="Times New Roman"/>
          <w:sz w:val="32"/>
          <w:szCs w:val="32"/>
        </w:rPr>
        <w:t>%，主要包括办</w:t>
      </w:r>
      <w:r>
        <w:rPr>
          <w:rFonts w:ascii="FangSong_GB2312" w:hAnsi="FangSong_GB2312" w:eastAsia="FangSong_GB2312" w:cs="FangSong_GB2312"/>
          <w:spacing w:val="1"/>
          <w:sz w:val="31"/>
          <w:szCs w:val="31"/>
        </w:rPr>
        <w:t>办</w:t>
      </w:r>
      <w:r>
        <w:rPr>
          <w:rFonts w:ascii="FangSong_GB2312" w:hAnsi="FangSong_GB2312" w:eastAsia="FangSong_GB2312" w:cs="FangSong_GB2312"/>
          <w:spacing w:val="12"/>
          <w:sz w:val="31"/>
          <w:szCs w:val="31"/>
        </w:rPr>
        <w:t>公费、印刷费、咨询费、水费、电费、邮电费、取暖费、物业</w:t>
      </w:r>
      <w:r>
        <w:rPr>
          <w:rFonts w:ascii="FangSong_GB2312" w:hAnsi="FangSong_GB2312" w:eastAsia="FangSong_GB2312" w:cs="FangSong_GB2312"/>
          <w:spacing w:val="10"/>
          <w:sz w:val="31"/>
          <w:szCs w:val="31"/>
        </w:rPr>
        <w:t>管理费、差旅费、维修（护）费、租赁费、会议费、培训费、公务接待费、专用材料费、劳务费、委托业务费、工会经费、福利费、公务用车运行维护费、其他交通费用、税金及附加费用、其他商品和服务支出。</w:t>
      </w:r>
    </w:p>
    <w:p w14:paraId="21FBF20C">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7EFB8416">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0CD24159">
      <w:pPr>
        <w:pStyle w:val="2"/>
        <w:rPr>
          <w:rFonts w:hint="eastAsia" w:ascii="Times New Roman" w:hAnsi="Times New Roman" w:eastAsia="仿宋_GB2312" w:cs="Times New Roman"/>
          <w:color w:val="auto"/>
          <w:sz w:val="32"/>
          <w:szCs w:val="32"/>
          <w:highlight w:val="yellow"/>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310.45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281.64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90.72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与上年相比增加132.95万元，增长89.41%。</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我厅严格按照‚“三公”经费管理要求， 厉行节约，“三公”经费较预算有所压减。</w:t>
      </w:r>
      <w:r>
        <w:rPr>
          <w:rFonts w:ascii="Times New Roman" w:hAnsi="Times New Roman" w:eastAsia="仿宋_GB2312" w:cs="Times New Roman"/>
          <w:sz w:val="32"/>
          <w:szCs w:val="32"/>
        </w:rPr>
        <w:t>决算数大于上年数</w:t>
      </w:r>
      <w:r>
        <w:rPr>
          <w:rFonts w:ascii="Times New Roman" w:hAnsi="Times New Roman" w:eastAsia="仿宋_GB2312" w:cs="Times New Roman"/>
          <w:color w:val="auto"/>
          <w:sz w:val="32"/>
          <w:szCs w:val="32"/>
        </w:rPr>
        <w:t>的主要原因是</w:t>
      </w:r>
      <w:r>
        <w:rPr>
          <w:rFonts w:hint="eastAsia" w:ascii="Times New Roman" w:hAnsi="Times New Roman" w:eastAsia="仿宋_GB2312" w:cs="Times New Roman"/>
          <w:color w:val="auto"/>
          <w:sz w:val="32"/>
          <w:szCs w:val="32"/>
          <w:lang w:eastAsia="zh-CN"/>
        </w:rPr>
        <w:t>新增公务用车，</w:t>
      </w:r>
      <w:r>
        <w:rPr>
          <w:rFonts w:hint="eastAsia" w:ascii="Times New Roman" w:hAnsi="Times New Roman" w:eastAsia="仿宋_GB2312" w:cs="Times New Roman"/>
          <w:color w:val="auto"/>
          <w:sz w:val="32"/>
          <w:szCs w:val="32"/>
          <w:lang w:val="en-US" w:eastAsia="zh-CN"/>
        </w:rPr>
        <w:t>2025年出国费和外事接待增加。</w:t>
      </w:r>
    </w:p>
    <w:p w14:paraId="495DD7BC">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6EB533CC">
      <w:pPr>
        <w:keepNext w:val="0"/>
        <w:keepLines w:val="0"/>
        <w:pageBreakBefore w:val="0"/>
        <w:widowControl/>
        <w:suppressLineNumbers w:val="0"/>
        <w:kinsoku/>
        <w:wordWrap/>
        <w:topLinePunct w:val="0"/>
        <w:bidi w:val="0"/>
        <w:snapToGrid/>
        <w:spacing w:line="520" w:lineRule="exact"/>
        <w:ind w:left="0" w:right="0"/>
        <w:jc w:val="left"/>
        <w:textAlignment w:val="auto"/>
        <w:rPr>
          <w:rFonts w:ascii="Times New Roman" w:hAnsi="Times New Roman" w:eastAsia="仿宋_GB2312" w:cs="Times New Roman"/>
          <w:sz w:val="32"/>
          <w:szCs w:val="32"/>
          <w:highlight w:val="yellow"/>
        </w:rPr>
      </w:pP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163.39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160.2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98.05%，与上年相比增加103.31万元，增长181.60%。</w:t>
      </w:r>
      <w:r>
        <w:rPr>
          <w:rFonts w:ascii="Times New Roman" w:hAnsi="Times New Roman" w:eastAsia="仿宋_GB2312" w:cs="Times New Roman"/>
          <w:sz w:val="32"/>
          <w:szCs w:val="32"/>
        </w:rPr>
        <w:t>决算数小于预算数的主要原因是我厅严格按照</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经费管理要求，厉行节约，对外交流活动严格按相关要求执行，三公经费较预算有所压减 。决算</w:t>
      </w:r>
      <w:r>
        <w:rPr>
          <w:rFonts w:ascii="Times New Roman" w:hAnsi="Times New Roman" w:eastAsia="仿宋_GB2312" w:cs="Times New Roman"/>
          <w:color w:val="auto"/>
          <w:sz w:val="32"/>
          <w:szCs w:val="32"/>
        </w:rPr>
        <w:t>数大于上年数主要原因是</w:t>
      </w:r>
      <w:r>
        <w:rPr>
          <w:rFonts w:ascii="仿宋_GB2312" w:hAnsi="宋体" w:eastAsia="仿宋_GB2312" w:cs="仿宋_GB2312"/>
          <w:color w:val="000000"/>
          <w:kern w:val="0"/>
          <w:sz w:val="32"/>
          <w:szCs w:val="32"/>
          <w:lang w:val="en-US" w:eastAsia="zh-CN" w:bidi="ar"/>
        </w:rPr>
        <w:t>根据年度</w:t>
      </w:r>
      <w:r>
        <w:rPr>
          <w:rFonts w:hint="eastAsia" w:ascii="仿宋_GB2312" w:eastAsia="仿宋_GB2312" w:cs="仿宋_GB2312"/>
          <w:color w:val="000000"/>
          <w:sz w:val="32"/>
          <w:szCs w:val="32"/>
        </w:rPr>
        <w:t>工作计划安排，</w:t>
      </w:r>
      <w:r>
        <w:rPr>
          <w:rFonts w:hint="default" w:ascii="Times New Roman" w:hAnsi="Times New Roman" w:cs="Times New Roman"/>
          <w:color w:val="000000"/>
          <w:sz w:val="32"/>
          <w:szCs w:val="32"/>
        </w:rPr>
        <w:t>2025</w:t>
      </w:r>
      <w:r>
        <w:rPr>
          <w:rFonts w:hint="eastAsia" w:ascii="仿宋_GB2312" w:eastAsia="仿宋_GB2312" w:cs="仿宋_GB2312"/>
          <w:color w:val="000000"/>
          <w:sz w:val="32"/>
          <w:szCs w:val="32"/>
        </w:rPr>
        <w:t>年度我厅对外交流活动较上年有所增加</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2025年</w:t>
      </w:r>
      <w:r>
        <w:rPr>
          <w:rFonts w:ascii="Times New Roman" w:hAnsi="Times New Roman" w:eastAsia="仿宋_GB2312" w:cs="Times New Roman"/>
          <w:color w:val="auto"/>
          <w:sz w:val="32"/>
          <w:szCs w:val="32"/>
        </w:rPr>
        <w:t>度安排因公出国（境）团</w:t>
      </w:r>
      <w:r>
        <w:rPr>
          <w:rFonts w:ascii="Times New Roman" w:hAnsi="Times New Roman" w:eastAsia="仿宋_GB2312" w:cs="Times New Roman"/>
          <w:sz w:val="32"/>
          <w:szCs w:val="32"/>
        </w:rPr>
        <w:t>组</w:t>
      </w:r>
      <w:r>
        <w:rPr>
          <w:rFonts w:hint="eastAsia" w:ascii="Times New Roman" w:hAnsi="Times New Roman" w:eastAsia="仿宋_GB2312" w:cs="Times New Roman"/>
          <w:sz w:val="32"/>
          <w:szCs w:val="32"/>
          <w:lang w:val="en-US" w:eastAsia="zh-CN"/>
        </w:rPr>
        <w:t>23</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58</w:t>
      </w:r>
      <w:r>
        <w:rPr>
          <w:rFonts w:ascii="Times New Roman" w:hAnsi="Times New Roman" w:eastAsia="仿宋_GB2312" w:cs="Times New Roman"/>
          <w:sz w:val="32"/>
          <w:szCs w:val="32"/>
        </w:rPr>
        <w:t>人次</w:t>
      </w:r>
      <w:r>
        <w:rPr>
          <w:rFonts w:ascii="Times New Roman" w:hAnsi="Times New Roman" w:eastAsia="楷体" w:cs="Times New Roman"/>
          <w:b/>
          <w:bCs/>
          <w:i/>
          <w:color w:val="auto"/>
          <w:sz w:val="32"/>
          <w:szCs w:val="32"/>
        </w:rPr>
        <w:t>,</w:t>
      </w:r>
      <w:r>
        <w:rPr>
          <w:rFonts w:ascii="Times New Roman" w:hAnsi="Times New Roman" w:eastAsia="仿宋_GB2312" w:cs="Times New Roman"/>
          <w:sz w:val="32"/>
          <w:szCs w:val="32"/>
        </w:rPr>
        <w:t>主要包括：</w:t>
      </w:r>
    </w:p>
    <w:p w14:paraId="1BE0922B">
      <w:pPr>
        <w:pStyle w:val="19"/>
        <w:keepNext w:val="0"/>
        <w:keepLines w:val="0"/>
        <w:pageBreakBefore w:val="0"/>
        <w:kinsoku/>
        <w:wordWrap/>
        <w:overflowPunct w:val="0"/>
        <w:topLinePunct w:val="0"/>
        <w:autoSpaceDE/>
        <w:autoSpaceDN/>
        <w:bidi w:val="0"/>
        <w:snapToGrid/>
        <w:spacing w:line="520" w:lineRule="exact"/>
        <w:ind w:left="0" w:right="0"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eastAsia="zh-CN"/>
        </w:rPr>
        <w:t>）参加多米尼加推介活动支出</w:t>
      </w:r>
      <w:r>
        <w:rPr>
          <w:rFonts w:hint="eastAsia" w:ascii="Times New Roman" w:hAnsi="Times New Roman" w:eastAsia="仿宋_GB2312" w:cs="Times New Roman"/>
          <w:sz w:val="32"/>
          <w:szCs w:val="32"/>
          <w:lang w:val="en-US" w:eastAsia="zh-CN"/>
        </w:rPr>
        <w:t>28.93万元，主要用于参加</w:t>
      </w:r>
      <w:r>
        <w:rPr>
          <w:rFonts w:hint="eastAsia" w:ascii="Times New Roman" w:hAnsi="Times New Roman" w:eastAsia="仿宋_GB2312" w:cs="Times New Roman"/>
          <w:sz w:val="32"/>
          <w:szCs w:val="32"/>
          <w:lang w:eastAsia="zh-CN"/>
        </w:rPr>
        <w:t>多米尼加推介活动相关人员费用；</w:t>
      </w:r>
    </w:p>
    <w:p w14:paraId="04B8A5F1">
      <w:pPr>
        <w:pStyle w:val="19"/>
        <w:keepNext w:val="0"/>
        <w:keepLines w:val="0"/>
        <w:pageBreakBefore w:val="0"/>
        <w:kinsoku/>
        <w:wordWrap/>
        <w:overflowPunct w:val="0"/>
        <w:topLinePunct w:val="0"/>
        <w:autoSpaceDE/>
        <w:autoSpaceDN/>
        <w:bidi w:val="0"/>
        <w:snapToGrid/>
        <w:spacing w:line="520" w:lineRule="exact"/>
        <w:ind w:left="0" w:right="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eastAsia="zh-CN"/>
        </w:rPr>
        <w:t>）参加粤港澳经贸会——文旅产业推进会人员经费支出</w:t>
      </w:r>
      <w:r>
        <w:rPr>
          <w:rFonts w:hint="eastAsia" w:ascii="Times New Roman" w:hAnsi="Times New Roman" w:eastAsia="仿宋_GB2312" w:cs="Times New Roman"/>
          <w:sz w:val="32"/>
          <w:szCs w:val="32"/>
          <w:lang w:val="en-US" w:eastAsia="zh-CN"/>
        </w:rPr>
        <w:t>1.05万元，主要用于参加粤港澳经贸会——文旅产业推进会相关人员费用；</w:t>
      </w:r>
    </w:p>
    <w:p w14:paraId="48B607F4">
      <w:pPr>
        <w:pStyle w:val="19"/>
        <w:keepNext w:val="0"/>
        <w:keepLines w:val="0"/>
        <w:pageBreakBefore w:val="0"/>
        <w:kinsoku/>
        <w:wordWrap/>
        <w:overflowPunct w:val="0"/>
        <w:topLinePunct w:val="0"/>
        <w:autoSpaceDE/>
        <w:autoSpaceDN/>
        <w:bidi w:val="0"/>
        <w:snapToGrid/>
        <w:spacing w:line="520" w:lineRule="exact"/>
        <w:ind w:left="0" w:right="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（3）“三湘四水 相约湖南”走进英国文旅推介会支出12.95万元，“三湘四水 相约湖南”2025湖南文旅走进俄罗斯、哈萨克斯坦推广活动费用支出6.1万元，主要用于“三湘四水 相约湖南”走进英国文旅推介会相关人员经费；</w:t>
      </w:r>
    </w:p>
    <w:p w14:paraId="07AA6847">
      <w:pPr>
        <w:pStyle w:val="19"/>
        <w:keepNext w:val="0"/>
        <w:keepLines w:val="0"/>
        <w:pageBreakBefore w:val="0"/>
        <w:kinsoku/>
        <w:wordWrap/>
        <w:overflowPunct w:val="0"/>
        <w:topLinePunct w:val="0"/>
        <w:autoSpaceDE/>
        <w:autoSpaceDN/>
        <w:bidi w:val="0"/>
        <w:snapToGrid/>
        <w:spacing w:line="520" w:lineRule="exact"/>
        <w:ind w:left="0" w:right="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（4）2025年省文旅厅组团赴泰国、越南两国出访人员费用支出7.5万元，主要用于省文旅厅组团赴泰国、越南两国出访相关人员费用；</w:t>
      </w:r>
    </w:p>
    <w:p w14:paraId="385F78D3">
      <w:pPr>
        <w:pStyle w:val="19"/>
        <w:keepNext w:val="0"/>
        <w:keepLines w:val="0"/>
        <w:pageBreakBefore w:val="0"/>
        <w:numPr>
          <w:ilvl w:val="0"/>
          <w:numId w:val="0"/>
        </w:numPr>
        <w:kinsoku/>
        <w:wordWrap/>
        <w:overflowPunct w:val="0"/>
        <w:topLinePunct w:val="0"/>
        <w:autoSpaceDE/>
        <w:autoSpaceDN/>
        <w:bidi w:val="0"/>
        <w:snapToGrid/>
        <w:spacing w:line="520" w:lineRule="exact"/>
        <w:ind w:left="0" w:right="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color w:val="000000"/>
          <w:sz w:val="32"/>
          <w:szCs w:val="32"/>
          <w:lang w:val="en-US" w:eastAsia="zh-CN" w:bidi="ar-SA"/>
        </w:rPr>
        <w:t>（5）</w:t>
      </w:r>
      <w:r>
        <w:rPr>
          <w:rFonts w:hint="eastAsia" w:ascii="Times New Roman" w:hAnsi="Times New Roman" w:eastAsia="仿宋_GB2312" w:cs="Times New Roman"/>
          <w:sz w:val="32"/>
          <w:szCs w:val="32"/>
          <w:lang w:val="en-US" w:eastAsia="zh-CN"/>
        </w:rPr>
        <w:t>参加澳门第十三届澳门旅游展费用支出1.54万元，主要用于第十三届澳门旅游展相关人员费用；</w:t>
      </w:r>
    </w:p>
    <w:p w14:paraId="18872C1A">
      <w:pPr>
        <w:pStyle w:val="19"/>
        <w:keepNext w:val="0"/>
        <w:keepLines w:val="0"/>
        <w:pageBreakBefore w:val="0"/>
        <w:numPr>
          <w:ilvl w:val="0"/>
          <w:numId w:val="0"/>
        </w:numPr>
        <w:kinsoku/>
        <w:wordWrap/>
        <w:overflowPunct w:val="0"/>
        <w:topLinePunct w:val="0"/>
        <w:autoSpaceDE/>
        <w:autoSpaceDN/>
        <w:bidi w:val="0"/>
        <w:snapToGrid/>
        <w:spacing w:line="520" w:lineRule="exact"/>
        <w:ind w:left="0" w:righ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000000"/>
          <w:sz w:val="32"/>
          <w:szCs w:val="32"/>
          <w:lang w:val="en-US" w:eastAsia="zh-CN" w:bidi="ar-SA"/>
        </w:rPr>
        <w:t>（</w:t>
      </w:r>
      <w:r>
        <w:rPr>
          <w:rFonts w:hint="eastAsia" w:ascii="Times New Roman" w:hAnsi="Times New Roman" w:eastAsia="仿宋_GB2312" w:cs="Times New Roman"/>
          <w:color w:val="000000"/>
          <w:sz w:val="32"/>
          <w:szCs w:val="32"/>
          <w:lang w:val="en-US" w:eastAsia="zh-CN" w:bidi="ar-SA"/>
        </w:rPr>
        <w:t>6</w:t>
      </w:r>
      <w:r>
        <w:rPr>
          <w:rFonts w:hint="default" w:ascii="Times New Roman" w:hAnsi="Times New Roman" w:eastAsia="仿宋_GB2312" w:cs="Times New Roman"/>
          <w:color w:val="000000"/>
          <w:sz w:val="32"/>
          <w:szCs w:val="32"/>
          <w:lang w:val="en-US" w:eastAsia="zh-CN" w:bidi="ar-SA"/>
        </w:rPr>
        <w:t>）</w:t>
      </w:r>
      <w:r>
        <w:rPr>
          <w:rFonts w:hint="default" w:ascii="Times New Roman" w:hAnsi="Times New Roman" w:eastAsia="仿宋_GB2312" w:cs="Times New Roman"/>
          <w:sz w:val="32"/>
          <w:szCs w:val="32"/>
          <w:lang w:val="en-US" w:eastAsia="zh-CN"/>
        </w:rPr>
        <w:t>参加省委宣传部组团赴中东调研</w:t>
      </w:r>
      <w:r>
        <w:rPr>
          <w:rFonts w:hint="eastAsia" w:ascii="Times New Roman" w:hAnsi="Times New Roman" w:eastAsia="仿宋_GB2312" w:cs="Times New Roman"/>
          <w:sz w:val="32"/>
          <w:szCs w:val="32"/>
          <w:lang w:val="en-US" w:eastAsia="zh-CN"/>
        </w:rPr>
        <w:t>支出10.74万元，主要用参加省委宣传部组团赴中东调研相关人员费用；</w:t>
      </w:r>
    </w:p>
    <w:p w14:paraId="3F57343E">
      <w:pPr>
        <w:pStyle w:val="19"/>
        <w:keepNext w:val="0"/>
        <w:keepLines w:val="0"/>
        <w:pageBreakBefore w:val="0"/>
        <w:numPr>
          <w:ilvl w:val="0"/>
          <w:numId w:val="0"/>
        </w:numPr>
        <w:kinsoku/>
        <w:wordWrap/>
        <w:overflowPunct w:val="0"/>
        <w:topLinePunct w:val="0"/>
        <w:autoSpaceDE/>
        <w:autoSpaceDN/>
        <w:bidi w:val="0"/>
        <w:snapToGrid/>
        <w:spacing w:line="520" w:lineRule="exact"/>
        <w:ind w:left="0" w:righ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000000"/>
          <w:sz w:val="32"/>
          <w:szCs w:val="32"/>
          <w:lang w:val="en-US" w:eastAsia="zh-CN" w:bidi="ar-SA"/>
        </w:rPr>
        <w:t>（</w:t>
      </w:r>
      <w:r>
        <w:rPr>
          <w:rFonts w:hint="eastAsia" w:ascii="Times New Roman" w:hAnsi="Times New Roman" w:eastAsia="仿宋_GB2312" w:cs="Times New Roman"/>
          <w:color w:val="000000"/>
          <w:sz w:val="32"/>
          <w:szCs w:val="32"/>
          <w:lang w:val="en-US" w:eastAsia="zh-CN" w:bidi="ar-SA"/>
        </w:rPr>
        <w:t>7</w:t>
      </w:r>
      <w:r>
        <w:rPr>
          <w:rFonts w:hint="default" w:ascii="Times New Roman" w:hAnsi="Times New Roman" w:eastAsia="仿宋_GB2312" w:cs="Times New Roman"/>
          <w:color w:val="000000"/>
          <w:sz w:val="32"/>
          <w:szCs w:val="32"/>
          <w:lang w:val="en-US" w:eastAsia="zh-CN" w:bidi="ar-SA"/>
        </w:rPr>
        <w:t>）</w:t>
      </w:r>
      <w:r>
        <w:rPr>
          <w:rFonts w:hint="default" w:ascii="Times New Roman" w:hAnsi="Times New Roman" w:eastAsia="仿宋_GB2312" w:cs="Times New Roman"/>
          <w:sz w:val="32"/>
          <w:szCs w:val="32"/>
          <w:lang w:val="en-US" w:eastAsia="zh-CN"/>
        </w:rPr>
        <w:t>赴巴黎举办“茶和天下 湘约巴黎”活动</w:t>
      </w:r>
      <w:r>
        <w:rPr>
          <w:rFonts w:hint="eastAsia" w:ascii="Times New Roman" w:hAnsi="Times New Roman" w:eastAsia="仿宋_GB2312" w:cs="Times New Roman"/>
          <w:sz w:val="32"/>
          <w:szCs w:val="32"/>
          <w:lang w:val="en-US" w:eastAsia="zh-CN"/>
        </w:rPr>
        <w:t>支出1.15万元，主要用参加巴黎举办“茶和天下 湘约巴黎”活动相关人员费用；</w:t>
      </w:r>
    </w:p>
    <w:p w14:paraId="683CFD15">
      <w:pPr>
        <w:pStyle w:val="19"/>
        <w:keepNext w:val="0"/>
        <w:keepLines w:val="0"/>
        <w:pageBreakBefore w:val="0"/>
        <w:numPr>
          <w:ilvl w:val="0"/>
          <w:numId w:val="0"/>
        </w:numPr>
        <w:kinsoku/>
        <w:wordWrap/>
        <w:overflowPunct w:val="0"/>
        <w:topLinePunct w:val="0"/>
        <w:autoSpaceDE/>
        <w:autoSpaceDN/>
        <w:bidi w:val="0"/>
        <w:snapToGrid/>
        <w:spacing w:line="520" w:lineRule="exact"/>
        <w:ind w:left="0" w:righ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000000"/>
          <w:sz w:val="32"/>
          <w:szCs w:val="32"/>
          <w:lang w:val="en-US" w:eastAsia="zh-CN" w:bidi="ar-SA"/>
        </w:rPr>
        <w:t>（</w:t>
      </w:r>
      <w:r>
        <w:rPr>
          <w:rFonts w:hint="eastAsia" w:ascii="Times New Roman" w:hAnsi="Times New Roman" w:eastAsia="仿宋_GB2312" w:cs="Times New Roman"/>
          <w:color w:val="000000"/>
          <w:sz w:val="32"/>
          <w:szCs w:val="32"/>
          <w:lang w:val="en-US" w:eastAsia="zh-CN" w:bidi="ar-SA"/>
        </w:rPr>
        <w:t>8</w:t>
      </w:r>
      <w:r>
        <w:rPr>
          <w:rFonts w:hint="default" w:ascii="Times New Roman" w:hAnsi="Times New Roman" w:eastAsia="仿宋_GB2312" w:cs="Times New Roman"/>
          <w:color w:val="000000"/>
          <w:sz w:val="32"/>
          <w:szCs w:val="32"/>
          <w:lang w:val="en-US" w:eastAsia="zh-CN" w:bidi="ar-SA"/>
        </w:rPr>
        <w:t>）</w:t>
      </w:r>
      <w:r>
        <w:rPr>
          <w:rFonts w:hint="default" w:ascii="Times New Roman" w:hAnsi="Times New Roman" w:eastAsia="仿宋_GB2312" w:cs="Times New Roman"/>
          <w:sz w:val="32"/>
          <w:szCs w:val="32"/>
          <w:lang w:val="en-US" w:eastAsia="zh-CN"/>
        </w:rPr>
        <w:t>参加2025年第39届香港国际旅游展活动</w:t>
      </w:r>
      <w:r>
        <w:rPr>
          <w:rFonts w:hint="eastAsia" w:ascii="Times New Roman" w:hAnsi="Times New Roman" w:eastAsia="仿宋_GB2312" w:cs="Times New Roman"/>
          <w:sz w:val="32"/>
          <w:szCs w:val="32"/>
          <w:lang w:val="en-US" w:eastAsia="zh-CN"/>
        </w:rPr>
        <w:t>支出1.63万元，主要用于参加</w:t>
      </w:r>
      <w:r>
        <w:rPr>
          <w:rFonts w:hint="default" w:ascii="Times New Roman" w:hAnsi="Times New Roman" w:eastAsia="仿宋_GB2312" w:cs="Times New Roman"/>
          <w:sz w:val="32"/>
          <w:szCs w:val="32"/>
          <w:lang w:val="en-US" w:eastAsia="zh-CN"/>
        </w:rPr>
        <w:t>2025年第39届香港国际旅游展活动</w:t>
      </w:r>
      <w:r>
        <w:rPr>
          <w:rFonts w:hint="eastAsia" w:ascii="Times New Roman" w:hAnsi="Times New Roman" w:eastAsia="仿宋_GB2312" w:cs="Times New Roman"/>
          <w:sz w:val="32"/>
          <w:szCs w:val="32"/>
          <w:lang w:val="en-US" w:eastAsia="zh-CN"/>
        </w:rPr>
        <w:t>相关人员费用；</w:t>
      </w:r>
    </w:p>
    <w:p w14:paraId="203B6107">
      <w:pPr>
        <w:pStyle w:val="19"/>
        <w:keepNext w:val="0"/>
        <w:keepLines w:val="0"/>
        <w:pageBreakBefore w:val="0"/>
        <w:numPr>
          <w:ilvl w:val="0"/>
          <w:numId w:val="0"/>
        </w:numPr>
        <w:kinsoku/>
        <w:wordWrap/>
        <w:overflowPunct w:val="0"/>
        <w:topLinePunct w:val="0"/>
        <w:autoSpaceDE/>
        <w:autoSpaceDN/>
        <w:bidi w:val="0"/>
        <w:snapToGrid/>
        <w:spacing w:line="520" w:lineRule="exact"/>
        <w:ind w:left="0" w:right="0" w:firstLine="640" w:firstLineChars="200"/>
        <w:jc w:val="both"/>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color w:val="000000"/>
          <w:sz w:val="32"/>
          <w:szCs w:val="32"/>
          <w:lang w:val="en-US" w:eastAsia="zh-CN" w:bidi="ar-SA"/>
        </w:rPr>
        <w:t>（</w:t>
      </w:r>
      <w:r>
        <w:rPr>
          <w:rFonts w:hint="eastAsia" w:ascii="Times New Roman" w:hAnsi="Times New Roman" w:eastAsia="仿宋_GB2312" w:cs="Times New Roman"/>
          <w:color w:val="000000"/>
          <w:sz w:val="32"/>
          <w:szCs w:val="32"/>
          <w:lang w:val="en-US" w:eastAsia="zh-CN" w:bidi="ar-SA"/>
        </w:rPr>
        <w:t>9</w:t>
      </w:r>
      <w:r>
        <w:rPr>
          <w:rFonts w:hint="default" w:ascii="Times New Roman" w:hAnsi="Times New Roman" w:eastAsia="仿宋_GB2312" w:cs="Times New Roman"/>
          <w:color w:val="000000"/>
          <w:sz w:val="32"/>
          <w:szCs w:val="32"/>
          <w:lang w:val="en-US" w:eastAsia="zh-CN" w:bidi="ar-SA"/>
        </w:rPr>
        <w:t>）</w:t>
      </w:r>
      <w:r>
        <w:rPr>
          <w:rFonts w:hint="default" w:ascii="Times New Roman" w:hAnsi="Times New Roman" w:eastAsia="仿宋_GB2312" w:cs="Times New Roman"/>
          <w:sz w:val="32"/>
          <w:szCs w:val="32"/>
          <w:lang w:val="en-US" w:eastAsia="zh-CN"/>
        </w:rPr>
        <w:t>“你好中国—相约湖南”走进阿联酋文旅推广活动</w:t>
      </w:r>
      <w:r>
        <w:rPr>
          <w:rFonts w:hint="eastAsia" w:ascii="Times New Roman" w:hAnsi="Times New Roman" w:eastAsia="仿宋_GB2312" w:cs="Times New Roman"/>
          <w:sz w:val="32"/>
          <w:szCs w:val="32"/>
          <w:lang w:val="en-US" w:eastAsia="zh-CN"/>
        </w:rPr>
        <w:t>支出10.58万元，主要用于</w:t>
      </w:r>
      <w:r>
        <w:rPr>
          <w:rFonts w:hint="default" w:ascii="Times New Roman" w:hAnsi="Times New Roman" w:eastAsia="仿宋_GB2312" w:cs="Times New Roman"/>
          <w:sz w:val="32"/>
          <w:szCs w:val="32"/>
          <w:lang w:val="en-US" w:eastAsia="zh-CN"/>
        </w:rPr>
        <w:t>“你好中国—相约湖南”走进阿联酋文旅推广活动</w:t>
      </w:r>
      <w:r>
        <w:rPr>
          <w:rFonts w:hint="eastAsia" w:ascii="Times New Roman" w:hAnsi="Times New Roman" w:eastAsia="仿宋_GB2312" w:cs="Times New Roman"/>
          <w:sz w:val="32"/>
          <w:szCs w:val="32"/>
          <w:lang w:val="en-US" w:eastAsia="zh-CN"/>
        </w:rPr>
        <w:t>相关人员费用。</w:t>
      </w:r>
    </w:p>
    <w:p w14:paraId="3AA15885">
      <w:pPr>
        <w:pStyle w:val="19"/>
        <w:keepNext w:val="0"/>
        <w:keepLines w:val="0"/>
        <w:pageBreakBefore w:val="0"/>
        <w:kinsoku/>
        <w:wordWrap/>
        <w:overflowPunct w:val="0"/>
        <w:topLinePunct w:val="0"/>
        <w:autoSpaceDE/>
        <w:autoSpaceDN/>
        <w:bidi w:val="0"/>
        <w:snapToGrid/>
        <w:spacing w:line="520" w:lineRule="exact"/>
        <w:ind w:left="0" w:right="0"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（10）赴澳门参加</w:t>
      </w:r>
      <w:r>
        <w:rPr>
          <w:rFonts w:hint="eastAsia" w:ascii="Times New Roman" w:hAnsi="Times New Roman" w:eastAsia="仿宋_GB2312" w:cs="Times New Roman"/>
          <w:color w:val="auto"/>
          <w:sz w:val="32"/>
          <w:szCs w:val="32"/>
        </w:rPr>
        <w:t>“天下乘风—周秦汉唐文物精华展”开幕式</w:t>
      </w:r>
      <w:r>
        <w:rPr>
          <w:rFonts w:hint="eastAsia" w:ascii="Times New Roman" w:hAnsi="Times New Roman" w:eastAsia="仿宋_GB2312" w:cs="Times New Roman"/>
          <w:color w:val="auto"/>
          <w:sz w:val="32"/>
          <w:szCs w:val="32"/>
          <w:lang w:val="en-US" w:eastAsia="zh-CN"/>
        </w:rPr>
        <w:t>支出0.54万元，主要用于住宿；</w:t>
      </w:r>
    </w:p>
    <w:p w14:paraId="09C6DBBB">
      <w:pPr>
        <w:pStyle w:val="19"/>
        <w:keepNext w:val="0"/>
        <w:keepLines w:val="0"/>
        <w:pageBreakBefore w:val="0"/>
        <w:kinsoku/>
        <w:wordWrap/>
        <w:overflowPunct w:val="0"/>
        <w:topLinePunct w:val="0"/>
        <w:autoSpaceDE/>
        <w:autoSpaceDN/>
        <w:bidi w:val="0"/>
        <w:snapToGrid/>
        <w:spacing w:line="520" w:lineRule="exact"/>
        <w:ind w:left="0" w:right="0"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（11）赴法国参加法国博物馆博览会支出8.71万元，主要用于机票、签证、保险、组团团费；</w:t>
      </w:r>
    </w:p>
    <w:p w14:paraId="2A9D9334">
      <w:pPr>
        <w:pStyle w:val="19"/>
        <w:keepNext w:val="0"/>
        <w:keepLines w:val="0"/>
        <w:pageBreakBefore w:val="0"/>
        <w:kinsoku/>
        <w:wordWrap/>
        <w:overflowPunct w:val="0"/>
        <w:topLinePunct w:val="0"/>
        <w:autoSpaceDE/>
        <w:autoSpaceDN/>
        <w:bidi w:val="0"/>
        <w:snapToGrid/>
        <w:spacing w:line="520" w:lineRule="exact"/>
        <w:ind w:left="0" w:right="0"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（12）赴美国参加2025年纽约亚洲艺术周活动支出8.28万元，主要用于签证、组团费用；</w:t>
      </w:r>
    </w:p>
    <w:p w14:paraId="5BCFF741">
      <w:pPr>
        <w:pStyle w:val="19"/>
        <w:keepNext w:val="0"/>
        <w:keepLines w:val="0"/>
        <w:pageBreakBefore w:val="0"/>
        <w:kinsoku/>
        <w:wordWrap/>
        <w:overflowPunct w:val="0"/>
        <w:topLinePunct w:val="0"/>
        <w:autoSpaceDE/>
        <w:autoSpaceDN/>
        <w:bidi w:val="0"/>
        <w:snapToGrid/>
        <w:spacing w:line="520" w:lineRule="exact"/>
        <w:ind w:left="0" w:right="0"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（13）赴德国参加国家文物局“人工智能与文物保护”培训项目支出1.19万元，主要用于国际机票；</w:t>
      </w:r>
    </w:p>
    <w:p w14:paraId="245CB3F7">
      <w:pPr>
        <w:pStyle w:val="19"/>
        <w:keepNext w:val="0"/>
        <w:keepLines w:val="0"/>
        <w:pageBreakBefore w:val="0"/>
        <w:kinsoku/>
        <w:wordWrap/>
        <w:overflowPunct w:val="0"/>
        <w:topLinePunct w:val="0"/>
        <w:autoSpaceDE/>
        <w:autoSpaceDN/>
        <w:bidi w:val="0"/>
        <w:snapToGrid/>
        <w:spacing w:line="520" w:lineRule="exact"/>
        <w:ind w:left="0" w:right="0"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(14)赴香港故宫文化博物馆参加文物修复等学术交流活动支出3.57万元，主要用于组团费用；</w:t>
      </w:r>
    </w:p>
    <w:p w14:paraId="659628F1">
      <w:pPr>
        <w:pStyle w:val="19"/>
        <w:keepNext w:val="0"/>
        <w:keepLines w:val="0"/>
        <w:pageBreakBefore w:val="0"/>
        <w:kinsoku/>
        <w:wordWrap/>
        <w:overflowPunct w:val="0"/>
        <w:topLinePunct w:val="0"/>
        <w:autoSpaceDE/>
        <w:autoSpaceDN/>
        <w:bidi w:val="0"/>
        <w:snapToGrid/>
        <w:spacing w:line="520" w:lineRule="exact"/>
        <w:ind w:left="0" w:right="0"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(15)赴亚美尼亚参加一带一路国际博物馆会议支出8.30万元，主要用于组团费用；</w:t>
      </w:r>
    </w:p>
    <w:p w14:paraId="0B4BBA8C">
      <w:pPr>
        <w:pStyle w:val="19"/>
        <w:keepNext w:val="0"/>
        <w:keepLines w:val="0"/>
        <w:pageBreakBefore w:val="0"/>
        <w:kinsoku/>
        <w:wordWrap/>
        <w:overflowPunct w:val="0"/>
        <w:topLinePunct w:val="0"/>
        <w:autoSpaceDE/>
        <w:autoSpaceDN/>
        <w:bidi w:val="0"/>
        <w:snapToGrid/>
        <w:spacing w:line="520" w:lineRule="exact"/>
        <w:ind w:left="0" w:right="0" w:firstLine="640" w:firstLineChars="200"/>
        <w:jc w:val="both"/>
        <w:textAlignment w:val="auto"/>
        <w:rPr>
          <w:rFonts w:hint="eastAsia" w:ascii="Times New Roman" w:hAnsi="Times New Roman" w:eastAsia="仿宋_GB2312" w:cs="Times New Roman"/>
          <w:color w:val="FF0000"/>
          <w:sz w:val="32"/>
          <w:szCs w:val="32"/>
          <w:lang w:val="en-US" w:eastAsia="zh-CN"/>
        </w:rPr>
      </w:pPr>
      <w:r>
        <w:rPr>
          <w:rFonts w:hint="eastAsia" w:ascii="Times New Roman" w:hAnsi="Times New Roman" w:eastAsia="仿宋_GB2312" w:cs="Times New Roman"/>
          <w:color w:val="auto"/>
          <w:sz w:val="32"/>
          <w:szCs w:val="32"/>
          <w:lang w:val="en-US" w:eastAsia="zh-CN"/>
        </w:rPr>
        <w:t>(16)赴法国参加第九届中国艺术博物馆论坛支出2.43万元，主要用于组团费用；</w:t>
      </w:r>
    </w:p>
    <w:p w14:paraId="2E48E9EA">
      <w:pPr>
        <w:pStyle w:val="19"/>
        <w:keepNext w:val="0"/>
        <w:keepLines w:val="0"/>
        <w:pageBreakBefore w:val="0"/>
        <w:kinsoku/>
        <w:wordWrap/>
        <w:overflowPunct w:val="0"/>
        <w:topLinePunct w:val="0"/>
        <w:autoSpaceDE/>
        <w:autoSpaceDN/>
        <w:bidi w:val="0"/>
        <w:snapToGrid/>
        <w:spacing w:line="520" w:lineRule="exact"/>
        <w:ind w:left="0" w:right="0"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(17)赴阿联酋参加国际博协第27次大会支出5.10万元，主要用于组团费用；</w:t>
      </w:r>
    </w:p>
    <w:p w14:paraId="7B68B992">
      <w:pPr>
        <w:pStyle w:val="19"/>
        <w:keepNext w:val="0"/>
        <w:keepLines w:val="0"/>
        <w:pageBreakBefore w:val="0"/>
        <w:kinsoku/>
        <w:wordWrap/>
        <w:overflowPunct w:val="0"/>
        <w:topLinePunct w:val="0"/>
        <w:autoSpaceDE/>
        <w:autoSpaceDN/>
        <w:bidi w:val="0"/>
        <w:snapToGrid/>
        <w:spacing w:line="520" w:lineRule="exact"/>
        <w:ind w:left="0" w:right="0"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(18)赴香港进行藏品鉴定与学术交流支出3.36万元，主要用于组团团费；</w:t>
      </w:r>
    </w:p>
    <w:p w14:paraId="1DF1C213">
      <w:pPr>
        <w:pStyle w:val="19"/>
        <w:keepNext w:val="0"/>
        <w:keepLines w:val="0"/>
        <w:pageBreakBefore w:val="0"/>
        <w:kinsoku/>
        <w:wordWrap/>
        <w:overflowPunct w:val="0"/>
        <w:topLinePunct w:val="0"/>
        <w:autoSpaceDE/>
        <w:autoSpaceDN/>
        <w:bidi w:val="0"/>
        <w:snapToGrid/>
        <w:spacing w:line="520" w:lineRule="exact"/>
        <w:ind w:left="0" w:right="0"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(19)赴美国参加“升华--马王堆艺术季”展览开模式支出2.91万元，主要用于签证、组团费用；</w:t>
      </w:r>
    </w:p>
    <w:p w14:paraId="7002888F">
      <w:pPr>
        <w:pStyle w:val="19"/>
        <w:keepNext w:val="0"/>
        <w:keepLines w:val="0"/>
        <w:pageBreakBefore w:val="0"/>
        <w:kinsoku/>
        <w:wordWrap/>
        <w:overflowPunct w:val="0"/>
        <w:topLinePunct w:val="0"/>
        <w:autoSpaceDE/>
        <w:autoSpaceDN/>
        <w:bidi w:val="0"/>
        <w:snapToGrid/>
        <w:spacing w:line="520" w:lineRule="exact"/>
        <w:ind w:left="0" w:right="0"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20</w:t>
      </w:r>
      <w:r>
        <w:rPr>
          <w:rFonts w:hint="eastAsia" w:ascii="Times New Roman" w:hAnsi="Times New Roman" w:eastAsia="仿宋_GB2312" w:cs="Times New Roman"/>
          <w:sz w:val="32"/>
          <w:szCs w:val="32"/>
        </w:rPr>
        <w:t>）参加法国撤展活动</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rPr>
        <w:t>0.64</w:t>
      </w:r>
      <w:r>
        <w:rPr>
          <w:rFonts w:ascii="Times New Roman" w:hAnsi="Times New Roman" w:eastAsia="仿宋_GB2312" w:cs="Times New Roman"/>
          <w:sz w:val="32"/>
          <w:szCs w:val="32"/>
        </w:rPr>
        <w:t>万元，主要用于</w:t>
      </w:r>
      <w:r>
        <w:rPr>
          <w:rFonts w:hint="eastAsia" w:ascii="Times New Roman" w:hAnsi="Times New Roman" w:eastAsia="仿宋_GB2312" w:cs="Times New Roman"/>
          <w:sz w:val="32"/>
          <w:szCs w:val="32"/>
        </w:rPr>
        <w:t>赴法撤展活动</w:t>
      </w:r>
      <w:r>
        <w:rPr>
          <w:rFonts w:ascii="Times New Roman" w:hAnsi="Times New Roman" w:eastAsia="仿宋_GB2312" w:cs="Times New Roman"/>
          <w:sz w:val="32"/>
          <w:szCs w:val="32"/>
        </w:rPr>
        <w:t>相关人员费用</w:t>
      </w:r>
      <w:r>
        <w:rPr>
          <w:rFonts w:hint="eastAsia" w:ascii="Times New Roman" w:hAnsi="Times New Roman" w:eastAsia="仿宋_GB2312" w:cs="Times New Roman"/>
          <w:sz w:val="32"/>
          <w:szCs w:val="32"/>
          <w:lang w:eastAsia="zh-CN"/>
        </w:rPr>
        <w:t>；</w:t>
      </w:r>
    </w:p>
    <w:p w14:paraId="362ACECF">
      <w:pPr>
        <w:pStyle w:val="19"/>
        <w:keepNext w:val="0"/>
        <w:keepLines w:val="0"/>
        <w:pageBreakBefore w:val="0"/>
        <w:kinsoku/>
        <w:wordWrap/>
        <w:overflowPunct w:val="0"/>
        <w:topLinePunct w:val="0"/>
        <w:autoSpaceDE/>
        <w:autoSpaceDN/>
        <w:bidi w:val="0"/>
        <w:snapToGrid/>
        <w:spacing w:line="520" w:lineRule="exact"/>
        <w:ind w:left="0" w:right="0"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rPr>
        <w:t>）参加亚美尼亚交流访问</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rPr>
        <w:t>5.96</w:t>
      </w:r>
      <w:r>
        <w:rPr>
          <w:rFonts w:ascii="Times New Roman" w:hAnsi="Times New Roman" w:eastAsia="仿宋_GB2312" w:cs="Times New Roman"/>
          <w:sz w:val="32"/>
          <w:szCs w:val="32"/>
        </w:rPr>
        <w:t>万元，主要用于</w:t>
      </w:r>
      <w:r>
        <w:rPr>
          <w:rFonts w:hint="eastAsia" w:ascii="Times New Roman" w:hAnsi="Times New Roman" w:eastAsia="仿宋_GB2312" w:cs="Times New Roman"/>
          <w:sz w:val="32"/>
          <w:szCs w:val="32"/>
        </w:rPr>
        <w:t>赴亚美尼亚交流访问</w:t>
      </w:r>
      <w:r>
        <w:rPr>
          <w:rFonts w:ascii="Times New Roman" w:hAnsi="Times New Roman" w:eastAsia="仿宋_GB2312" w:cs="Times New Roman"/>
          <w:sz w:val="32"/>
          <w:szCs w:val="32"/>
        </w:rPr>
        <w:t>相关人员费用</w:t>
      </w:r>
      <w:r>
        <w:rPr>
          <w:rFonts w:hint="eastAsia" w:ascii="Times New Roman" w:hAnsi="Times New Roman" w:eastAsia="仿宋_GB2312" w:cs="Times New Roman"/>
          <w:sz w:val="32"/>
          <w:szCs w:val="32"/>
          <w:lang w:eastAsia="zh-CN"/>
        </w:rPr>
        <w:t>；</w:t>
      </w:r>
    </w:p>
    <w:p w14:paraId="2FFE2D4E">
      <w:pPr>
        <w:pStyle w:val="19"/>
        <w:keepNext w:val="0"/>
        <w:keepLines w:val="0"/>
        <w:pageBreakBefore w:val="0"/>
        <w:kinsoku/>
        <w:wordWrap/>
        <w:overflowPunct w:val="0"/>
        <w:topLinePunct w:val="0"/>
        <w:autoSpaceDE/>
        <w:autoSpaceDN/>
        <w:bidi w:val="0"/>
        <w:snapToGrid/>
        <w:spacing w:line="520" w:lineRule="exact"/>
        <w:ind w:left="0" w:right="0"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22</w:t>
      </w:r>
      <w:r>
        <w:rPr>
          <w:rFonts w:hint="eastAsia" w:ascii="Times New Roman" w:hAnsi="Times New Roman" w:eastAsia="仿宋_GB2312" w:cs="Times New Roman"/>
          <w:sz w:val="32"/>
          <w:szCs w:val="32"/>
        </w:rPr>
        <w:t>）参加美国、加拿大交流活动</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rPr>
        <w:t>1.96</w:t>
      </w:r>
      <w:r>
        <w:rPr>
          <w:rFonts w:ascii="Times New Roman" w:hAnsi="Times New Roman" w:eastAsia="仿宋_GB2312" w:cs="Times New Roman"/>
          <w:sz w:val="32"/>
          <w:szCs w:val="32"/>
        </w:rPr>
        <w:t>万元，主要用于</w:t>
      </w:r>
      <w:r>
        <w:rPr>
          <w:rFonts w:hint="eastAsia" w:ascii="Times New Roman" w:hAnsi="Times New Roman" w:eastAsia="仿宋_GB2312" w:cs="Times New Roman"/>
          <w:sz w:val="32"/>
          <w:szCs w:val="32"/>
        </w:rPr>
        <w:t>赴美国、加拿大交流活动</w:t>
      </w:r>
      <w:r>
        <w:rPr>
          <w:rFonts w:ascii="Times New Roman" w:hAnsi="Times New Roman" w:eastAsia="仿宋_GB2312" w:cs="Times New Roman"/>
          <w:sz w:val="32"/>
          <w:szCs w:val="32"/>
        </w:rPr>
        <w:t>相关人员费用</w:t>
      </w:r>
      <w:r>
        <w:rPr>
          <w:rFonts w:hint="eastAsia" w:ascii="Times New Roman" w:hAnsi="Times New Roman" w:eastAsia="仿宋_GB2312" w:cs="Times New Roman"/>
          <w:sz w:val="32"/>
          <w:szCs w:val="32"/>
          <w:lang w:eastAsia="zh-CN"/>
        </w:rPr>
        <w:t>；</w:t>
      </w:r>
    </w:p>
    <w:p w14:paraId="1179EEE1">
      <w:pPr>
        <w:pStyle w:val="19"/>
        <w:keepNext w:val="0"/>
        <w:keepLines w:val="0"/>
        <w:pageBreakBefore w:val="0"/>
        <w:kinsoku/>
        <w:wordWrap/>
        <w:overflowPunct w:val="0"/>
        <w:topLinePunct w:val="0"/>
        <w:autoSpaceDE/>
        <w:autoSpaceDN/>
        <w:bidi w:val="0"/>
        <w:snapToGrid/>
        <w:spacing w:line="520" w:lineRule="exact"/>
        <w:ind w:left="0" w:right="0"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23</w:t>
      </w:r>
      <w:r>
        <w:rPr>
          <w:rFonts w:hint="eastAsia" w:ascii="Times New Roman" w:hAnsi="Times New Roman" w:eastAsia="仿宋_GB2312" w:cs="Times New Roman"/>
          <w:sz w:val="32"/>
          <w:szCs w:val="32"/>
        </w:rPr>
        <w:t>）参加土耳其、卡塔尔交流活动</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rPr>
        <w:t>17.91</w:t>
      </w:r>
      <w:r>
        <w:rPr>
          <w:rFonts w:ascii="Times New Roman" w:hAnsi="Times New Roman" w:eastAsia="仿宋_GB2312" w:cs="Times New Roman"/>
          <w:sz w:val="32"/>
          <w:szCs w:val="32"/>
        </w:rPr>
        <w:t>万元，主要用于</w:t>
      </w:r>
      <w:r>
        <w:rPr>
          <w:rFonts w:hint="eastAsia" w:ascii="Times New Roman" w:hAnsi="Times New Roman" w:eastAsia="仿宋_GB2312" w:cs="Times New Roman"/>
          <w:sz w:val="32"/>
          <w:szCs w:val="32"/>
        </w:rPr>
        <w:t>赴土耳其、卡塔尔交流活动</w:t>
      </w:r>
      <w:r>
        <w:rPr>
          <w:rFonts w:ascii="Times New Roman" w:hAnsi="Times New Roman" w:eastAsia="仿宋_GB2312" w:cs="Times New Roman"/>
          <w:sz w:val="32"/>
          <w:szCs w:val="32"/>
        </w:rPr>
        <w:t>相关人员</w:t>
      </w:r>
      <w:r>
        <w:rPr>
          <w:rFonts w:hint="eastAsia" w:ascii="Times New Roman" w:hAnsi="Times New Roman" w:eastAsia="仿宋_GB2312" w:cs="Times New Roman"/>
          <w:sz w:val="32"/>
          <w:szCs w:val="32"/>
        </w:rPr>
        <w:t>费用</w:t>
      </w:r>
      <w:r>
        <w:rPr>
          <w:rFonts w:hint="eastAsia" w:ascii="Times New Roman" w:hAnsi="Times New Roman" w:eastAsia="仿宋_GB2312" w:cs="Times New Roman"/>
          <w:sz w:val="32"/>
          <w:szCs w:val="32"/>
          <w:lang w:eastAsia="zh-CN"/>
        </w:rPr>
        <w:t>。</w:t>
      </w:r>
    </w:p>
    <w:p w14:paraId="27E8B465">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95.56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86.64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90.67%，与上年相比增加10.77万元，增长14.20%。其中：公务用车</w:t>
      </w:r>
      <w:r>
        <w:rPr>
          <w:rFonts w:ascii="Times New Roman" w:hAnsi="Times New Roman" w:eastAsia="仿宋_GB2312" w:cs="Times New Roman"/>
          <w:sz w:val="32"/>
          <w:szCs w:val="32"/>
        </w:rPr>
        <w:t>购置费支出预算为</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99.44</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17.9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由于上年决算数为0，无法计算增长百分比</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color w:val="auto"/>
          <w:sz w:val="32"/>
          <w:szCs w:val="32"/>
        </w:rPr>
        <w:t>决算数小于预算数的主要原因是按照</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三公</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经费管理要求，厉行节约</w:t>
      </w:r>
      <w:r>
        <w:rPr>
          <w:rFonts w:ascii="Times New Roman" w:hAnsi="Times New Roman" w:eastAsia="仿宋_GB2312" w:cs="Times New Roman"/>
          <w:sz w:val="32"/>
          <w:szCs w:val="32"/>
        </w:rPr>
        <w:t>，三公经费有所压减</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决算数大于上年数的主</w:t>
      </w:r>
      <w:r>
        <w:rPr>
          <w:rFonts w:ascii="Times New Roman" w:hAnsi="Times New Roman" w:eastAsia="仿宋_GB2312" w:cs="Times New Roman"/>
          <w:color w:val="auto"/>
          <w:sz w:val="32"/>
          <w:szCs w:val="32"/>
        </w:rPr>
        <w:t>要原因是</w:t>
      </w:r>
      <w:r>
        <w:rPr>
          <w:rFonts w:hint="eastAsia" w:ascii="Times New Roman" w:hAnsi="Times New Roman" w:eastAsia="仿宋_GB2312" w:cs="Times New Roman"/>
          <w:color w:val="auto"/>
          <w:sz w:val="32"/>
          <w:szCs w:val="32"/>
          <w:lang w:eastAsia="zh-CN"/>
        </w:rPr>
        <w:t>新增公务用车一辆，湖南省文化和旅游厅本级及二级单位</w:t>
      </w:r>
      <w:r>
        <w:rPr>
          <w:rFonts w:hint="eastAsia" w:ascii="Times New Roman" w:hAnsi="Times New Roman" w:eastAsia="仿宋_GB2312" w:cs="Times New Roman"/>
          <w:color w:val="auto"/>
          <w:sz w:val="32"/>
          <w:szCs w:val="32"/>
          <w:lang w:val="en-US" w:eastAsia="zh-CN"/>
        </w:rPr>
        <w:t>更新</w:t>
      </w:r>
      <w:r>
        <w:rPr>
          <w:rFonts w:ascii="Times New Roman" w:hAnsi="Times New Roman" w:eastAsia="仿宋_GB2312" w:cs="Times New Roman"/>
          <w:color w:val="auto"/>
          <w:sz w:val="32"/>
          <w:szCs w:val="32"/>
        </w:rPr>
        <w:t>公务用车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w:t>
      </w:r>
    </w:p>
    <w:p w14:paraId="5151B12D">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77.56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68.74</w:t>
      </w:r>
      <w:r>
        <w:rPr>
          <w:rFonts w:ascii="Times New Roman" w:hAnsi="Times New Roman" w:eastAsia="仿宋_GB2312" w:cs="Times New Roman"/>
          <w:sz w:val="32"/>
          <w:szCs w:val="32"/>
        </w:rPr>
        <w:t>万元，主要是公务和业务用车所需车辆燃料费、维修费、过桥过路费、保险费等车辆运行支出，完成预算的</w:t>
      </w:r>
      <w:r>
        <w:rPr>
          <w:rFonts w:hint="eastAsia" w:ascii="Times New Roman" w:hAnsi="Times New Roman" w:eastAsia="仿宋_GB2312" w:cs="Times New Roman"/>
          <w:sz w:val="32"/>
          <w:szCs w:val="32"/>
          <w:lang w:val="en-US" w:eastAsia="zh-CN"/>
        </w:rPr>
        <w:t>88.63</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7.13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9.40</w:t>
      </w:r>
      <w:r>
        <w:rPr>
          <w:rFonts w:ascii="Times New Roman" w:hAnsi="Times New Roman" w:eastAsia="仿宋_GB2312" w:cs="Times New Roman"/>
          <w:sz w:val="32"/>
          <w:szCs w:val="32"/>
        </w:rPr>
        <w:t>%。决算数小于预算数的主要原因是我厅严格按照‚</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经费管理要求，厉行节约，公务用车运行维护费支出较预算有所压减。决算数小于上年数的主要原因是从严控制“三公”经费预算，在支出环节精打细算，压减了公务用车的运行维护费用。截止202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38</w:t>
      </w:r>
      <w:r>
        <w:rPr>
          <w:rFonts w:ascii="Times New Roman" w:hAnsi="Times New Roman" w:eastAsia="仿宋_GB2312" w:cs="Times New Roman"/>
          <w:sz w:val="32"/>
          <w:szCs w:val="32"/>
        </w:rPr>
        <w:t>辆。</w:t>
      </w:r>
    </w:p>
    <w:p w14:paraId="18C74937">
      <w:pPr>
        <w:keepNext w:val="0"/>
        <w:keepLines w:val="0"/>
        <w:pageBreakBefore w:val="0"/>
        <w:widowControl/>
        <w:numPr>
          <w:ilvl w:val="0"/>
          <w:numId w:val="0"/>
        </w:numPr>
        <w:suppressLineNumbers w:val="0"/>
        <w:kinsoku/>
        <w:wordWrap/>
        <w:topLinePunct w:val="0"/>
        <w:bidi w:val="0"/>
        <w:snapToGrid/>
        <w:spacing w:line="520" w:lineRule="exact"/>
        <w:ind w:left="0" w:right="0"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51.5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34.8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67.57%，与上年相比增加18.87万元，增长118.46%。决算</w:t>
      </w:r>
      <w:r>
        <w:rPr>
          <w:rFonts w:ascii="Times New Roman" w:hAnsi="Times New Roman" w:eastAsia="仿宋_GB2312" w:cs="Times New Roman"/>
          <w:sz w:val="32"/>
          <w:szCs w:val="32"/>
        </w:rPr>
        <w:t>数小于预算数的主要原因是厅严格按照‚</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 xml:space="preserve">三公 </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经费管理要求</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厉行节约，公务接待费支出较预算有所压减。决算</w:t>
      </w:r>
      <w:r>
        <w:rPr>
          <w:rFonts w:ascii="Times New Roman" w:hAnsi="Times New Roman" w:eastAsia="仿宋_GB2312" w:cs="Times New Roman"/>
          <w:color w:val="auto"/>
          <w:sz w:val="32"/>
          <w:szCs w:val="32"/>
        </w:rPr>
        <w:t>大于上年数的主要原因是</w:t>
      </w:r>
      <w:r>
        <w:rPr>
          <w:rFonts w:ascii="仿宋_GB2312" w:hAnsi="宋体" w:eastAsia="仿宋_GB2312" w:cs="仿宋_GB2312"/>
          <w:color w:val="000000"/>
          <w:kern w:val="0"/>
          <w:sz w:val="32"/>
          <w:szCs w:val="32"/>
          <w:lang w:val="en-US" w:eastAsia="zh-CN" w:bidi="ar"/>
        </w:rPr>
        <w:t>根据年度</w:t>
      </w:r>
      <w:r>
        <w:rPr>
          <w:rFonts w:hint="eastAsia" w:ascii="仿宋_GB2312" w:eastAsia="仿宋_GB2312" w:cs="仿宋_GB2312"/>
          <w:color w:val="000000"/>
          <w:sz w:val="32"/>
          <w:szCs w:val="32"/>
        </w:rPr>
        <w:t>工作计划安排</w:t>
      </w:r>
      <w:r>
        <w:rPr>
          <w:rFonts w:hint="eastAsia" w:ascii="仿宋_GB2312" w:eastAsia="仿宋_GB2312" w:cs="仿宋_GB2312"/>
          <w:color w:val="000000"/>
          <w:sz w:val="32"/>
          <w:szCs w:val="32"/>
          <w:lang w:eastAsia="zh-CN"/>
        </w:rPr>
        <w:t>，</w:t>
      </w:r>
      <w:r>
        <w:rPr>
          <w:rFonts w:hint="eastAsia" w:ascii="仿宋_GB2312" w:eastAsia="仿宋_GB2312" w:cs="仿宋_GB2312"/>
          <w:color w:val="000000"/>
          <w:sz w:val="32"/>
          <w:szCs w:val="32"/>
        </w:rPr>
        <w:t>2025年度较上年增加两批次外事接待费用</w:t>
      </w:r>
      <w:r>
        <w:rPr>
          <w:rFonts w:ascii="Times New Roman" w:hAnsi="Times New Roman" w:eastAsia="仿宋_GB2312" w:cs="Times New Roman"/>
          <w:color w:val="auto"/>
          <w:sz w:val="32"/>
          <w:szCs w:val="32"/>
        </w:rPr>
        <w:t>。</w:t>
      </w: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111</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800</w:t>
      </w:r>
      <w:r>
        <w:rPr>
          <w:rFonts w:ascii="Times New Roman" w:hAnsi="Times New Roman" w:eastAsia="仿宋_GB2312" w:cs="Times New Roman"/>
          <w:sz w:val="32"/>
          <w:szCs w:val="32"/>
        </w:rPr>
        <w:t>人次，</w:t>
      </w:r>
      <w:r>
        <w:rPr>
          <w:rFonts w:ascii="Times New Roman" w:hAnsi="Times New Roman" w:eastAsia="仿宋_GB2312" w:cs="Times New Roman"/>
          <w:color w:val="auto"/>
          <w:sz w:val="32"/>
          <w:szCs w:val="32"/>
        </w:rPr>
        <w:t>主要是</w:t>
      </w:r>
      <w:r>
        <w:rPr>
          <w:rFonts w:ascii="FangSong_GB2312" w:hAnsi="FangSong_GB2312" w:eastAsia="FangSong_GB2312" w:cs="FangSong_GB2312"/>
          <w:color w:val="auto"/>
          <w:spacing w:val="3"/>
          <w:sz w:val="31"/>
          <w:szCs w:val="31"/>
        </w:rPr>
        <w:t>日常</w:t>
      </w:r>
      <w:r>
        <w:rPr>
          <w:rFonts w:ascii="FangSong_GB2312" w:hAnsi="FangSong_GB2312" w:eastAsia="FangSong_GB2312" w:cs="FangSong_GB2312"/>
          <w:spacing w:val="3"/>
          <w:sz w:val="31"/>
          <w:szCs w:val="31"/>
        </w:rPr>
        <w:t>业务工作、</w:t>
      </w:r>
      <w:r>
        <w:rPr>
          <w:rFonts w:ascii="FangSong_GB2312" w:hAnsi="FangSong_GB2312" w:eastAsia="FangSong_GB2312" w:cs="FangSong_GB2312"/>
          <w:spacing w:val="6"/>
          <w:sz w:val="31"/>
          <w:szCs w:val="31"/>
        </w:rPr>
        <w:t>文旅活动、外事接待发生的</w:t>
      </w:r>
      <w:r>
        <w:rPr>
          <w:rFonts w:ascii="Times New Roman" w:hAnsi="Times New Roman" w:eastAsia="仿宋_GB2312" w:cs="Times New Roman"/>
          <w:sz w:val="32"/>
          <w:szCs w:val="32"/>
        </w:rPr>
        <w:t>接待支出。</w:t>
      </w:r>
    </w:p>
    <w:p w14:paraId="44FC138D">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12C85A59">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ascii="Times New Roman" w:hAnsi="Times New Roman" w:eastAsia="楷体_GB2312" w:cs="Times New Roman"/>
          <w:b/>
          <w:bCs/>
          <w:i/>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年度政府性基金预算财政拨款收入</w:t>
      </w:r>
      <w:r>
        <w:rPr>
          <w:rFonts w:hint="eastAsia" w:ascii="Times New Roman" w:hAnsi="Times New Roman" w:eastAsia="仿宋_GB2312" w:cs="Times New Roman"/>
          <w:color w:val="auto"/>
          <w:sz w:val="32"/>
          <w:szCs w:val="32"/>
          <w:lang w:val="en-US" w:eastAsia="zh-CN"/>
        </w:rPr>
        <w:t>986</w:t>
      </w:r>
      <w:r>
        <w:rPr>
          <w:rFonts w:ascii="Times New Roman" w:hAnsi="Times New Roman" w:eastAsia="仿宋_GB2312" w:cs="Times New Roman"/>
          <w:color w:val="auto"/>
          <w:sz w:val="32"/>
          <w:szCs w:val="32"/>
        </w:rPr>
        <w:t>万元；年初结转和结余</w:t>
      </w:r>
      <w:r>
        <w:rPr>
          <w:rFonts w:hint="eastAsia" w:ascii="Times New Roman" w:hAnsi="Times New Roman" w:eastAsia="仿宋_GB2312" w:cs="Times New Roman"/>
          <w:color w:val="auto"/>
          <w:sz w:val="32"/>
          <w:szCs w:val="32"/>
          <w:lang w:val="en-US" w:eastAsia="zh-CN"/>
        </w:rPr>
        <w:t>5344.37</w:t>
      </w:r>
      <w:r>
        <w:rPr>
          <w:rFonts w:ascii="Times New Roman" w:hAnsi="Times New Roman" w:eastAsia="仿宋_GB2312" w:cs="Times New Roman"/>
          <w:color w:val="auto"/>
          <w:sz w:val="32"/>
          <w:szCs w:val="32"/>
        </w:rPr>
        <w:t>万元；支出</w:t>
      </w:r>
      <w:r>
        <w:rPr>
          <w:rFonts w:hint="eastAsia" w:ascii="Times New Roman" w:hAnsi="Times New Roman" w:eastAsia="仿宋_GB2312" w:cs="Times New Roman"/>
          <w:color w:val="auto"/>
          <w:sz w:val="32"/>
          <w:szCs w:val="32"/>
          <w:lang w:val="en-US" w:eastAsia="zh-CN"/>
        </w:rPr>
        <w:t>5025.15</w:t>
      </w:r>
      <w:r>
        <w:rPr>
          <w:rFonts w:ascii="Times New Roman" w:hAnsi="Times New Roman" w:eastAsia="仿宋_GB2312" w:cs="Times New Roman"/>
          <w:color w:val="auto"/>
          <w:sz w:val="32"/>
          <w:szCs w:val="32"/>
        </w:rPr>
        <w:t>万元，其中基本支出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万元，项目支出</w:t>
      </w:r>
      <w:r>
        <w:rPr>
          <w:rFonts w:hint="eastAsia" w:ascii="Times New Roman" w:hAnsi="Times New Roman" w:eastAsia="仿宋_GB2312" w:cs="Times New Roman"/>
          <w:color w:val="auto"/>
          <w:sz w:val="32"/>
          <w:szCs w:val="32"/>
          <w:lang w:val="en-US" w:eastAsia="zh-CN"/>
        </w:rPr>
        <w:t>5025.15</w:t>
      </w:r>
      <w:r>
        <w:rPr>
          <w:rFonts w:ascii="Times New Roman" w:hAnsi="Times New Roman" w:eastAsia="仿宋_GB2312" w:cs="Times New Roman"/>
          <w:color w:val="auto"/>
          <w:sz w:val="32"/>
          <w:szCs w:val="32"/>
        </w:rPr>
        <w:t>万元；年末结</w:t>
      </w:r>
      <w:r>
        <w:rPr>
          <w:rFonts w:ascii="Times New Roman" w:hAnsi="Times New Roman" w:eastAsia="仿宋_GB2312" w:cs="Times New Roman"/>
          <w:sz w:val="32"/>
          <w:szCs w:val="32"/>
        </w:rPr>
        <w:t>转和结余</w:t>
      </w:r>
      <w:r>
        <w:rPr>
          <w:rFonts w:hint="eastAsia" w:ascii="Times New Roman" w:hAnsi="Times New Roman" w:eastAsia="仿宋_GB2312" w:cs="Times New Roman"/>
          <w:sz w:val="32"/>
          <w:szCs w:val="32"/>
          <w:lang w:val="en-US" w:eastAsia="zh-CN"/>
        </w:rPr>
        <w:t>1305.23</w:t>
      </w:r>
      <w:r>
        <w:rPr>
          <w:rFonts w:ascii="Times New Roman" w:hAnsi="Times New Roman" w:eastAsia="仿宋_GB2312" w:cs="Times New Roman"/>
          <w:sz w:val="32"/>
          <w:szCs w:val="32"/>
        </w:rPr>
        <w:t>万元。具体情况如下：</w:t>
      </w:r>
    </w:p>
    <w:p w14:paraId="2141333A">
      <w:pPr>
        <w:keepNext w:val="0"/>
        <w:keepLines w:val="0"/>
        <w:pageBreakBefore w:val="0"/>
        <w:kinsoku/>
        <w:wordWrap/>
        <w:topLinePunct w:val="0"/>
        <w:bidi w:val="0"/>
        <w:snapToGrid/>
        <w:spacing w:line="520" w:lineRule="exact"/>
        <w:ind w:left="0" w:right="0" w:firstLine="633"/>
        <w:textAlignment w:val="auto"/>
        <w:rPr>
          <w:rFonts w:ascii="FangSong_GB2312" w:hAnsi="FangSong_GB2312" w:eastAsia="FangSong_GB2312" w:cs="FangSong_GB2312"/>
          <w:spacing w:val="3"/>
          <w:sz w:val="31"/>
          <w:szCs w:val="31"/>
        </w:rPr>
      </w:pPr>
      <w:r>
        <w:rPr>
          <w:rFonts w:ascii="FangSong_GB2312" w:hAnsi="FangSong_GB2312" w:eastAsia="FangSong_GB2312" w:cs="FangSong_GB2312"/>
          <w:spacing w:val="3"/>
          <w:sz w:val="31"/>
          <w:szCs w:val="31"/>
        </w:rPr>
        <w:t>1、文化旅游体育与传媒支出（类）旅游发展基金支出（款）地方旅游开发项目补助（项）</w:t>
      </w:r>
    </w:p>
    <w:p w14:paraId="31AA3A2A">
      <w:pPr>
        <w:keepNext w:val="0"/>
        <w:keepLines w:val="0"/>
        <w:pageBreakBefore w:val="0"/>
        <w:kinsoku/>
        <w:wordWrap/>
        <w:topLinePunct w:val="0"/>
        <w:bidi w:val="0"/>
        <w:snapToGrid/>
        <w:spacing w:line="520" w:lineRule="exact"/>
        <w:ind w:left="0" w:right="0" w:firstLine="633"/>
        <w:textAlignment w:val="auto"/>
        <w:rPr>
          <w:rFonts w:ascii="Times New Roman" w:hAnsi="Times New Roman" w:eastAsia="仿宋_GB2312" w:cs="Times New Roman"/>
          <w:color w:val="auto"/>
          <w:kern w:val="0"/>
          <w:sz w:val="32"/>
          <w:szCs w:val="32"/>
          <w:lang w:val="en-US" w:eastAsia="zh-CN" w:bidi="ar-SA"/>
        </w:rPr>
      </w:pPr>
      <w:r>
        <w:rPr>
          <w:rFonts w:ascii="Times New Roman" w:hAnsi="Times New Roman" w:eastAsia="仿宋_GB2312" w:cs="Times New Roman"/>
          <w:color w:val="auto"/>
          <w:kern w:val="0"/>
          <w:sz w:val="32"/>
          <w:szCs w:val="32"/>
          <w:lang w:val="en-US" w:eastAsia="zh-CN" w:bidi="ar-SA"/>
        </w:rPr>
        <w:t>年初预算为 0 万元，年中追加</w:t>
      </w:r>
      <w:r>
        <w:rPr>
          <w:rFonts w:hint="eastAsia" w:ascii="Times New Roman" w:hAnsi="Times New Roman" w:eastAsia="仿宋_GB2312" w:cs="Times New Roman"/>
          <w:color w:val="auto"/>
          <w:kern w:val="0"/>
          <w:sz w:val="32"/>
          <w:szCs w:val="32"/>
          <w:lang w:val="en-US" w:eastAsia="zh-CN" w:bidi="ar-SA"/>
        </w:rPr>
        <w:t>986</w:t>
      </w:r>
      <w:r>
        <w:rPr>
          <w:rFonts w:ascii="Times New Roman" w:hAnsi="Times New Roman" w:eastAsia="仿宋_GB2312" w:cs="Times New Roman"/>
          <w:color w:val="auto"/>
          <w:kern w:val="0"/>
          <w:sz w:val="32"/>
          <w:szCs w:val="32"/>
          <w:lang w:val="en-US" w:eastAsia="zh-CN" w:bidi="ar-SA"/>
        </w:rPr>
        <w:t>万元，支出决算为</w:t>
      </w:r>
      <w:r>
        <w:rPr>
          <w:rFonts w:hint="eastAsia" w:ascii="Times New Roman" w:hAnsi="Times New Roman" w:eastAsia="仿宋_GB2312" w:cs="Times New Roman"/>
          <w:color w:val="auto"/>
          <w:kern w:val="0"/>
          <w:sz w:val="32"/>
          <w:szCs w:val="32"/>
          <w:lang w:val="en-US" w:eastAsia="zh-CN" w:bidi="ar-SA"/>
        </w:rPr>
        <w:t>300.77</w:t>
      </w:r>
      <w:r>
        <w:rPr>
          <w:rFonts w:ascii="Times New Roman" w:hAnsi="Times New Roman" w:eastAsia="仿宋_GB2312" w:cs="Times New Roman"/>
          <w:color w:val="auto"/>
          <w:kern w:val="0"/>
          <w:sz w:val="32"/>
          <w:szCs w:val="32"/>
          <w:lang w:val="en-US" w:eastAsia="zh-CN" w:bidi="ar-SA"/>
        </w:rPr>
        <w:t>万元，主要原因是：</w:t>
      </w:r>
      <w:r>
        <w:rPr>
          <w:rFonts w:hint="eastAsia" w:ascii="Times New Roman" w:hAnsi="Times New Roman" w:eastAsia="仿宋_GB2312" w:cs="Times New Roman"/>
          <w:color w:val="auto"/>
          <w:kern w:val="0"/>
          <w:sz w:val="32"/>
          <w:szCs w:val="32"/>
          <w:lang w:val="en-US" w:eastAsia="zh-CN" w:bidi="ar-SA"/>
        </w:rPr>
        <w:t>厅机关湘超配套活动、“潮起潇湘 相约湖南”湖南文旅消费活动合同款跨年支付，省少儿馆研学课程设计及功能布局、标识标牌成体系提质相关合同款跨年支付，省花鼓戏保护传承中心研学课程设计及功能布局、标识标牌成体系提质合同款跨年支付</w:t>
      </w:r>
      <w:r>
        <w:rPr>
          <w:rFonts w:ascii="Times New Roman" w:hAnsi="Times New Roman" w:eastAsia="仿宋_GB2312" w:cs="Times New Roman"/>
          <w:color w:val="auto"/>
          <w:kern w:val="0"/>
          <w:sz w:val="32"/>
          <w:szCs w:val="32"/>
          <w:lang w:val="en-US" w:eastAsia="zh-CN" w:bidi="ar-SA"/>
        </w:rPr>
        <w:t>。</w:t>
      </w:r>
    </w:p>
    <w:p w14:paraId="5F836E83">
      <w:pPr>
        <w:keepNext w:val="0"/>
        <w:keepLines w:val="0"/>
        <w:pageBreakBefore w:val="0"/>
        <w:kinsoku/>
        <w:wordWrap/>
        <w:topLinePunct w:val="0"/>
        <w:bidi w:val="0"/>
        <w:snapToGrid/>
        <w:spacing w:line="520" w:lineRule="exact"/>
        <w:ind w:left="0" w:right="0" w:firstLine="634"/>
        <w:textAlignment w:val="auto"/>
        <w:rPr>
          <w:rFonts w:ascii="FangSong_GB2312" w:hAnsi="FangSong_GB2312" w:eastAsia="FangSong_GB2312" w:cs="FangSong_GB2312"/>
          <w:sz w:val="31"/>
          <w:szCs w:val="31"/>
        </w:rPr>
      </w:pPr>
      <w:r>
        <w:rPr>
          <w:rFonts w:ascii="Times New Roman" w:hAnsi="Times New Roman" w:eastAsia="Times New Roman" w:cs="Times New Roman"/>
          <w:spacing w:val="8"/>
          <w:sz w:val="31"/>
          <w:szCs w:val="31"/>
        </w:rPr>
        <w:t>2</w:t>
      </w:r>
      <w:r>
        <w:rPr>
          <w:rFonts w:ascii="Times New Roman" w:hAnsi="Times New Roman" w:eastAsia="Times New Roman" w:cs="Times New Roman"/>
          <w:spacing w:val="-38"/>
          <w:sz w:val="31"/>
          <w:szCs w:val="31"/>
        </w:rPr>
        <w:t xml:space="preserve"> </w:t>
      </w:r>
      <w:r>
        <w:rPr>
          <w:rFonts w:ascii="FangSong_GB2312" w:hAnsi="FangSong_GB2312" w:eastAsia="FangSong_GB2312" w:cs="FangSong_GB2312"/>
          <w:spacing w:val="8"/>
          <w:sz w:val="31"/>
          <w:szCs w:val="31"/>
        </w:rPr>
        <w:t>、其他支出（类）超长期特别国债安排的其</w:t>
      </w:r>
      <w:r>
        <w:rPr>
          <w:rFonts w:ascii="FangSong_GB2312" w:hAnsi="FangSong_GB2312" w:eastAsia="FangSong_GB2312" w:cs="FangSong_GB2312"/>
          <w:spacing w:val="7"/>
          <w:sz w:val="31"/>
          <w:szCs w:val="31"/>
        </w:rPr>
        <w:t>他支出（款）</w:t>
      </w:r>
      <w:r>
        <w:rPr>
          <w:rFonts w:ascii="FangSong_GB2312" w:hAnsi="FangSong_GB2312" w:eastAsia="FangSong_GB2312" w:cs="FangSong_GB2312"/>
          <w:sz w:val="31"/>
          <w:szCs w:val="31"/>
        </w:rPr>
        <w:t>其他支出（项）。</w:t>
      </w:r>
    </w:p>
    <w:p w14:paraId="317EE009">
      <w:pPr>
        <w:keepNext w:val="0"/>
        <w:keepLines w:val="0"/>
        <w:pageBreakBefore w:val="0"/>
        <w:kinsoku/>
        <w:wordWrap/>
        <w:topLinePunct w:val="0"/>
        <w:bidi w:val="0"/>
        <w:snapToGrid/>
        <w:spacing w:line="520" w:lineRule="exact"/>
        <w:ind w:left="0" w:right="0" w:firstLine="634"/>
        <w:textAlignment w:val="auto"/>
        <w:rPr>
          <w:rFonts w:hint="default" w:ascii="FangSong_GB2312" w:hAnsi="FangSong_GB2312" w:eastAsia="FangSong_GB2312" w:cs="FangSong_GB2312"/>
          <w:sz w:val="31"/>
          <w:szCs w:val="31"/>
          <w:lang w:val="en-US" w:eastAsia="zh-CN"/>
        </w:rPr>
      </w:pPr>
      <w:r>
        <w:rPr>
          <w:rFonts w:hint="eastAsia" w:ascii="FangSong_GB2312" w:hAnsi="FangSong_GB2312" w:eastAsia="FangSong_GB2312" w:cs="FangSong_GB2312"/>
          <w:sz w:val="31"/>
          <w:szCs w:val="31"/>
          <w:lang w:val="en-US" w:eastAsia="zh-CN"/>
        </w:rPr>
        <w:t>年初预算为4724.37万元，支出决算为4724.37万元，完成年初预算的100%，决算数与预算数持平的主要原因是严格按预算执行。</w:t>
      </w:r>
    </w:p>
    <w:p w14:paraId="5896C2CA">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0B3FC921">
      <w:pPr>
        <w:keepNext w:val="0"/>
        <w:keepLines w:val="0"/>
        <w:pageBreakBefore w:val="0"/>
        <w:kinsoku/>
        <w:wordWrap/>
        <w:topLinePunct w:val="0"/>
        <w:bidi w:val="0"/>
        <w:snapToGrid/>
        <w:spacing w:line="520" w:lineRule="exact"/>
        <w:ind w:left="0" w:right="0" w:firstLine="630"/>
        <w:jc w:val="both"/>
        <w:textAlignment w:val="auto"/>
        <w:rPr>
          <w:rFonts w:ascii="FangSong_GB2312" w:hAnsi="FangSong_GB2312" w:eastAsia="FangSong_GB2312" w:cs="FangSong_GB2312"/>
          <w:sz w:val="31"/>
          <w:szCs w:val="31"/>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886.3</w:t>
      </w:r>
      <w:r>
        <w:rPr>
          <w:rFonts w:ascii="Times New Roman" w:hAnsi="Times New Roman" w:eastAsia="仿宋_GB2312" w:cs="Times New Roman"/>
          <w:sz w:val="32"/>
          <w:szCs w:val="32"/>
        </w:rPr>
        <w:t>万元，比年初预算数减少</w:t>
      </w:r>
      <w:r>
        <w:rPr>
          <w:rFonts w:hint="eastAsia" w:ascii="Times New Roman" w:hAnsi="Times New Roman" w:eastAsia="仿宋_GB2312" w:cs="Times New Roman"/>
          <w:sz w:val="32"/>
          <w:szCs w:val="32"/>
          <w:lang w:val="en-US" w:eastAsia="zh-CN"/>
        </w:rPr>
        <w:t>49.36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5.28</w:t>
      </w:r>
      <w:r>
        <w:rPr>
          <w:rFonts w:ascii="Times New Roman" w:hAnsi="Times New Roman" w:eastAsia="仿宋_GB2312" w:cs="Times New Roman"/>
          <w:sz w:val="32"/>
          <w:szCs w:val="32"/>
        </w:rPr>
        <w:t>%。主要原因是：</w:t>
      </w:r>
      <w:r>
        <w:rPr>
          <w:rFonts w:ascii="FangSong_GB2312" w:hAnsi="FangSong_GB2312" w:eastAsia="FangSong_GB2312" w:cs="FangSong_GB2312"/>
          <w:spacing w:val="4"/>
          <w:sz w:val="31"/>
          <w:szCs w:val="31"/>
        </w:rPr>
        <w:t>我厅严格控</w:t>
      </w:r>
      <w:r>
        <w:rPr>
          <w:rFonts w:ascii="FangSong_GB2312" w:hAnsi="FangSong_GB2312" w:eastAsia="FangSong_GB2312" w:cs="FangSong_GB2312"/>
          <w:spacing w:val="7"/>
          <w:sz w:val="31"/>
          <w:szCs w:val="31"/>
        </w:rPr>
        <w:t>制预算支出，压缩机关运行经费。</w:t>
      </w:r>
    </w:p>
    <w:p w14:paraId="2173016B">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4E417A15">
      <w:pPr>
        <w:pStyle w:val="19"/>
        <w:keepNext w:val="0"/>
        <w:keepLines w:val="0"/>
        <w:pageBreakBefore w:val="0"/>
        <w:kinsoku/>
        <w:wordWrap/>
        <w:overflowPunct w:val="0"/>
        <w:topLinePunct w:val="0"/>
        <w:autoSpaceDE/>
        <w:autoSpaceDN/>
        <w:bidi w:val="0"/>
        <w:snapToGrid/>
        <w:spacing w:line="520" w:lineRule="exact"/>
        <w:ind w:left="0" w:right="0" w:firstLine="640" w:firstLineChars="200"/>
        <w:jc w:val="both"/>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sz w:val="32"/>
          <w:szCs w:val="32"/>
          <w:lang w:eastAsia="zh-CN"/>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227.25</w:t>
      </w:r>
      <w:r>
        <w:rPr>
          <w:rFonts w:ascii="Times New Roman" w:hAnsi="Times New Roman" w:eastAsia="仿宋_GB2312" w:cs="Times New Roman"/>
          <w:sz w:val="32"/>
          <w:szCs w:val="32"/>
        </w:rPr>
        <w:t>万元，用于召开</w:t>
      </w:r>
      <w:r>
        <w:rPr>
          <w:rFonts w:ascii="Times New Roman" w:hAnsi="Times New Roman" w:eastAsia="仿宋_GB2312" w:cs="Times New Roman"/>
          <w:color w:val="auto"/>
          <w:sz w:val="32"/>
          <w:szCs w:val="32"/>
        </w:rPr>
        <w:t>用于召开</w:t>
      </w:r>
      <w:r>
        <w:rPr>
          <w:rFonts w:hint="eastAsia" w:ascii="Times New Roman" w:hAnsi="Times New Roman" w:eastAsia="仿宋_GB2312" w:cs="Times New Roman"/>
          <w:color w:val="auto"/>
          <w:sz w:val="32"/>
          <w:szCs w:val="32"/>
          <w:lang w:eastAsia="zh-CN"/>
        </w:rPr>
        <w:t>以下</w:t>
      </w:r>
      <w:r>
        <w:rPr>
          <w:rFonts w:ascii="Times New Roman" w:hAnsi="Times New Roman" w:eastAsia="仿宋_GB2312" w:cs="Times New Roman"/>
          <w:color w:val="auto"/>
          <w:sz w:val="32"/>
          <w:szCs w:val="32"/>
        </w:rPr>
        <w:t>会议</w:t>
      </w:r>
      <w:r>
        <w:rPr>
          <w:rFonts w:hint="eastAsia" w:ascii="Times New Roman" w:hAnsi="Times New Roman" w:eastAsia="仿宋_GB2312" w:cs="Times New Roman"/>
          <w:color w:val="auto"/>
          <w:sz w:val="32"/>
          <w:szCs w:val="32"/>
          <w:lang w:eastAsia="zh-CN"/>
        </w:rPr>
        <w:t>：</w:t>
      </w:r>
    </w:p>
    <w:p w14:paraId="49B66CD0">
      <w:pPr>
        <w:pStyle w:val="19"/>
        <w:keepNext w:val="0"/>
        <w:keepLines w:val="0"/>
        <w:pageBreakBefore w:val="0"/>
        <w:kinsoku/>
        <w:wordWrap/>
        <w:overflowPunct w:val="0"/>
        <w:topLinePunct w:val="0"/>
        <w:autoSpaceDE/>
        <w:autoSpaceDN/>
        <w:bidi w:val="0"/>
        <w:snapToGrid/>
        <w:spacing w:line="520" w:lineRule="exact"/>
        <w:ind w:left="0" w:right="0" w:firstLine="644" w:firstLineChars="200"/>
        <w:jc w:val="both"/>
        <w:textAlignment w:val="auto"/>
        <w:rPr>
          <w:rFonts w:hint="eastAsia" w:ascii="FangSong_GB2312" w:hAnsi="FangSong_GB2312" w:eastAsia="FangSong_GB2312" w:cs="FangSong_GB2312"/>
          <w:spacing w:val="6"/>
          <w:sz w:val="31"/>
          <w:szCs w:val="31"/>
          <w:lang w:val="en-US" w:eastAsia="zh-CN"/>
        </w:rPr>
      </w:pPr>
      <w:r>
        <w:rPr>
          <w:rFonts w:hint="eastAsia" w:ascii="FangSong_GB2312" w:hAnsi="FangSong_GB2312" w:eastAsia="FangSong_GB2312" w:cs="FangSong_GB2312"/>
          <w:spacing w:val="6"/>
          <w:sz w:val="31"/>
          <w:szCs w:val="31"/>
          <w:lang w:val="en-US" w:eastAsia="zh-CN"/>
        </w:rPr>
        <w:t>1、2025年全</w:t>
      </w:r>
      <w:r>
        <w:rPr>
          <w:rFonts w:hint="eastAsia" w:ascii="Times New Roman" w:hAnsi="Times New Roman" w:eastAsia="仿宋_GB2312" w:cs="Times New Roman"/>
          <w:color w:val="auto"/>
          <w:sz w:val="32"/>
          <w:szCs w:val="32"/>
          <w:lang w:val="en-US" w:eastAsia="zh-CN"/>
        </w:rPr>
        <w:t>省局长会议，人数92人，</w:t>
      </w:r>
      <w:r>
        <w:rPr>
          <w:rFonts w:ascii="FangSong_GB2312" w:hAnsi="FangSong_GB2312" w:eastAsia="FangSong_GB2312" w:cs="FangSong_GB2312"/>
          <w:spacing w:val="6"/>
          <w:sz w:val="31"/>
          <w:szCs w:val="31"/>
        </w:rPr>
        <w:t>内容为</w:t>
      </w:r>
      <w:r>
        <w:rPr>
          <w:rFonts w:hint="eastAsia" w:ascii="FangSong_GB2312" w:hAnsi="FangSong_GB2312" w:eastAsia="FangSong_GB2312" w:cs="FangSong_GB2312"/>
          <w:spacing w:val="6"/>
          <w:sz w:val="31"/>
          <w:szCs w:val="31"/>
          <w:lang w:eastAsia="zh-CN"/>
        </w:rPr>
        <w:t>总结</w:t>
      </w:r>
      <w:r>
        <w:rPr>
          <w:rFonts w:hint="eastAsia" w:ascii="FangSong_GB2312" w:hAnsi="FangSong_GB2312" w:eastAsia="FangSong_GB2312" w:cs="FangSong_GB2312"/>
          <w:spacing w:val="6"/>
          <w:sz w:val="31"/>
          <w:szCs w:val="31"/>
          <w:lang w:val="en-US" w:eastAsia="zh-CN"/>
        </w:rPr>
        <w:t>2024年工作，研判发展形势，部署2025年工作；</w:t>
      </w:r>
    </w:p>
    <w:p w14:paraId="0E3D0974">
      <w:pPr>
        <w:pStyle w:val="19"/>
        <w:keepNext w:val="0"/>
        <w:keepLines w:val="0"/>
        <w:pageBreakBefore w:val="0"/>
        <w:kinsoku/>
        <w:wordWrap/>
        <w:overflowPunct w:val="0"/>
        <w:topLinePunct w:val="0"/>
        <w:autoSpaceDE/>
        <w:autoSpaceDN/>
        <w:bidi w:val="0"/>
        <w:snapToGrid/>
        <w:spacing w:line="520" w:lineRule="exact"/>
        <w:ind w:left="0" w:right="0" w:firstLine="644" w:firstLineChars="200"/>
        <w:jc w:val="both"/>
        <w:textAlignment w:val="auto"/>
        <w:rPr>
          <w:rFonts w:hint="eastAsia" w:ascii="FangSong_GB2312" w:hAnsi="FangSong_GB2312" w:eastAsia="FangSong_GB2312" w:cs="FangSong_GB2312"/>
          <w:spacing w:val="6"/>
          <w:sz w:val="31"/>
          <w:szCs w:val="31"/>
          <w:lang w:val="en-US" w:eastAsia="zh-CN"/>
        </w:rPr>
      </w:pPr>
      <w:r>
        <w:rPr>
          <w:rFonts w:hint="eastAsia" w:ascii="FangSong_GB2312" w:hAnsi="FangSong_GB2312" w:eastAsia="FangSong_GB2312" w:cs="FangSong_GB2312"/>
          <w:spacing w:val="6"/>
          <w:sz w:val="31"/>
          <w:szCs w:val="31"/>
          <w:lang w:val="en-US" w:eastAsia="zh-CN"/>
        </w:rPr>
        <w:t>2、2025年全省文化市场综合执法工作会，人数89人，内容为总结2024年全省文化市场综合执法工作，分析研判执法监督形势，布置2025年重点工作任务;开展文化市场综合执法业务交流；</w:t>
      </w:r>
    </w:p>
    <w:p w14:paraId="66FD4663">
      <w:pPr>
        <w:pStyle w:val="19"/>
        <w:keepNext w:val="0"/>
        <w:keepLines w:val="0"/>
        <w:pageBreakBefore w:val="0"/>
        <w:kinsoku/>
        <w:wordWrap/>
        <w:overflowPunct w:val="0"/>
        <w:topLinePunct w:val="0"/>
        <w:autoSpaceDE/>
        <w:autoSpaceDN/>
        <w:bidi w:val="0"/>
        <w:snapToGrid/>
        <w:spacing w:line="520" w:lineRule="exact"/>
        <w:ind w:left="0" w:right="0" w:firstLine="644" w:firstLineChars="200"/>
        <w:jc w:val="both"/>
        <w:textAlignment w:val="auto"/>
        <w:rPr>
          <w:rFonts w:hint="eastAsia" w:ascii="FangSong_GB2312" w:hAnsi="FangSong_GB2312" w:eastAsia="FangSong_GB2312" w:cs="FangSong_GB2312"/>
          <w:spacing w:val="6"/>
          <w:sz w:val="31"/>
          <w:szCs w:val="31"/>
          <w:lang w:val="en-US" w:eastAsia="zh-CN"/>
        </w:rPr>
      </w:pPr>
      <w:r>
        <w:rPr>
          <w:rFonts w:hint="eastAsia" w:ascii="FangSong_GB2312" w:hAnsi="FangSong_GB2312" w:eastAsia="FangSong_GB2312" w:cs="FangSong_GB2312"/>
          <w:spacing w:val="6"/>
          <w:sz w:val="31"/>
          <w:szCs w:val="31"/>
          <w:lang w:val="en-US" w:eastAsia="zh-CN"/>
        </w:rPr>
        <w:t>3、2025年全省艺术创作工作会，人数99人，推动全省艺术创作繁荣发展；</w:t>
      </w:r>
    </w:p>
    <w:p w14:paraId="0343D9EA">
      <w:pPr>
        <w:pStyle w:val="19"/>
        <w:keepNext w:val="0"/>
        <w:keepLines w:val="0"/>
        <w:pageBreakBefore w:val="0"/>
        <w:numPr>
          <w:ilvl w:val="0"/>
          <w:numId w:val="2"/>
        </w:numPr>
        <w:kinsoku/>
        <w:wordWrap/>
        <w:overflowPunct w:val="0"/>
        <w:topLinePunct w:val="0"/>
        <w:autoSpaceDE/>
        <w:autoSpaceDN/>
        <w:bidi w:val="0"/>
        <w:snapToGrid/>
        <w:spacing w:line="520" w:lineRule="exact"/>
        <w:ind w:left="0" w:right="0" w:firstLine="644" w:firstLineChars="200"/>
        <w:jc w:val="both"/>
        <w:textAlignment w:val="auto"/>
        <w:rPr>
          <w:rFonts w:hint="eastAsia" w:ascii="FangSong_GB2312" w:hAnsi="FangSong_GB2312" w:eastAsia="FangSong_GB2312" w:cs="FangSong_GB2312"/>
          <w:spacing w:val="3"/>
          <w:sz w:val="31"/>
          <w:szCs w:val="31"/>
          <w:lang w:eastAsia="zh-CN"/>
        </w:rPr>
      </w:pPr>
      <w:r>
        <w:rPr>
          <w:rFonts w:hint="eastAsia" w:ascii="FangSong_GB2312" w:hAnsi="FangSong_GB2312" w:eastAsia="FangSong_GB2312" w:cs="FangSong_GB2312"/>
          <w:spacing w:val="6"/>
          <w:sz w:val="31"/>
          <w:szCs w:val="31"/>
          <w:lang w:val="en-US" w:eastAsia="zh-CN"/>
        </w:rPr>
        <w:t>“文化和旅游统计客流大数据手机信令分析应用技术规范”湖南地方标准项目组第一次讨论会，人数18人，手机信</w:t>
      </w:r>
      <w:r>
        <w:rPr>
          <w:rFonts w:ascii="FangSong_GB2312" w:hAnsi="FangSong_GB2312" w:eastAsia="FangSong_GB2312" w:cs="FangSong_GB2312"/>
          <w:spacing w:val="3"/>
          <w:sz w:val="31"/>
          <w:szCs w:val="31"/>
        </w:rPr>
        <w:t>令大数据模型讨论会</w:t>
      </w:r>
      <w:r>
        <w:rPr>
          <w:rFonts w:hint="eastAsia" w:ascii="FangSong_GB2312" w:hAnsi="FangSong_GB2312" w:eastAsia="FangSong_GB2312" w:cs="FangSong_GB2312"/>
          <w:spacing w:val="3"/>
          <w:sz w:val="31"/>
          <w:szCs w:val="31"/>
          <w:lang w:eastAsia="zh-CN"/>
        </w:rPr>
        <w:t>；</w:t>
      </w:r>
    </w:p>
    <w:p w14:paraId="0A819029">
      <w:pPr>
        <w:pStyle w:val="19"/>
        <w:keepNext w:val="0"/>
        <w:keepLines w:val="0"/>
        <w:pageBreakBefore w:val="0"/>
        <w:numPr>
          <w:ilvl w:val="0"/>
          <w:numId w:val="2"/>
        </w:numPr>
        <w:kinsoku/>
        <w:wordWrap/>
        <w:overflowPunct w:val="0"/>
        <w:topLinePunct w:val="0"/>
        <w:autoSpaceDE/>
        <w:autoSpaceDN/>
        <w:bidi w:val="0"/>
        <w:snapToGrid/>
        <w:spacing w:line="520" w:lineRule="exact"/>
        <w:ind w:left="0" w:right="0" w:firstLine="632" w:firstLineChars="200"/>
        <w:jc w:val="both"/>
        <w:textAlignment w:val="auto"/>
        <w:rPr>
          <w:rFonts w:hint="eastAsia" w:ascii="FangSong_GB2312" w:hAnsi="FangSong_GB2312" w:eastAsia="FangSong_GB2312" w:cs="FangSong_GB2312"/>
          <w:spacing w:val="3"/>
          <w:sz w:val="31"/>
          <w:szCs w:val="31"/>
          <w:lang w:val="en-US" w:eastAsia="zh-CN"/>
        </w:rPr>
      </w:pPr>
      <w:r>
        <w:rPr>
          <w:rFonts w:hint="eastAsia" w:ascii="FangSong_GB2312" w:hAnsi="FangSong_GB2312" w:eastAsia="FangSong_GB2312" w:cs="FangSong_GB2312"/>
          <w:spacing w:val="3"/>
          <w:sz w:val="31"/>
          <w:szCs w:val="31"/>
          <w:lang w:val="en-US" w:eastAsia="zh-CN"/>
        </w:rPr>
        <w:t>第五届湖南旅游发展大会，人数64人，内容为五届湖南旅游发展大会部署办公；</w:t>
      </w:r>
    </w:p>
    <w:p w14:paraId="2D75E66E">
      <w:pPr>
        <w:pStyle w:val="19"/>
        <w:keepNext w:val="0"/>
        <w:keepLines w:val="0"/>
        <w:pageBreakBefore w:val="0"/>
        <w:numPr>
          <w:ilvl w:val="0"/>
          <w:numId w:val="2"/>
        </w:numPr>
        <w:kinsoku/>
        <w:wordWrap/>
        <w:overflowPunct w:val="0"/>
        <w:topLinePunct w:val="0"/>
        <w:autoSpaceDE/>
        <w:autoSpaceDN/>
        <w:bidi w:val="0"/>
        <w:snapToGrid/>
        <w:spacing w:line="520" w:lineRule="exact"/>
        <w:ind w:left="0" w:right="0" w:firstLine="632" w:firstLineChars="200"/>
        <w:jc w:val="both"/>
        <w:textAlignment w:val="auto"/>
        <w:rPr>
          <w:rFonts w:hint="eastAsia" w:ascii="FangSong_GB2312" w:hAnsi="FangSong_GB2312" w:eastAsia="FangSong_GB2312" w:cs="FangSong_GB2312"/>
          <w:spacing w:val="3"/>
          <w:sz w:val="31"/>
          <w:szCs w:val="31"/>
          <w:lang w:val="en-US" w:eastAsia="zh-CN"/>
        </w:rPr>
      </w:pPr>
      <w:r>
        <w:rPr>
          <w:rFonts w:hint="eastAsia" w:ascii="FangSong_GB2312" w:hAnsi="FangSong_GB2312" w:eastAsia="FangSong_GB2312" w:cs="FangSong_GB2312"/>
          <w:spacing w:val="3"/>
          <w:sz w:val="31"/>
          <w:szCs w:val="31"/>
          <w:lang w:val="en-US" w:eastAsia="zh-CN"/>
        </w:rPr>
        <w:t>入境旅游工作调度会，人数80人，内容为总结现阶段落实湖南省入境旅游推进会精神及《促进湖南入境旅游发展的十二条措施》情况;部署入境旅游下一步工作；</w:t>
      </w:r>
    </w:p>
    <w:p w14:paraId="299F7655">
      <w:pPr>
        <w:pStyle w:val="19"/>
        <w:keepNext w:val="0"/>
        <w:keepLines w:val="0"/>
        <w:pageBreakBefore w:val="0"/>
        <w:numPr>
          <w:ilvl w:val="0"/>
          <w:numId w:val="2"/>
        </w:numPr>
        <w:kinsoku/>
        <w:wordWrap/>
        <w:overflowPunct w:val="0"/>
        <w:topLinePunct w:val="0"/>
        <w:autoSpaceDE/>
        <w:autoSpaceDN/>
        <w:bidi w:val="0"/>
        <w:snapToGrid/>
        <w:spacing w:line="520" w:lineRule="exact"/>
        <w:ind w:left="0" w:right="0" w:firstLine="632" w:firstLineChars="200"/>
        <w:jc w:val="both"/>
        <w:textAlignment w:val="auto"/>
        <w:rPr>
          <w:rFonts w:hint="eastAsia" w:ascii="FangSong_GB2312" w:hAnsi="FangSong_GB2312" w:eastAsia="FangSong_GB2312" w:cs="FangSong_GB2312"/>
          <w:spacing w:val="3"/>
          <w:sz w:val="31"/>
          <w:szCs w:val="31"/>
          <w:lang w:val="en-US" w:eastAsia="zh-CN"/>
        </w:rPr>
      </w:pPr>
      <w:r>
        <w:rPr>
          <w:rFonts w:hint="eastAsia" w:ascii="FangSong_GB2312" w:hAnsi="FangSong_GB2312" w:eastAsia="FangSong_GB2312" w:cs="FangSong_GB2312"/>
          <w:spacing w:val="3"/>
          <w:sz w:val="31"/>
          <w:szCs w:val="31"/>
          <w:lang w:val="en-US" w:eastAsia="zh-CN"/>
        </w:rPr>
        <w:t>2025年度职称评审，人数158人，</w:t>
      </w:r>
      <w:r>
        <w:rPr>
          <w:rFonts w:ascii="FangSong_GB2312" w:hAnsi="FangSong_GB2312" w:eastAsia="FangSong_GB2312" w:cs="FangSong_GB2312"/>
          <w:spacing w:val="5"/>
          <w:sz w:val="31"/>
          <w:szCs w:val="31"/>
        </w:rPr>
        <w:t>内容为初中高级职称</w:t>
      </w:r>
      <w:r>
        <w:rPr>
          <w:rFonts w:ascii="FangSong_GB2312" w:hAnsi="FangSong_GB2312" w:eastAsia="FangSong_GB2312" w:cs="FangSong_GB2312"/>
          <w:spacing w:val="4"/>
          <w:sz w:val="31"/>
          <w:szCs w:val="31"/>
        </w:rPr>
        <w:t>评审等</w:t>
      </w:r>
      <w:r>
        <w:rPr>
          <w:rFonts w:hint="eastAsia" w:ascii="FangSong_GB2312" w:hAnsi="FangSong_GB2312" w:eastAsia="FangSong_GB2312" w:cs="FangSong_GB2312"/>
          <w:spacing w:val="4"/>
          <w:sz w:val="31"/>
          <w:szCs w:val="31"/>
          <w:lang w:eastAsia="zh-CN"/>
        </w:rPr>
        <w:t>；</w:t>
      </w:r>
    </w:p>
    <w:p w14:paraId="1EE9E2C5">
      <w:pPr>
        <w:pStyle w:val="19"/>
        <w:keepNext w:val="0"/>
        <w:keepLines w:val="0"/>
        <w:pageBreakBefore w:val="0"/>
        <w:numPr>
          <w:ilvl w:val="0"/>
          <w:numId w:val="2"/>
        </w:numPr>
        <w:kinsoku/>
        <w:wordWrap/>
        <w:overflowPunct w:val="0"/>
        <w:topLinePunct w:val="0"/>
        <w:autoSpaceDE/>
        <w:autoSpaceDN/>
        <w:bidi w:val="0"/>
        <w:snapToGrid/>
        <w:spacing w:line="520" w:lineRule="exact"/>
        <w:ind w:left="0" w:right="0" w:firstLine="636" w:firstLineChars="200"/>
        <w:jc w:val="both"/>
        <w:textAlignment w:val="auto"/>
        <w:rPr>
          <w:rFonts w:hint="eastAsia" w:ascii="FangSong_GB2312" w:hAnsi="FangSong_GB2312" w:eastAsia="FangSong_GB2312" w:cs="FangSong_GB2312"/>
          <w:spacing w:val="3"/>
          <w:sz w:val="31"/>
          <w:szCs w:val="31"/>
          <w:lang w:val="en-US" w:eastAsia="zh-CN"/>
        </w:rPr>
      </w:pPr>
      <w:r>
        <w:rPr>
          <w:rFonts w:hint="eastAsia" w:ascii="FangSong_GB2312" w:hAnsi="FangSong_GB2312" w:eastAsia="FangSong_GB2312" w:cs="FangSong_GB2312"/>
          <w:spacing w:val="4"/>
          <w:sz w:val="31"/>
          <w:szCs w:val="31"/>
          <w:lang w:eastAsia="zh-CN"/>
        </w:rPr>
        <w:t>全省文化和旅游公共服务提质增效会，人数</w:t>
      </w:r>
      <w:r>
        <w:rPr>
          <w:rFonts w:hint="eastAsia" w:ascii="FangSong_GB2312" w:hAnsi="FangSong_GB2312" w:eastAsia="FangSong_GB2312" w:cs="FangSong_GB2312"/>
          <w:spacing w:val="4"/>
          <w:sz w:val="31"/>
          <w:szCs w:val="31"/>
          <w:lang w:val="en-US" w:eastAsia="zh-CN"/>
        </w:rPr>
        <w:t>77人，内容为分析当前工作形势，安排部署下阶段重点工作任务，助推我省公共文化服务和旅游公共服务提质增效，高质量发展。</w:t>
      </w:r>
    </w:p>
    <w:p w14:paraId="6F0C0850">
      <w:pPr>
        <w:pStyle w:val="19"/>
        <w:keepNext w:val="0"/>
        <w:keepLines w:val="0"/>
        <w:pageBreakBefore w:val="0"/>
        <w:numPr>
          <w:ilvl w:val="0"/>
          <w:numId w:val="2"/>
        </w:numPr>
        <w:kinsoku/>
        <w:wordWrap/>
        <w:overflowPunct w:val="0"/>
        <w:topLinePunct w:val="0"/>
        <w:autoSpaceDE/>
        <w:autoSpaceDN/>
        <w:bidi w:val="0"/>
        <w:snapToGrid/>
        <w:spacing w:line="520" w:lineRule="exact"/>
        <w:ind w:left="0" w:leftChars="0" w:right="0"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召开</w:t>
      </w:r>
      <w:r>
        <w:rPr>
          <w:rFonts w:hint="eastAsia" w:ascii="Times New Roman" w:hAnsi="Times New Roman" w:eastAsia="仿宋_GB2312" w:cs="Times New Roman"/>
          <w:color w:val="auto"/>
          <w:sz w:val="32"/>
          <w:szCs w:val="32"/>
        </w:rPr>
        <w:t>全国考古出土的本土药物遗存的调查与整理学术会议</w:t>
      </w:r>
      <w:r>
        <w:rPr>
          <w:rFonts w:ascii="Times New Roman" w:hAnsi="Times New Roman" w:eastAsia="仿宋_GB2312" w:cs="Times New Roman"/>
          <w:color w:val="auto"/>
          <w:sz w:val="32"/>
          <w:szCs w:val="32"/>
        </w:rPr>
        <w:t>，人数</w:t>
      </w:r>
      <w:r>
        <w:rPr>
          <w:rFonts w:hint="eastAsia" w:ascii="Times New Roman" w:hAnsi="Times New Roman" w:eastAsia="仿宋_GB2312" w:cs="Times New Roman"/>
          <w:color w:val="auto"/>
          <w:sz w:val="32"/>
          <w:szCs w:val="32"/>
          <w:lang w:val="en-US" w:eastAsia="zh-CN"/>
        </w:rPr>
        <w:t>31</w:t>
      </w:r>
      <w:r>
        <w:rPr>
          <w:rFonts w:ascii="Times New Roman" w:hAnsi="Times New Roman" w:eastAsia="仿宋_GB2312" w:cs="Times New Roman"/>
          <w:color w:val="auto"/>
          <w:sz w:val="32"/>
          <w:szCs w:val="32"/>
        </w:rPr>
        <w:t>人，内容为</w:t>
      </w:r>
      <w:r>
        <w:rPr>
          <w:rFonts w:hint="eastAsia" w:ascii="Times New Roman" w:hAnsi="Times New Roman" w:eastAsia="仿宋_GB2312" w:cs="Times New Roman"/>
          <w:color w:val="auto"/>
          <w:sz w:val="32"/>
          <w:szCs w:val="32"/>
          <w:lang w:val="en-US" w:eastAsia="zh-CN"/>
        </w:rPr>
        <w:t>会议服务费、餐费、住宿费等</w:t>
      </w:r>
      <w:r>
        <w:rPr>
          <w:rFonts w:ascii="Times New Roman" w:hAnsi="Times New Roman" w:eastAsia="仿宋_GB2312" w:cs="Times New Roman"/>
          <w:color w:val="auto"/>
          <w:sz w:val="32"/>
          <w:szCs w:val="32"/>
        </w:rPr>
        <w:t>；</w:t>
      </w:r>
    </w:p>
    <w:p w14:paraId="2C7AF28E">
      <w:pPr>
        <w:pStyle w:val="19"/>
        <w:keepNext w:val="0"/>
        <w:keepLines w:val="0"/>
        <w:pageBreakBefore w:val="0"/>
        <w:numPr>
          <w:ilvl w:val="0"/>
          <w:numId w:val="2"/>
        </w:numPr>
        <w:kinsoku/>
        <w:wordWrap/>
        <w:overflowPunct w:val="0"/>
        <w:topLinePunct w:val="0"/>
        <w:autoSpaceDE/>
        <w:autoSpaceDN/>
        <w:bidi w:val="0"/>
        <w:snapToGrid/>
        <w:spacing w:line="520" w:lineRule="exact"/>
        <w:ind w:left="0" w:leftChars="0" w:right="0"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召开</w:t>
      </w:r>
      <w:r>
        <w:rPr>
          <w:rFonts w:hint="eastAsia" w:ascii="Times New Roman" w:hAnsi="Times New Roman" w:eastAsia="仿宋_GB2312" w:cs="Times New Roman"/>
          <w:sz w:val="32"/>
          <w:szCs w:val="32"/>
        </w:rPr>
        <w:t>全省文物局长</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rPr>
        <w:t>52</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rPr>
        <w:t>总结2024年全省文物工作、部署2025年重点工作；</w:t>
      </w:r>
    </w:p>
    <w:p w14:paraId="3A9FF9D3">
      <w:pPr>
        <w:pStyle w:val="19"/>
        <w:keepNext w:val="0"/>
        <w:keepLines w:val="0"/>
        <w:pageBreakBefore w:val="0"/>
        <w:numPr>
          <w:ilvl w:val="0"/>
          <w:numId w:val="2"/>
        </w:numPr>
        <w:kinsoku/>
        <w:wordWrap/>
        <w:overflowPunct w:val="0"/>
        <w:topLinePunct w:val="0"/>
        <w:autoSpaceDE/>
        <w:autoSpaceDN/>
        <w:bidi w:val="0"/>
        <w:snapToGrid/>
        <w:spacing w:line="520" w:lineRule="exact"/>
        <w:ind w:left="0" w:leftChars="0" w:right="0"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召开</w:t>
      </w:r>
      <w:r>
        <w:rPr>
          <w:rFonts w:hint="eastAsia" w:ascii="Times New Roman" w:hAnsi="Times New Roman" w:eastAsia="仿宋_GB2312" w:cs="Times New Roman"/>
          <w:sz w:val="32"/>
          <w:szCs w:val="32"/>
        </w:rPr>
        <w:t>2025年文物保护利用项目专家评审</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rPr>
        <w:t>16</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rPr>
        <w:t>2025年文化旅游发展专项资金（文物保护利用）项目评审</w:t>
      </w:r>
      <w:r>
        <w:rPr>
          <w:rFonts w:hint="eastAsia" w:ascii="Times New Roman" w:hAnsi="Times New Roman" w:eastAsia="仿宋_GB2312" w:cs="Times New Roman"/>
          <w:sz w:val="32"/>
          <w:szCs w:val="32"/>
          <w:lang w:eastAsia="zh-CN"/>
        </w:rPr>
        <w:t>。</w:t>
      </w:r>
    </w:p>
    <w:p w14:paraId="6233BCED">
      <w:pPr>
        <w:pStyle w:val="19"/>
        <w:keepNext w:val="0"/>
        <w:keepLines w:val="0"/>
        <w:pageBreakBefore w:val="0"/>
        <w:kinsoku/>
        <w:wordWrap/>
        <w:overflowPunct w:val="0"/>
        <w:topLinePunct w:val="0"/>
        <w:autoSpaceDE/>
        <w:autoSpaceDN/>
        <w:bidi w:val="0"/>
        <w:snapToGrid/>
        <w:spacing w:line="520" w:lineRule="exact"/>
        <w:ind w:left="0" w:right="0"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color w:val="auto"/>
          <w:sz w:val="32"/>
          <w:szCs w:val="32"/>
          <w:lang w:eastAsia="zh-CN"/>
        </w:rPr>
        <w:t>（二）</w:t>
      </w:r>
      <w:r>
        <w:rPr>
          <w:rFonts w:ascii="Times New Roman" w:hAnsi="Times New Roman" w:eastAsia="仿宋_GB2312" w:cs="Times New Roman"/>
          <w:color w:val="auto"/>
          <w:sz w:val="32"/>
          <w:szCs w:val="32"/>
        </w:rPr>
        <w:t>开支培训费</w:t>
      </w:r>
      <w:r>
        <w:rPr>
          <w:rFonts w:hint="eastAsia" w:ascii="Times New Roman" w:hAnsi="Times New Roman" w:eastAsia="仿宋_GB2312" w:cs="Times New Roman"/>
          <w:color w:val="auto"/>
          <w:sz w:val="32"/>
          <w:szCs w:val="32"/>
          <w:lang w:val="en-US" w:eastAsia="zh-CN"/>
        </w:rPr>
        <w:t>269.28</w:t>
      </w:r>
      <w:r>
        <w:rPr>
          <w:rFonts w:ascii="Times New Roman" w:hAnsi="Times New Roman" w:eastAsia="仿宋_GB2312" w:cs="Times New Roman"/>
          <w:color w:val="auto"/>
          <w:sz w:val="32"/>
          <w:szCs w:val="32"/>
        </w:rPr>
        <w:t>万元</w:t>
      </w:r>
      <w:r>
        <w:rPr>
          <w:rFonts w:ascii="Times New Roman" w:hAnsi="Times New Roman" w:eastAsia="仿宋_GB2312" w:cs="Times New Roman"/>
          <w:sz w:val="32"/>
          <w:szCs w:val="32"/>
        </w:rPr>
        <w:t>，用于开展</w:t>
      </w:r>
      <w:r>
        <w:rPr>
          <w:rFonts w:hint="eastAsia" w:ascii="Times New Roman" w:hAnsi="Times New Roman" w:eastAsia="仿宋_GB2312" w:cs="Times New Roman"/>
          <w:sz w:val="32"/>
          <w:szCs w:val="32"/>
          <w:lang w:eastAsia="zh-CN"/>
        </w:rPr>
        <w:t>以下</w:t>
      </w:r>
      <w:r>
        <w:rPr>
          <w:rFonts w:ascii="Times New Roman" w:hAnsi="Times New Roman" w:eastAsia="仿宋_GB2312" w:cs="Times New Roman"/>
          <w:sz w:val="32"/>
          <w:szCs w:val="32"/>
        </w:rPr>
        <w:t>培训</w:t>
      </w:r>
      <w:r>
        <w:rPr>
          <w:rFonts w:hint="eastAsia" w:ascii="Times New Roman" w:hAnsi="Times New Roman" w:eastAsia="仿宋_GB2312" w:cs="Times New Roman"/>
          <w:sz w:val="32"/>
          <w:szCs w:val="32"/>
          <w:lang w:eastAsia="zh-CN"/>
        </w:rPr>
        <w:t>：</w:t>
      </w:r>
    </w:p>
    <w:p w14:paraId="17D4B9D4">
      <w:pPr>
        <w:pStyle w:val="19"/>
        <w:keepNext w:val="0"/>
        <w:keepLines w:val="0"/>
        <w:pageBreakBefore w:val="0"/>
        <w:numPr>
          <w:ilvl w:val="0"/>
          <w:numId w:val="3"/>
        </w:numPr>
        <w:kinsoku/>
        <w:wordWrap/>
        <w:overflowPunct w:val="0"/>
        <w:topLinePunct w:val="0"/>
        <w:autoSpaceDE/>
        <w:autoSpaceDN/>
        <w:bidi w:val="0"/>
        <w:snapToGrid/>
        <w:spacing w:line="520" w:lineRule="exact"/>
        <w:ind w:left="0" w:right="0" w:firstLine="640" w:firstLineChars="200"/>
        <w:jc w:val="both"/>
        <w:textAlignment w:val="auto"/>
        <w:rPr>
          <w:rFonts w:hint="eastAsia" w:ascii="FangSong_GB2312" w:hAnsi="FangSong_GB2312" w:eastAsia="FangSong_GB2312" w:cs="FangSong_GB2312"/>
          <w:spacing w:val="1"/>
          <w:sz w:val="31"/>
          <w:szCs w:val="31"/>
          <w:lang w:eastAsia="zh-CN"/>
        </w:rPr>
      </w:pPr>
      <w:r>
        <w:rPr>
          <w:rFonts w:hint="eastAsia" w:ascii="Times New Roman" w:hAnsi="Times New Roman" w:eastAsia="仿宋_GB2312" w:cs="Times New Roman"/>
          <w:sz w:val="32"/>
          <w:szCs w:val="32"/>
          <w:lang w:val="en-US" w:eastAsia="zh-CN"/>
        </w:rPr>
        <w:t>用于文化和旅游人才培养，</w:t>
      </w:r>
      <w:r>
        <w:rPr>
          <w:rFonts w:ascii="FangSong_GB2312" w:hAnsi="FangSong_GB2312" w:eastAsia="FangSong_GB2312" w:cs="FangSong_GB2312"/>
          <w:spacing w:val="1"/>
          <w:sz w:val="31"/>
          <w:szCs w:val="31"/>
        </w:rPr>
        <w:t>人数</w:t>
      </w:r>
      <w:r>
        <w:rPr>
          <w:rFonts w:ascii="FangSong_GB2312" w:hAnsi="FangSong_GB2312" w:eastAsia="FangSong_GB2312" w:cs="FangSong_GB2312"/>
          <w:spacing w:val="-34"/>
          <w:sz w:val="31"/>
          <w:szCs w:val="31"/>
        </w:rPr>
        <w:t xml:space="preserve"> </w:t>
      </w:r>
      <w:r>
        <w:rPr>
          <w:rFonts w:hint="eastAsia" w:ascii="FangSong_GB2312" w:hAnsi="FangSong_GB2312" w:eastAsia="FangSong_GB2312" w:cs="FangSong_GB2312"/>
          <w:spacing w:val="-34"/>
          <w:sz w:val="31"/>
          <w:szCs w:val="31"/>
          <w:lang w:val="en-US" w:eastAsia="zh-CN"/>
        </w:rPr>
        <w:t>82</w:t>
      </w:r>
      <w:r>
        <w:rPr>
          <w:rFonts w:ascii="FangSong_GB2312" w:hAnsi="FangSong_GB2312" w:eastAsia="FangSong_GB2312" w:cs="FangSong_GB2312"/>
          <w:spacing w:val="1"/>
          <w:sz w:val="31"/>
          <w:szCs w:val="31"/>
        </w:rPr>
        <w:t>人</w:t>
      </w:r>
      <w:r>
        <w:rPr>
          <w:rFonts w:hint="eastAsia" w:ascii="FangSong_GB2312" w:hAnsi="FangSong_GB2312" w:eastAsia="FangSong_GB2312" w:cs="FangSong_GB2312"/>
          <w:spacing w:val="1"/>
          <w:sz w:val="31"/>
          <w:szCs w:val="31"/>
          <w:lang w:eastAsia="zh-CN"/>
        </w:rPr>
        <w:t>，内容为提高“三湘四水相约湖南”湖南文旅品牌影响力，不断提升全省文旅推广营销队伍的传播能力和推广水平，打造一支能讲好湖南故事、善传播湖南声音的文旅推广队伍。</w:t>
      </w:r>
    </w:p>
    <w:p w14:paraId="2C21DBA2">
      <w:pPr>
        <w:pStyle w:val="19"/>
        <w:keepNext w:val="0"/>
        <w:keepLines w:val="0"/>
        <w:pageBreakBefore w:val="0"/>
        <w:numPr>
          <w:ilvl w:val="0"/>
          <w:numId w:val="3"/>
        </w:numPr>
        <w:kinsoku/>
        <w:wordWrap/>
        <w:overflowPunct w:val="0"/>
        <w:topLinePunct w:val="0"/>
        <w:autoSpaceDE/>
        <w:autoSpaceDN/>
        <w:bidi w:val="0"/>
        <w:snapToGrid/>
        <w:spacing w:line="520" w:lineRule="exact"/>
        <w:ind w:left="0" w:right="0" w:firstLine="624" w:firstLineChars="200"/>
        <w:jc w:val="both"/>
        <w:textAlignment w:val="auto"/>
        <w:rPr>
          <w:rFonts w:hint="eastAsia" w:ascii="FangSong_GB2312" w:hAnsi="FangSong_GB2312" w:eastAsia="FangSong_GB2312" w:cs="FangSong_GB2312"/>
          <w:spacing w:val="1"/>
          <w:sz w:val="31"/>
          <w:szCs w:val="31"/>
          <w:lang w:val="en-US" w:eastAsia="zh-CN"/>
        </w:rPr>
      </w:pPr>
      <w:r>
        <w:rPr>
          <w:rFonts w:hint="eastAsia" w:ascii="FangSong_GB2312" w:hAnsi="FangSong_GB2312" w:eastAsia="FangSong_GB2312" w:cs="FangSong_GB2312"/>
          <w:spacing w:val="1"/>
          <w:sz w:val="31"/>
          <w:szCs w:val="31"/>
          <w:lang w:val="en-US" w:eastAsia="zh-CN"/>
        </w:rPr>
        <w:t>加强文物保护利用专题培训班，人数77人，内容为《关于加强全省文物保护利用的意见》，围绕推进文物保护利用大工程”实施见效、提升部门协同水平、促进全省文物事业</w:t>
      </w:r>
      <w:r>
        <w:rPr>
          <w:rFonts w:hint="eastAsia" w:ascii="FangSong_GB2312" w:hAnsi="FangSong_GB2312" w:eastAsia="FangSong_GB2312" w:cs="FangSong_GB2312"/>
          <w:spacing w:val="1"/>
          <w:sz w:val="31"/>
          <w:szCs w:val="31"/>
          <w:lang w:val="en-US" w:eastAsia="zh-CN"/>
        </w:rPr>
        <w:tab/>
      </w:r>
      <w:r>
        <w:rPr>
          <w:rFonts w:hint="eastAsia" w:ascii="FangSong_GB2312" w:hAnsi="FangSong_GB2312" w:eastAsia="FangSong_GB2312" w:cs="FangSong_GB2312"/>
          <w:spacing w:val="1"/>
          <w:sz w:val="31"/>
          <w:szCs w:val="31"/>
          <w:lang w:val="en-US" w:eastAsia="zh-CN"/>
        </w:rPr>
        <w:t>高质量发展开展培训。</w:t>
      </w:r>
    </w:p>
    <w:p w14:paraId="696A4A5F">
      <w:pPr>
        <w:pStyle w:val="19"/>
        <w:keepNext w:val="0"/>
        <w:keepLines w:val="0"/>
        <w:pageBreakBefore w:val="0"/>
        <w:numPr>
          <w:ilvl w:val="0"/>
          <w:numId w:val="3"/>
        </w:numPr>
        <w:kinsoku/>
        <w:wordWrap/>
        <w:overflowPunct w:val="0"/>
        <w:topLinePunct w:val="0"/>
        <w:autoSpaceDE/>
        <w:autoSpaceDN/>
        <w:bidi w:val="0"/>
        <w:snapToGrid/>
        <w:spacing w:line="520" w:lineRule="exact"/>
        <w:ind w:left="0" w:right="0" w:firstLine="624" w:firstLineChars="200"/>
        <w:jc w:val="both"/>
        <w:textAlignment w:val="auto"/>
        <w:rPr>
          <w:rFonts w:hint="eastAsia" w:ascii="FangSong_GB2312" w:hAnsi="FangSong_GB2312" w:eastAsia="FangSong_GB2312" w:cs="FangSong_GB2312"/>
          <w:spacing w:val="1"/>
          <w:sz w:val="31"/>
          <w:szCs w:val="31"/>
          <w:lang w:val="en-US" w:eastAsia="zh-CN"/>
        </w:rPr>
      </w:pPr>
      <w:r>
        <w:rPr>
          <w:rFonts w:hint="eastAsia" w:ascii="FangSong_GB2312" w:hAnsi="FangSong_GB2312" w:eastAsia="FangSong_GB2312" w:cs="FangSong_GB2312"/>
          <w:spacing w:val="1"/>
          <w:sz w:val="31"/>
          <w:szCs w:val="31"/>
          <w:lang w:val="en-US" w:eastAsia="zh-CN"/>
        </w:rPr>
        <w:t>2025年全省旅游服务质量（投诉）提升培训，人数64人，内容为旅游舆情处置预防与政策研究;新媒体语境下的文旅舆情应对;旅游投诉云端调解系统运用讲解;如何有效提高调解成功率;市州多元化解旅游纠纷经验分享;旅游企业售后经验分享。</w:t>
      </w:r>
    </w:p>
    <w:p w14:paraId="107F7AC9">
      <w:pPr>
        <w:pStyle w:val="19"/>
        <w:keepNext w:val="0"/>
        <w:keepLines w:val="0"/>
        <w:pageBreakBefore w:val="0"/>
        <w:numPr>
          <w:ilvl w:val="0"/>
          <w:numId w:val="3"/>
        </w:numPr>
        <w:kinsoku/>
        <w:wordWrap/>
        <w:overflowPunct w:val="0"/>
        <w:topLinePunct w:val="0"/>
        <w:autoSpaceDE/>
        <w:autoSpaceDN/>
        <w:bidi w:val="0"/>
        <w:snapToGrid/>
        <w:spacing w:line="520" w:lineRule="exact"/>
        <w:ind w:left="0" w:right="0" w:firstLine="624" w:firstLineChars="200"/>
        <w:jc w:val="both"/>
        <w:textAlignment w:val="auto"/>
        <w:rPr>
          <w:rFonts w:hint="eastAsia" w:ascii="FangSong_GB2312" w:hAnsi="FangSong_GB2312" w:eastAsia="FangSong_GB2312" w:cs="FangSong_GB2312"/>
          <w:spacing w:val="1"/>
          <w:sz w:val="31"/>
          <w:szCs w:val="31"/>
          <w:lang w:val="en-US" w:eastAsia="zh-CN"/>
        </w:rPr>
      </w:pPr>
      <w:r>
        <w:rPr>
          <w:rFonts w:hint="eastAsia" w:ascii="FangSong_GB2312" w:hAnsi="FangSong_GB2312" w:eastAsia="FangSong_GB2312" w:cs="FangSong_GB2312"/>
          <w:spacing w:val="1"/>
          <w:sz w:val="31"/>
          <w:szCs w:val="31"/>
          <w:lang w:val="en-US" w:eastAsia="zh-CN"/>
        </w:rPr>
        <w:t>2025年湖南文旅产业干部素质能力提升培训，人数48人，内容为主要学习文旅产业政策、研讨文旅产业培育与发展、文旅产</w:t>
      </w:r>
      <w:r>
        <w:rPr>
          <w:rFonts w:hint="eastAsia" w:ascii="FangSong_GB2312" w:hAnsi="FangSong_GB2312" w:eastAsia="FangSong_GB2312" w:cs="FangSong_GB2312"/>
          <w:spacing w:val="1"/>
          <w:sz w:val="31"/>
          <w:szCs w:val="31"/>
          <w:lang w:val="en-US" w:eastAsia="zh-CN"/>
        </w:rPr>
        <w:tab/>
      </w:r>
      <w:r>
        <w:rPr>
          <w:rFonts w:hint="eastAsia" w:ascii="FangSong_GB2312" w:hAnsi="FangSong_GB2312" w:eastAsia="FangSong_GB2312" w:cs="FangSong_GB2312"/>
          <w:spacing w:val="1"/>
          <w:sz w:val="31"/>
          <w:szCs w:val="31"/>
          <w:lang w:val="en-US" w:eastAsia="zh-CN"/>
        </w:rPr>
        <w:t>业赋能乡村振兴等。</w:t>
      </w:r>
    </w:p>
    <w:p w14:paraId="43D47A6D">
      <w:pPr>
        <w:pStyle w:val="19"/>
        <w:keepNext w:val="0"/>
        <w:keepLines w:val="0"/>
        <w:pageBreakBefore w:val="0"/>
        <w:numPr>
          <w:ilvl w:val="0"/>
          <w:numId w:val="3"/>
        </w:numPr>
        <w:kinsoku/>
        <w:wordWrap/>
        <w:overflowPunct w:val="0"/>
        <w:topLinePunct w:val="0"/>
        <w:autoSpaceDE/>
        <w:autoSpaceDN/>
        <w:bidi w:val="0"/>
        <w:snapToGrid/>
        <w:spacing w:line="520" w:lineRule="exact"/>
        <w:ind w:left="0" w:right="0" w:firstLine="624" w:firstLineChars="200"/>
        <w:jc w:val="both"/>
        <w:textAlignment w:val="auto"/>
        <w:rPr>
          <w:rFonts w:hint="eastAsia" w:ascii="FangSong_GB2312" w:hAnsi="FangSong_GB2312" w:eastAsia="FangSong_GB2312" w:cs="FangSong_GB2312"/>
          <w:spacing w:val="1"/>
          <w:sz w:val="31"/>
          <w:szCs w:val="31"/>
          <w:lang w:val="en-US" w:eastAsia="zh-CN"/>
        </w:rPr>
      </w:pPr>
      <w:r>
        <w:rPr>
          <w:rFonts w:hint="eastAsia" w:ascii="FangSong_GB2312" w:hAnsi="FangSong_GB2312" w:eastAsia="FangSong_GB2312" w:cs="FangSong_GB2312"/>
          <w:spacing w:val="1"/>
          <w:sz w:val="31"/>
          <w:szCs w:val="31"/>
          <w:lang w:val="en-US" w:eastAsia="zh-CN"/>
        </w:rPr>
        <w:t>2025年全省旅游市场执法工作培训，人数55人，内容为用良法善治服务文旅市场;在线旅游执法实务;旅游执法实务探析;行政执法案卷评查常见问题解析与执法规范化建设。</w:t>
      </w:r>
    </w:p>
    <w:p w14:paraId="42662754">
      <w:pPr>
        <w:pStyle w:val="19"/>
        <w:keepNext w:val="0"/>
        <w:keepLines w:val="0"/>
        <w:pageBreakBefore w:val="0"/>
        <w:numPr>
          <w:ilvl w:val="0"/>
          <w:numId w:val="3"/>
        </w:numPr>
        <w:kinsoku/>
        <w:wordWrap/>
        <w:overflowPunct w:val="0"/>
        <w:topLinePunct w:val="0"/>
        <w:autoSpaceDE/>
        <w:autoSpaceDN/>
        <w:bidi w:val="0"/>
        <w:snapToGrid/>
        <w:spacing w:line="520" w:lineRule="exact"/>
        <w:ind w:left="0" w:right="0" w:firstLine="624" w:firstLineChars="200"/>
        <w:jc w:val="both"/>
        <w:textAlignment w:val="auto"/>
        <w:rPr>
          <w:rFonts w:hint="eastAsia" w:ascii="FangSong_GB2312" w:hAnsi="FangSong_GB2312" w:eastAsia="FangSong_GB2312" w:cs="FangSong_GB2312"/>
          <w:spacing w:val="1"/>
          <w:sz w:val="31"/>
          <w:szCs w:val="31"/>
          <w:lang w:val="en-US" w:eastAsia="zh-CN"/>
        </w:rPr>
      </w:pPr>
      <w:r>
        <w:rPr>
          <w:rFonts w:hint="eastAsia" w:ascii="FangSong_GB2312" w:hAnsi="FangSong_GB2312" w:eastAsia="FangSong_GB2312" w:cs="FangSong_GB2312"/>
          <w:spacing w:val="1"/>
          <w:sz w:val="31"/>
          <w:szCs w:val="31"/>
          <w:lang w:val="en-US" w:eastAsia="zh-CN"/>
        </w:rPr>
        <w:t>全省文化文物和旅游统计业务培训，人数88人，内容为总结2025年文化文物和旅游统计工作，部署和安排2026年文化文物和旅游统计工作，开展文化文物和旅游统计业务培训。</w:t>
      </w:r>
    </w:p>
    <w:p w14:paraId="00FF0579">
      <w:pPr>
        <w:pStyle w:val="19"/>
        <w:keepNext w:val="0"/>
        <w:keepLines w:val="0"/>
        <w:pageBreakBefore w:val="0"/>
        <w:numPr>
          <w:ilvl w:val="0"/>
          <w:numId w:val="3"/>
        </w:numPr>
        <w:kinsoku/>
        <w:wordWrap/>
        <w:overflowPunct w:val="0"/>
        <w:topLinePunct w:val="0"/>
        <w:autoSpaceDE/>
        <w:autoSpaceDN/>
        <w:bidi w:val="0"/>
        <w:snapToGrid/>
        <w:spacing w:line="520" w:lineRule="exact"/>
        <w:ind w:left="0" w:right="0" w:firstLine="624" w:firstLineChars="200"/>
        <w:jc w:val="both"/>
        <w:textAlignment w:val="auto"/>
        <w:rPr>
          <w:rFonts w:hint="eastAsia" w:ascii="FangSong_GB2312" w:hAnsi="FangSong_GB2312" w:eastAsia="FangSong_GB2312" w:cs="FangSong_GB2312"/>
          <w:spacing w:val="1"/>
          <w:sz w:val="31"/>
          <w:szCs w:val="31"/>
          <w:lang w:val="en-US" w:eastAsia="zh-CN"/>
        </w:rPr>
      </w:pPr>
      <w:r>
        <w:rPr>
          <w:rFonts w:hint="eastAsia" w:ascii="FangSong_GB2312" w:hAnsi="FangSong_GB2312" w:eastAsia="FangSong_GB2312" w:cs="FangSong_GB2312"/>
          <w:spacing w:val="1"/>
          <w:sz w:val="31"/>
          <w:szCs w:val="31"/>
          <w:lang w:val="en-US" w:eastAsia="zh-CN"/>
        </w:rPr>
        <w:t>2025年全省文旅系统青年创新人才培训，人数42人， 内容为通过专题授课、案例教学、现场教学、研讨交流等多种教学方式相结合开展培训，提升青年人才在规划编制、业态创新、科技应用、成果转化等方面的能力，为推进文化和旅游高质量发展提供人才支撑。</w:t>
      </w:r>
    </w:p>
    <w:p w14:paraId="7F445659">
      <w:pPr>
        <w:pStyle w:val="19"/>
        <w:keepNext w:val="0"/>
        <w:keepLines w:val="0"/>
        <w:pageBreakBefore w:val="0"/>
        <w:numPr>
          <w:ilvl w:val="0"/>
          <w:numId w:val="3"/>
        </w:numPr>
        <w:kinsoku/>
        <w:wordWrap/>
        <w:overflowPunct w:val="0"/>
        <w:topLinePunct w:val="0"/>
        <w:autoSpaceDE/>
        <w:autoSpaceDN/>
        <w:bidi w:val="0"/>
        <w:snapToGrid/>
        <w:spacing w:line="520" w:lineRule="exact"/>
        <w:ind w:left="0" w:right="0" w:firstLine="624" w:firstLineChars="200"/>
        <w:jc w:val="both"/>
        <w:textAlignment w:val="auto"/>
        <w:rPr>
          <w:rFonts w:hint="eastAsia" w:ascii="FangSong_GB2312" w:hAnsi="FangSong_GB2312" w:eastAsia="FangSong_GB2312" w:cs="FangSong_GB2312"/>
          <w:spacing w:val="1"/>
          <w:sz w:val="31"/>
          <w:szCs w:val="31"/>
          <w:lang w:val="en-US" w:eastAsia="zh-CN"/>
        </w:rPr>
      </w:pPr>
      <w:r>
        <w:rPr>
          <w:rFonts w:hint="eastAsia" w:ascii="FangSong_GB2312" w:hAnsi="FangSong_GB2312" w:eastAsia="FangSong_GB2312" w:cs="FangSong_GB2312"/>
          <w:spacing w:val="1"/>
          <w:sz w:val="31"/>
          <w:szCs w:val="31"/>
          <w:lang w:val="en-US" w:eastAsia="zh-CN"/>
        </w:rPr>
        <w:t>2025年全省新文旅大展研修培训，人数62人，内容为本研修班课程聚焦博物馆数字化、文旅科技融合、沉浸式场景开发等新文旅前沿领域，探索非遗数字化路径，同时关注乡村数字文旅生态、科幻文旅跨界方向，剖析文化价值转化与场景升级，通过专题讲座、交流研讨、现场教学等形式提升学员的管理水平和业务能力。</w:t>
      </w:r>
    </w:p>
    <w:p w14:paraId="03957163">
      <w:pPr>
        <w:pStyle w:val="19"/>
        <w:keepNext w:val="0"/>
        <w:keepLines w:val="0"/>
        <w:pageBreakBefore w:val="0"/>
        <w:numPr>
          <w:ilvl w:val="0"/>
          <w:numId w:val="3"/>
        </w:numPr>
        <w:kinsoku/>
        <w:wordWrap/>
        <w:overflowPunct w:val="0"/>
        <w:topLinePunct w:val="0"/>
        <w:autoSpaceDE/>
        <w:autoSpaceDN/>
        <w:bidi w:val="0"/>
        <w:snapToGrid/>
        <w:spacing w:line="520" w:lineRule="exact"/>
        <w:ind w:left="0" w:right="0" w:firstLine="624" w:firstLineChars="200"/>
        <w:jc w:val="both"/>
        <w:textAlignment w:val="auto"/>
        <w:rPr>
          <w:rFonts w:hint="eastAsia" w:ascii="FangSong_GB2312" w:hAnsi="FangSong_GB2312" w:eastAsia="FangSong_GB2312" w:cs="FangSong_GB2312"/>
          <w:spacing w:val="1"/>
          <w:sz w:val="31"/>
          <w:szCs w:val="31"/>
          <w:lang w:val="en-US" w:eastAsia="zh-CN"/>
        </w:rPr>
      </w:pPr>
      <w:r>
        <w:rPr>
          <w:rFonts w:hint="eastAsia" w:ascii="FangSong_GB2312" w:hAnsi="FangSong_GB2312" w:eastAsia="FangSong_GB2312" w:cs="FangSong_GB2312"/>
          <w:spacing w:val="1"/>
          <w:sz w:val="31"/>
          <w:szCs w:val="31"/>
          <w:lang w:val="en-US" w:eastAsia="zh-CN"/>
        </w:rPr>
        <w:t>开展省级文化强省发展专项培训，人数4人，内容为学员差旅、住宿、就餐等；</w:t>
      </w:r>
    </w:p>
    <w:p w14:paraId="7BEF7177">
      <w:pPr>
        <w:pStyle w:val="19"/>
        <w:keepNext w:val="0"/>
        <w:keepLines w:val="0"/>
        <w:pageBreakBefore w:val="0"/>
        <w:numPr>
          <w:ilvl w:val="0"/>
          <w:numId w:val="3"/>
        </w:numPr>
        <w:kinsoku/>
        <w:wordWrap/>
        <w:overflowPunct w:val="0"/>
        <w:topLinePunct w:val="0"/>
        <w:autoSpaceDE/>
        <w:autoSpaceDN/>
        <w:bidi w:val="0"/>
        <w:snapToGrid/>
        <w:spacing w:line="520" w:lineRule="exact"/>
        <w:ind w:left="0" w:right="0" w:firstLine="624" w:firstLineChars="200"/>
        <w:jc w:val="both"/>
        <w:textAlignment w:val="auto"/>
        <w:rPr>
          <w:rFonts w:hint="eastAsia" w:ascii="FangSong_GB2312" w:hAnsi="FangSong_GB2312" w:eastAsia="FangSong_GB2312" w:cs="FangSong_GB2312"/>
          <w:spacing w:val="1"/>
          <w:sz w:val="31"/>
          <w:szCs w:val="31"/>
          <w:lang w:val="en-US" w:eastAsia="zh-CN"/>
        </w:rPr>
      </w:pPr>
      <w:r>
        <w:rPr>
          <w:rFonts w:hint="eastAsia" w:ascii="FangSong_GB2312" w:hAnsi="FangSong_GB2312" w:eastAsia="FangSong_GB2312" w:cs="FangSong_GB2312"/>
          <w:spacing w:val="1"/>
          <w:sz w:val="31"/>
          <w:szCs w:val="31"/>
          <w:lang w:val="en-US" w:eastAsia="zh-CN"/>
        </w:rPr>
        <w:t>开展省级文化强省发展专项培训，人数6人，内容为学员住宿、就餐，老师住宿、就餐等；</w:t>
      </w:r>
    </w:p>
    <w:p w14:paraId="1E3473CA">
      <w:pPr>
        <w:pStyle w:val="19"/>
        <w:keepNext w:val="0"/>
        <w:keepLines w:val="0"/>
        <w:pageBreakBefore w:val="0"/>
        <w:numPr>
          <w:ilvl w:val="0"/>
          <w:numId w:val="3"/>
        </w:numPr>
        <w:kinsoku/>
        <w:wordWrap/>
        <w:overflowPunct w:val="0"/>
        <w:topLinePunct w:val="0"/>
        <w:autoSpaceDE/>
        <w:autoSpaceDN/>
        <w:bidi w:val="0"/>
        <w:snapToGrid/>
        <w:spacing w:line="520" w:lineRule="exact"/>
        <w:ind w:left="0" w:right="0" w:firstLine="624" w:firstLineChars="200"/>
        <w:jc w:val="both"/>
        <w:textAlignment w:val="auto"/>
        <w:rPr>
          <w:rFonts w:hint="eastAsia" w:ascii="FangSong_GB2312" w:hAnsi="FangSong_GB2312" w:eastAsia="FangSong_GB2312" w:cs="FangSong_GB2312"/>
          <w:spacing w:val="1"/>
          <w:sz w:val="31"/>
          <w:szCs w:val="31"/>
          <w:lang w:val="en-US" w:eastAsia="zh-CN"/>
        </w:rPr>
      </w:pPr>
      <w:r>
        <w:rPr>
          <w:rFonts w:hint="eastAsia" w:ascii="FangSong_GB2312" w:hAnsi="FangSong_GB2312" w:eastAsia="FangSong_GB2312" w:cs="FangSong_GB2312"/>
          <w:spacing w:val="1"/>
          <w:sz w:val="31"/>
          <w:szCs w:val="31"/>
          <w:lang w:val="en-US" w:eastAsia="zh-CN"/>
        </w:rPr>
        <w:t>开展2025年陶瓷类文物鉴定培训班，人数41人，内容为大巴、会议服务、食堂就餐；</w:t>
      </w:r>
    </w:p>
    <w:p w14:paraId="71D02BAB">
      <w:pPr>
        <w:pStyle w:val="19"/>
        <w:keepNext w:val="0"/>
        <w:keepLines w:val="0"/>
        <w:pageBreakBefore w:val="0"/>
        <w:numPr>
          <w:ilvl w:val="0"/>
          <w:numId w:val="3"/>
        </w:numPr>
        <w:kinsoku/>
        <w:wordWrap/>
        <w:overflowPunct w:val="0"/>
        <w:topLinePunct w:val="0"/>
        <w:autoSpaceDE/>
        <w:autoSpaceDN/>
        <w:bidi w:val="0"/>
        <w:snapToGrid/>
        <w:spacing w:line="520" w:lineRule="exact"/>
        <w:ind w:left="0" w:right="0" w:firstLine="624" w:firstLineChars="200"/>
        <w:jc w:val="both"/>
        <w:textAlignment w:val="auto"/>
        <w:rPr>
          <w:rFonts w:hint="eastAsia" w:ascii="FangSong_GB2312" w:hAnsi="FangSong_GB2312" w:eastAsia="FangSong_GB2312" w:cs="FangSong_GB2312"/>
          <w:spacing w:val="1"/>
          <w:sz w:val="31"/>
          <w:szCs w:val="31"/>
          <w:lang w:val="en-US" w:eastAsia="zh-CN"/>
        </w:rPr>
      </w:pPr>
      <w:r>
        <w:rPr>
          <w:rFonts w:hint="eastAsia" w:ascii="FangSong_GB2312" w:hAnsi="FangSong_GB2312" w:eastAsia="FangSong_GB2312" w:cs="FangSong_GB2312"/>
          <w:spacing w:val="1"/>
          <w:sz w:val="31"/>
          <w:szCs w:val="31"/>
          <w:lang w:val="en-US" w:eastAsia="zh-CN"/>
        </w:rPr>
        <w:t>开展2025年度策展人培训班，人数67人，内容为讲师交通费、学员住宿、食堂就餐；</w:t>
      </w:r>
    </w:p>
    <w:p w14:paraId="021EDB11">
      <w:pPr>
        <w:pStyle w:val="19"/>
        <w:keepNext w:val="0"/>
        <w:keepLines w:val="0"/>
        <w:pageBreakBefore w:val="0"/>
        <w:numPr>
          <w:ilvl w:val="0"/>
          <w:numId w:val="3"/>
        </w:numPr>
        <w:kinsoku/>
        <w:wordWrap/>
        <w:overflowPunct w:val="0"/>
        <w:topLinePunct w:val="0"/>
        <w:autoSpaceDE/>
        <w:autoSpaceDN/>
        <w:bidi w:val="0"/>
        <w:snapToGrid/>
        <w:spacing w:line="520" w:lineRule="exact"/>
        <w:ind w:left="0" w:right="0" w:firstLine="624" w:firstLineChars="200"/>
        <w:jc w:val="both"/>
        <w:textAlignment w:val="auto"/>
        <w:rPr>
          <w:rFonts w:hint="eastAsia" w:ascii="FangSong_GB2312" w:hAnsi="FangSong_GB2312" w:eastAsia="FangSong_GB2312" w:cs="FangSong_GB2312"/>
          <w:spacing w:val="1"/>
          <w:sz w:val="31"/>
          <w:szCs w:val="31"/>
          <w:lang w:val="en-US" w:eastAsia="zh-CN"/>
        </w:rPr>
      </w:pPr>
      <w:r>
        <w:rPr>
          <w:rFonts w:hint="eastAsia" w:ascii="FangSong_GB2312" w:hAnsi="FangSong_GB2312" w:eastAsia="FangSong_GB2312" w:cs="FangSong_GB2312"/>
          <w:spacing w:val="1"/>
          <w:sz w:val="31"/>
          <w:szCs w:val="31"/>
          <w:lang w:val="en-US" w:eastAsia="zh-CN"/>
        </w:rPr>
        <w:t>开展2024年度国家文物局文物鉴定人员实习实训基地杂项类培训班，人数约50人，内容为餐费、住宿费；</w:t>
      </w:r>
    </w:p>
    <w:p w14:paraId="3352BD5C">
      <w:pPr>
        <w:pStyle w:val="19"/>
        <w:keepNext w:val="0"/>
        <w:keepLines w:val="0"/>
        <w:pageBreakBefore w:val="0"/>
        <w:numPr>
          <w:ilvl w:val="0"/>
          <w:numId w:val="3"/>
        </w:numPr>
        <w:kinsoku/>
        <w:wordWrap/>
        <w:overflowPunct w:val="0"/>
        <w:topLinePunct w:val="0"/>
        <w:autoSpaceDE/>
        <w:autoSpaceDN/>
        <w:bidi w:val="0"/>
        <w:snapToGrid/>
        <w:spacing w:line="520" w:lineRule="exact"/>
        <w:ind w:left="0" w:right="0" w:firstLine="624" w:firstLineChars="200"/>
        <w:jc w:val="both"/>
        <w:textAlignment w:val="auto"/>
        <w:rPr>
          <w:rFonts w:hint="eastAsia" w:ascii="FangSong_GB2312" w:hAnsi="FangSong_GB2312" w:eastAsia="FangSong_GB2312" w:cs="FangSong_GB2312"/>
          <w:spacing w:val="1"/>
          <w:sz w:val="31"/>
          <w:szCs w:val="31"/>
          <w:lang w:val="en-US" w:eastAsia="zh-CN"/>
        </w:rPr>
      </w:pPr>
      <w:r>
        <w:rPr>
          <w:rFonts w:hint="eastAsia" w:ascii="FangSong_GB2312" w:hAnsi="FangSong_GB2312" w:eastAsia="FangSong_GB2312" w:cs="FangSong_GB2312"/>
          <w:spacing w:val="1"/>
          <w:sz w:val="31"/>
          <w:szCs w:val="31"/>
          <w:lang w:val="en-US" w:eastAsia="zh-CN"/>
        </w:rPr>
        <w:t>开展单位内部人员的培养、继续教育等，人数约145人，内容为讲师劳务费、培训差旅费、继续教育费用等；</w:t>
      </w:r>
    </w:p>
    <w:p w14:paraId="45005260">
      <w:pPr>
        <w:pStyle w:val="19"/>
        <w:keepNext w:val="0"/>
        <w:keepLines w:val="0"/>
        <w:pageBreakBefore w:val="0"/>
        <w:numPr>
          <w:ilvl w:val="0"/>
          <w:numId w:val="3"/>
        </w:numPr>
        <w:kinsoku/>
        <w:wordWrap/>
        <w:overflowPunct w:val="0"/>
        <w:topLinePunct w:val="0"/>
        <w:autoSpaceDE/>
        <w:autoSpaceDN/>
        <w:bidi w:val="0"/>
        <w:snapToGrid/>
        <w:spacing w:line="520" w:lineRule="exact"/>
        <w:ind w:left="0" w:right="0" w:firstLine="624" w:firstLineChars="200"/>
        <w:jc w:val="both"/>
        <w:textAlignment w:val="auto"/>
        <w:rPr>
          <w:rFonts w:hint="eastAsia" w:ascii="FangSong_GB2312" w:hAnsi="FangSong_GB2312" w:eastAsia="FangSong_GB2312" w:cs="FangSong_GB2312"/>
          <w:spacing w:val="1"/>
          <w:sz w:val="31"/>
          <w:szCs w:val="31"/>
          <w:lang w:val="en-US" w:eastAsia="zh-CN"/>
        </w:rPr>
      </w:pPr>
      <w:r>
        <w:rPr>
          <w:rFonts w:hint="eastAsia" w:ascii="FangSong_GB2312" w:hAnsi="FangSong_GB2312" w:eastAsia="FangSong_GB2312" w:cs="FangSong_GB2312"/>
          <w:spacing w:val="1"/>
          <w:sz w:val="31"/>
          <w:szCs w:val="31"/>
          <w:lang w:val="en-US" w:eastAsia="zh-CN"/>
        </w:rPr>
        <w:t>开展演员、作曲、配器骨干班培训，人数 40 人，内容为采取专家授课、实操考核方式进行，提升学员在花鼓戏专业领域的理论素养与专业能力；</w:t>
      </w:r>
    </w:p>
    <w:p w14:paraId="01077A15">
      <w:pPr>
        <w:pStyle w:val="19"/>
        <w:keepNext w:val="0"/>
        <w:keepLines w:val="0"/>
        <w:pageBreakBefore w:val="0"/>
        <w:numPr>
          <w:ilvl w:val="0"/>
          <w:numId w:val="3"/>
        </w:numPr>
        <w:kinsoku/>
        <w:wordWrap/>
        <w:overflowPunct w:val="0"/>
        <w:topLinePunct w:val="0"/>
        <w:autoSpaceDE/>
        <w:autoSpaceDN/>
        <w:bidi w:val="0"/>
        <w:snapToGrid/>
        <w:spacing w:line="520" w:lineRule="exact"/>
        <w:ind w:left="0" w:right="0" w:firstLine="624" w:firstLineChars="200"/>
        <w:jc w:val="both"/>
        <w:textAlignment w:val="auto"/>
        <w:rPr>
          <w:rFonts w:hint="eastAsia" w:ascii="FangSong_GB2312" w:hAnsi="FangSong_GB2312" w:eastAsia="FangSong_GB2312" w:cs="FangSong_GB2312"/>
          <w:spacing w:val="1"/>
          <w:sz w:val="31"/>
          <w:szCs w:val="31"/>
          <w:lang w:val="en-US" w:eastAsia="zh-CN"/>
        </w:rPr>
      </w:pPr>
      <w:r>
        <w:rPr>
          <w:rFonts w:hint="eastAsia" w:ascii="FangSong_GB2312" w:hAnsi="FangSong_GB2312" w:eastAsia="FangSong_GB2312" w:cs="FangSong_GB2312"/>
          <w:spacing w:val="1"/>
          <w:sz w:val="31"/>
          <w:szCs w:val="31"/>
          <w:lang w:val="en-US" w:eastAsia="zh-CN"/>
        </w:rPr>
        <w:t>开展事业单位工作人员线上培训，人数82人，内容为事业单位人员线上培训；</w:t>
      </w:r>
    </w:p>
    <w:p w14:paraId="0BB750FD">
      <w:pPr>
        <w:pStyle w:val="19"/>
        <w:keepNext w:val="0"/>
        <w:keepLines w:val="0"/>
        <w:pageBreakBefore w:val="0"/>
        <w:numPr>
          <w:ilvl w:val="0"/>
          <w:numId w:val="3"/>
        </w:numPr>
        <w:kinsoku/>
        <w:wordWrap/>
        <w:overflowPunct w:val="0"/>
        <w:topLinePunct w:val="0"/>
        <w:autoSpaceDE/>
        <w:autoSpaceDN/>
        <w:bidi w:val="0"/>
        <w:snapToGrid/>
        <w:spacing w:line="520" w:lineRule="exact"/>
        <w:ind w:left="0" w:right="0" w:firstLine="624" w:firstLineChars="200"/>
        <w:jc w:val="both"/>
        <w:textAlignment w:val="auto"/>
        <w:rPr>
          <w:rFonts w:hint="eastAsia" w:ascii="FangSong_GB2312" w:hAnsi="FangSong_GB2312" w:eastAsia="FangSong_GB2312" w:cs="FangSong_GB2312"/>
          <w:spacing w:val="1"/>
          <w:sz w:val="31"/>
          <w:szCs w:val="31"/>
          <w:lang w:val="en-US" w:eastAsia="zh-CN"/>
        </w:rPr>
      </w:pPr>
      <w:r>
        <w:rPr>
          <w:rFonts w:hint="eastAsia" w:ascii="FangSong_GB2312" w:hAnsi="FangSong_GB2312" w:eastAsia="FangSong_GB2312" w:cs="FangSong_GB2312"/>
          <w:spacing w:val="1"/>
          <w:sz w:val="31"/>
          <w:szCs w:val="31"/>
          <w:lang w:val="en-US" w:eastAsia="zh-CN"/>
        </w:rPr>
        <w:t>开展2025年全省文化（群艺）馆馆长培训班，2025年新招聘元培训，2025年职工继续教育培训培训；</w:t>
      </w:r>
    </w:p>
    <w:p w14:paraId="6ECA91CE">
      <w:pPr>
        <w:pStyle w:val="19"/>
        <w:keepNext w:val="0"/>
        <w:keepLines w:val="0"/>
        <w:pageBreakBefore w:val="0"/>
        <w:numPr>
          <w:ilvl w:val="0"/>
          <w:numId w:val="3"/>
        </w:numPr>
        <w:kinsoku/>
        <w:wordWrap/>
        <w:overflowPunct w:val="0"/>
        <w:topLinePunct w:val="0"/>
        <w:autoSpaceDE/>
        <w:autoSpaceDN/>
        <w:bidi w:val="0"/>
        <w:snapToGrid/>
        <w:spacing w:line="520" w:lineRule="exact"/>
        <w:ind w:left="0" w:right="0" w:firstLine="624" w:firstLineChars="200"/>
        <w:jc w:val="both"/>
        <w:textAlignment w:val="auto"/>
        <w:rPr>
          <w:rFonts w:hint="default" w:ascii="FangSong_GB2312" w:hAnsi="FangSong_GB2312" w:eastAsia="FangSong_GB2312" w:cs="FangSong_GB2312"/>
          <w:spacing w:val="1"/>
          <w:sz w:val="31"/>
          <w:szCs w:val="31"/>
          <w:lang w:val="en-US" w:eastAsia="zh-CN"/>
        </w:rPr>
      </w:pPr>
      <w:r>
        <w:rPr>
          <w:rFonts w:hint="eastAsia" w:ascii="FangSong_GB2312" w:hAnsi="FangSong_GB2312" w:eastAsia="FangSong_GB2312" w:cs="FangSong_GB2312"/>
          <w:spacing w:val="1"/>
          <w:sz w:val="31"/>
          <w:szCs w:val="31"/>
          <w:lang w:val="en-US" w:eastAsia="zh-CN"/>
        </w:rPr>
        <w:t>开展事业单位工作人员及教师培训，人数272人，内容为专业技术人员和教师专业发展培训；</w:t>
      </w:r>
    </w:p>
    <w:p w14:paraId="48C978EB">
      <w:pPr>
        <w:pStyle w:val="19"/>
        <w:keepNext w:val="0"/>
        <w:keepLines w:val="0"/>
        <w:pageBreakBefore w:val="0"/>
        <w:kinsoku/>
        <w:wordWrap/>
        <w:overflowPunct w:val="0"/>
        <w:topLinePunct w:val="0"/>
        <w:autoSpaceDE/>
        <w:autoSpaceDN/>
        <w:bidi w:val="0"/>
        <w:snapToGrid/>
        <w:spacing w:line="520" w:lineRule="exact"/>
        <w:ind w:left="0" w:right="0" w:firstLine="640" w:firstLineChars="200"/>
        <w:jc w:val="both"/>
        <w:textAlignment w:val="auto"/>
        <w:rPr>
          <w:rFonts w:ascii="Times New Roman" w:hAnsi="Times New Roman" w:eastAsia="楷体" w:cs="Times New Roman"/>
          <w:b/>
          <w:bCs/>
          <w:i/>
          <w:color w:val="auto"/>
          <w:sz w:val="32"/>
          <w:szCs w:val="32"/>
        </w:rPr>
      </w:pPr>
      <w:r>
        <w:rPr>
          <w:rFonts w:hint="eastAsia" w:ascii="Times New Roman" w:hAnsi="Times New Roman" w:eastAsia="仿宋_GB2312" w:cs="Times New Roman"/>
          <w:sz w:val="32"/>
          <w:szCs w:val="32"/>
          <w:lang w:val="en-US" w:eastAsia="zh-CN"/>
        </w:rPr>
        <w:t>19、</w:t>
      </w:r>
      <w:r>
        <w:rPr>
          <w:rFonts w:ascii="Times New Roman" w:hAnsi="Times New Roman" w:eastAsia="仿宋_GB2312" w:cs="Times New Roman"/>
          <w:sz w:val="32"/>
          <w:szCs w:val="32"/>
        </w:rPr>
        <w:t>开展</w:t>
      </w:r>
      <w:r>
        <w:rPr>
          <w:rFonts w:hint="eastAsia" w:ascii="Times New Roman" w:hAnsi="Times New Roman" w:eastAsia="仿宋_GB2312" w:cs="Times New Roman"/>
          <w:sz w:val="32"/>
          <w:szCs w:val="32"/>
        </w:rPr>
        <w:t>湖南四普数据质量提升（一期）</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rPr>
        <w:t>83</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rPr>
        <w:t>提高我省第四次全国文物普查数据录入及上传质量</w:t>
      </w:r>
      <w:r>
        <w:rPr>
          <w:rFonts w:ascii="Times New Roman" w:hAnsi="Times New Roman" w:eastAsia="仿宋_GB2312" w:cs="Times New Roman"/>
          <w:sz w:val="32"/>
          <w:szCs w:val="32"/>
        </w:rPr>
        <w:t>。</w:t>
      </w:r>
    </w:p>
    <w:p w14:paraId="3718D73C">
      <w:pPr>
        <w:pStyle w:val="19"/>
        <w:keepNext w:val="0"/>
        <w:keepLines w:val="0"/>
        <w:pageBreakBefore w:val="0"/>
        <w:kinsoku/>
        <w:wordWrap/>
        <w:overflowPunct w:val="0"/>
        <w:topLinePunct w:val="0"/>
        <w:autoSpaceDE/>
        <w:autoSpaceDN/>
        <w:bidi w:val="0"/>
        <w:snapToGrid/>
        <w:spacing w:line="520" w:lineRule="exact"/>
        <w:ind w:left="0" w:right="0"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（三）</w:t>
      </w:r>
      <w:r>
        <w:rPr>
          <w:rFonts w:ascii="Times New Roman" w:hAnsi="Times New Roman" w:eastAsia="仿宋_GB2312" w:cs="Times New Roman"/>
          <w:sz w:val="32"/>
          <w:szCs w:val="32"/>
        </w:rPr>
        <w:t>举办节庆、晚会、论坛、赛事活动，开支</w:t>
      </w:r>
      <w:r>
        <w:rPr>
          <w:rFonts w:hint="eastAsia" w:ascii="Times New Roman" w:hAnsi="Times New Roman" w:eastAsia="仿宋_GB2312" w:cs="Times New Roman"/>
          <w:sz w:val="32"/>
          <w:szCs w:val="32"/>
          <w:lang w:val="en-US" w:eastAsia="zh-CN"/>
        </w:rPr>
        <w:t>594.21</w:t>
      </w:r>
      <w:r>
        <w:rPr>
          <w:rFonts w:ascii="Times New Roman" w:hAnsi="Times New Roman" w:eastAsia="仿宋_GB2312" w:cs="Times New Roman"/>
          <w:sz w:val="32"/>
          <w:szCs w:val="32"/>
        </w:rPr>
        <w:t>万元，</w:t>
      </w:r>
      <w:r>
        <w:rPr>
          <w:rFonts w:ascii="FangSong_GB2312" w:hAnsi="FangSong_GB2312" w:eastAsia="FangSong_GB2312" w:cs="FangSong_GB2312"/>
          <w:spacing w:val="6"/>
          <w:sz w:val="31"/>
          <w:szCs w:val="31"/>
        </w:rPr>
        <w:t>具</w:t>
      </w:r>
      <w:r>
        <w:rPr>
          <w:rFonts w:ascii="FangSong_GB2312" w:hAnsi="FangSong_GB2312" w:eastAsia="FangSong_GB2312" w:cs="FangSong_GB2312"/>
          <w:spacing w:val="-9"/>
          <w:sz w:val="31"/>
          <w:szCs w:val="31"/>
        </w:rPr>
        <w:t>体如下：</w:t>
      </w:r>
    </w:p>
    <w:p w14:paraId="105FFAB7">
      <w:pPr>
        <w:pStyle w:val="19"/>
        <w:keepNext w:val="0"/>
        <w:keepLines w:val="0"/>
        <w:pageBreakBefore w:val="0"/>
        <w:kinsoku/>
        <w:wordWrap/>
        <w:overflowPunct w:val="0"/>
        <w:topLinePunct w:val="0"/>
        <w:autoSpaceDE/>
        <w:autoSpaceDN/>
        <w:bidi w:val="0"/>
        <w:snapToGrid/>
        <w:spacing w:line="520" w:lineRule="exact"/>
        <w:ind w:left="0" w:right="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1、2025年湖南“非遗贺新春-赶个年味集”活动，开支39.85万元；</w:t>
      </w:r>
    </w:p>
    <w:p w14:paraId="04FFA2F7">
      <w:pPr>
        <w:pStyle w:val="19"/>
        <w:keepNext w:val="0"/>
        <w:keepLines w:val="0"/>
        <w:pageBreakBefore w:val="0"/>
        <w:numPr>
          <w:ilvl w:val="0"/>
          <w:numId w:val="4"/>
        </w:numPr>
        <w:kinsoku/>
        <w:wordWrap/>
        <w:overflowPunct w:val="0"/>
        <w:topLinePunct w:val="0"/>
        <w:autoSpaceDE/>
        <w:autoSpaceDN/>
        <w:bidi w:val="0"/>
        <w:snapToGrid/>
        <w:spacing w:line="520" w:lineRule="exact"/>
        <w:ind w:left="0" w:right="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“制造耀湘江，少年研学游”守护美丽长江争做长江文化使者主题研学旅游活动，开支29.97万元；</w:t>
      </w:r>
    </w:p>
    <w:p w14:paraId="6BE2FBD0">
      <w:pPr>
        <w:pStyle w:val="19"/>
        <w:keepNext w:val="0"/>
        <w:keepLines w:val="0"/>
        <w:pageBreakBefore w:val="0"/>
        <w:numPr>
          <w:ilvl w:val="0"/>
          <w:numId w:val="4"/>
        </w:numPr>
        <w:kinsoku/>
        <w:wordWrap/>
        <w:overflowPunct w:val="0"/>
        <w:topLinePunct w:val="0"/>
        <w:autoSpaceDE/>
        <w:autoSpaceDN/>
        <w:bidi w:val="0"/>
        <w:snapToGrid/>
        <w:spacing w:line="520" w:lineRule="exact"/>
        <w:ind w:left="0" w:righ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湖南省第十四届农民工春节联欢晚会</w:t>
      </w:r>
      <w:r>
        <w:rPr>
          <w:rFonts w:hint="eastAsia" w:ascii="Times New Roman" w:hAnsi="Times New Roman" w:eastAsia="仿宋_GB2312" w:cs="Times New Roman"/>
          <w:sz w:val="32"/>
          <w:szCs w:val="32"/>
          <w:lang w:val="en-US" w:eastAsia="zh-CN"/>
        </w:rPr>
        <w:t>，开支20万元；</w:t>
      </w:r>
    </w:p>
    <w:p w14:paraId="40A30185">
      <w:pPr>
        <w:pStyle w:val="19"/>
        <w:keepNext w:val="0"/>
        <w:keepLines w:val="0"/>
        <w:pageBreakBefore w:val="0"/>
        <w:numPr>
          <w:ilvl w:val="0"/>
          <w:numId w:val="4"/>
        </w:numPr>
        <w:kinsoku/>
        <w:wordWrap/>
        <w:overflowPunct w:val="0"/>
        <w:topLinePunct w:val="0"/>
        <w:autoSpaceDE/>
        <w:autoSpaceDN/>
        <w:bidi w:val="0"/>
        <w:snapToGrid/>
        <w:spacing w:line="520" w:lineRule="exact"/>
        <w:ind w:left="0" w:righ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“潮起潇湘 相约湖南”2025湖南文化和旅游春季赏花消费季活动</w:t>
      </w:r>
      <w:r>
        <w:rPr>
          <w:rFonts w:hint="eastAsia" w:ascii="Times New Roman" w:hAnsi="Times New Roman" w:eastAsia="仿宋_GB2312" w:cs="Times New Roman"/>
          <w:sz w:val="32"/>
          <w:szCs w:val="32"/>
          <w:lang w:val="en-US" w:eastAsia="zh-CN"/>
        </w:rPr>
        <w:t>，开支49.49万元；</w:t>
      </w:r>
    </w:p>
    <w:p w14:paraId="081ACEF9">
      <w:pPr>
        <w:pStyle w:val="19"/>
        <w:keepNext w:val="0"/>
        <w:keepLines w:val="0"/>
        <w:pageBreakBefore w:val="0"/>
        <w:numPr>
          <w:ilvl w:val="0"/>
          <w:numId w:val="4"/>
        </w:numPr>
        <w:kinsoku/>
        <w:wordWrap/>
        <w:overflowPunct w:val="0"/>
        <w:topLinePunct w:val="0"/>
        <w:autoSpaceDE/>
        <w:autoSpaceDN/>
        <w:bidi w:val="0"/>
        <w:snapToGrid/>
        <w:spacing w:line="520" w:lineRule="exact"/>
        <w:ind w:left="0" w:righ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2025文旅沉浸式新业态新场景供需对接活动暨湖南智慧文旅专场活动</w:t>
      </w:r>
      <w:r>
        <w:rPr>
          <w:rFonts w:hint="eastAsia" w:ascii="Times New Roman" w:hAnsi="Times New Roman" w:eastAsia="仿宋_GB2312" w:cs="Times New Roman"/>
          <w:sz w:val="32"/>
          <w:szCs w:val="32"/>
          <w:lang w:val="en-US" w:eastAsia="zh-CN"/>
        </w:rPr>
        <w:t>，开支35.24万元；</w:t>
      </w:r>
    </w:p>
    <w:p w14:paraId="6BA16C02">
      <w:pPr>
        <w:pStyle w:val="19"/>
        <w:keepNext w:val="0"/>
        <w:keepLines w:val="0"/>
        <w:pageBreakBefore w:val="0"/>
        <w:numPr>
          <w:ilvl w:val="0"/>
          <w:numId w:val="4"/>
        </w:numPr>
        <w:kinsoku/>
        <w:wordWrap/>
        <w:overflowPunct w:val="0"/>
        <w:topLinePunct w:val="0"/>
        <w:autoSpaceDE/>
        <w:autoSpaceDN/>
        <w:bidi w:val="0"/>
        <w:snapToGrid/>
        <w:spacing w:line="520" w:lineRule="exact"/>
        <w:ind w:left="0" w:right="0"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2025年大学生暑期进乡村文旅志愿服务活动，开支19.21万元；</w:t>
      </w:r>
    </w:p>
    <w:p w14:paraId="7E0C3EC3">
      <w:pPr>
        <w:pStyle w:val="19"/>
        <w:keepNext w:val="0"/>
        <w:keepLines w:val="0"/>
        <w:pageBreakBefore w:val="0"/>
        <w:numPr>
          <w:ilvl w:val="0"/>
          <w:numId w:val="4"/>
        </w:numPr>
        <w:kinsoku/>
        <w:wordWrap/>
        <w:overflowPunct w:val="0"/>
        <w:topLinePunct w:val="0"/>
        <w:autoSpaceDE/>
        <w:autoSpaceDN/>
        <w:bidi w:val="0"/>
        <w:snapToGrid/>
        <w:spacing w:line="520" w:lineRule="exact"/>
        <w:ind w:left="0" w:righ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第六届全国导游大赛参赛备赛</w:t>
      </w:r>
      <w:r>
        <w:rPr>
          <w:rFonts w:hint="eastAsia" w:ascii="Times New Roman" w:hAnsi="Times New Roman" w:eastAsia="仿宋_GB2312" w:cs="Times New Roman"/>
          <w:sz w:val="32"/>
          <w:szCs w:val="32"/>
          <w:lang w:val="en-US" w:eastAsia="zh-CN"/>
        </w:rPr>
        <w:t>，开支28.19万元；</w:t>
      </w:r>
    </w:p>
    <w:p w14:paraId="3AF4AF4A">
      <w:pPr>
        <w:pStyle w:val="19"/>
        <w:keepNext w:val="0"/>
        <w:keepLines w:val="0"/>
        <w:pageBreakBefore w:val="0"/>
        <w:numPr>
          <w:ilvl w:val="0"/>
          <w:numId w:val="4"/>
        </w:numPr>
        <w:kinsoku/>
        <w:wordWrap/>
        <w:overflowPunct w:val="0"/>
        <w:topLinePunct w:val="0"/>
        <w:autoSpaceDE/>
        <w:autoSpaceDN/>
        <w:bidi w:val="0"/>
        <w:snapToGrid/>
        <w:spacing w:line="520" w:lineRule="exact"/>
        <w:ind w:left="0" w:righ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2025湖南文旅夏季避暑消费季活动</w:t>
      </w:r>
      <w:r>
        <w:rPr>
          <w:rFonts w:hint="eastAsia" w:ascii="Times New Roman" w:hAnsi="Times New Roman" w:eastAsia="仿宋_GB2312" w:cs="Times New Roman"/>
          <w:sz w:val="32"/>
          <w:szCs w:val="32"/>
          <w:lang w:val="en-US" w:eastAsia="zh-CN"/>
        </w:rPr>
        <w:t>，开支28.68万元；</w:t>
      </w:r>
    </w:p>
    <w:p w14:paraId="1E6BC187">
      <w:pPr>
        <w:pStyle w:val="19"/>
        <w:keepNext w:val="0"/>
        <w:keepLines w:val="0"/>
        <w:pageBreakBefore w:val="0"/>
        <w:numPr>
          <w:ilvl w:val="0"/>
          <w:numId w:val="4"/>
        </w:numPr>
        <w:kinsoku/>
        <w:wordWrap/>
        <w:overflowPunct w:val="0"/>
        <w:topLinePunct w:val="0"/>
        <w:autoSpaceDE/>
        <w:autoSpaceDN/>
        <w:bidi w:val="0"/>
        <w:snapToGrid/>
        <w:spacing w:line="520" w:lineRule="exact"/>
        <w:ind w:left="0" w:righ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2025年全省文化和旅游系统安全生产培训与应急演练活动</w:t>
      </w:r>
      <w:r>
        <w:rPr>
          <w:rFonts w:hint="eastAsia" w:ascii="Times New Roman" w:hAnsi="Times New Roman" w:eastAsia="仿宋_GB2312" w:cs="Times New Roman"/>
          <w:sz w:val="32"/>
          <w:szCs w:val="32"/>
          <w:lang w:val="en-US" w:eastAsia="zh-CN"/>
        </w:rPr>
        <w:t>，开支27.93万元；</w:t>
      </w:r>
    </w:p>
    <w:p w14:paraId="50C7988F">
      <w:pPr>
        <w:pStyle w:val="19"/>
        <w:keepNext w:val="0"/>
        <w:keepLines w:val="0"/>
        <w:pageBreakBefore w:val="0"/>
        <w:numPr>
          <w:ilvl w:val="0"/>
          <w:numId w:val="4"/>
        </w:numPr>
        <w:kinsoku/>
        <w:wordWrap/>
        <w:overflowPunct w:val="0"/>
        <w:topLinePunct w:val="0"/>
        <w:autoSpaceDE/>
        <w:autoSpaceDN/>
        <w:bidi w:val="0"/>
        <w:snapToGrid/>
        <w:spacing w:line="520" w:lineRule="exact"/>
        <w:ind w:left="0" w:righ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2025年全省等级旅游民宿高质量发展活动</w:t>
      </w:r>
      <w:r>
        <w:rPr>
          <w:rFonts w:hint="eastAsia" w:ascii="Times New Roman" w:hAnsi="Times New Roman" w:eastAsia="仿宋_GB2312" w:cs="Times New Roman"/>
          <w:sz w:val="32"/>
          <w:szCs w:val="32"/>
          <w:lang w:val="en-US" w:eastAsia="zh-CN"/>
        </w:rPr>
        <w:t>24.97万元；</w:t>
      </w:r>
    </w:p>
    <w:p w14:paraId="2790BD48">
      <w:pPr>
        <w:pStyle w:val="19"/>
        <w:keepNext w:val="0"/>
        <w:keepLines w:val="0"/>
        <w:pageBreakBefore w:val="0"/>
        <w:numPr>
          <w:ilvl w:val="0"/>
          <w:numId w:val="4"/>
        </w:numPr>
        <w:kinsoku/>
        <w:wordWrap/>
        <w:overflowPunct w:val="0"/>
        <w:topLinePunct w:val="0"/>
        <w:autoSpaceDE/>
        <w:autoSpaceDN/>
        <w:bidi w:val="0"/>
        <w:snapToGrid/>
        <w:spacing w:line="520" w:lineRule="exact"/>
        <w:ind w:left="0" w:righ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“乐享湘超 文化有约”公共文化助力“湘超”活动</w:t>
      </w:r>
      <w:r>
        <w:rPr>
          <w:rFonts w:hint="eastAsia" w:ascii="Times New Roman" w:hAnsi="Times New Roman" w:eastAsia="仿宋_GB2312" w:cs="Times New Roman"/>
          <w:sz w:val="32"/>
          <w:szCs w:val="32"/>
          <w:lang w:val="en-US" w:eastAsia="zh-CN"/>
        </w:rPr>
        <w:t>，开支27.11万元；</w:t>
      </w:r>
    </w:p>
    <w:p w14:paraId="5E594C08">
      <w:pPr>
        <w:pStyle w:val="19"/>
        <w:keepNext w:val="0"/>
        <w:keepLines w:val="0"/>
        <w:pageBreakBefore w:val="0"/>
        <w:numPr>
          <w:ilvl w:val="0"/>
          <w:numId w:val="4"/>
        </w:numPr>
        <w:kinsoku/>
        <w:wordWrap/>
        <w:overflowPunct w:val="0"/>
        <w:topLinePunct w:val="0"/>
        <w:autoSpaceDE/>
        <w:autoSpaceDN/>
        <w:bidi w:val="0"/>
        <w:snapToGrid/>
        <w:spacing w:line="520" w:lineRule="exact"/>
        <w:ind w:left="0" w:righ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“湘超 超好玩”2025“湘超”文旅促消费系列活动</w:t>
      </w:r>
      <w:r>
        <w:rPr>
          <w:rFonts w:hint="eastAsia" w:ascii="Times New Roman" w:hAnsi="Times New Roman" w:eastAsia="仿宋_GB2312" w:cs="Times New Roman"/>
          <w:sz w:val="32"/>
          <w:szCs w:val="32"/>
          <w:lang w:val="en-US" w:eastAsia="zh-CN"/>
        </w:rPr>
        <w:t>，开支39.5万元；</w:t>
      </w:r>
    </w:p>
    <w:p w14:paraId="4A6E239F">
      <w:pPr>
        <w:pStyle w:val="19"/>
        <w:keepNext w:val="0"/>
        <w:keepLines w:val="0"/>
        <w:pageBreakBefore w:val="0"/>
        <w:numPr>
          <w:ilvl w:val="0"/>
          <w:numId w:val="4"/>
        </w:numPr>
        <w:kinsoku/>
        <w:wordWrap/>
        <w:overflowPunct w:val="0"/>
        <w:topLinePunct w:val="0"/>
        <w:autoSpaceDE/>
        <w:autoSpaceDN/>
        <w:bidi w:val="0"/>
        <w:snapToGrid/>
        <w:spacing w:line="520" w:lineRule="exact"/>
        <w:ind w:left="0" w:righ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“合作推动湖南红色旅游资源利用措施”-党校老师讲红色湖南活动</w:t>
      </w:r>
      <w:r>
        <w:rPr>
          <w:rFonts w:hint="eastAsia" w:ascii="Times New Roman" w:hAnsi="Times New Roman" w:eastAsia="仿宋_GB2312" w:cs="Times New Roman"/>
          <w:sz w:val="32"/>
          <w:szCs w:val="32"/>
          <w:lang w:val="en-US" w:eastAsia="zh-CN"/>
        </w:rPr>
        <w:t>，开支29万元；</w:t>
      </w:r>
    </w:p>
    <w:p w14:paraId="505AB06E">
      <w:pPr>
        <w:pStyle w:val="19"/>
        <w:keepNext w:val="0"/>
        <w:keepLines w:val="0"/>
        <w:pageBreakBefore w:val="0"/>
        <w:numPr>
          <w:ilvl w:val="0"/>
          <w:numId w:val="4"/>
        </w:numPr>
        <w:kinsoku/>
        <w:wordWrap/>
        <w:overflowPunct w:val="0"/>
        <w:topLinePunct w:val="0"/>
        <w:autoSpaceDE/>
        <w:autoSpaceDN/>
        <w:bidi w:val="0"/>
        <w:snapToGrid/>
        <w:spacing w:line="520" w:lineRule="exact"/>
        <w:ind w:left="0" w:righ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举办“湘超”文旅迎宾系列活动</w:t>
      </w:r>
      <w:r>
        <w:rPr>
          <w:rFonts w:hint="eastAsia" w:ascii="Times New Roman" w:hAnsi="Times New Roman" w:eastAsia="仿宋_GB2312" w:cs="Times New Roman"/>
          <w:sz w:val="32"/>
          <w:szCs w:val="32"/>
          <w:lang w:val="en-US" w:eastAsia="zh-CN"/>
        </w:rPr>
        <w:t>，开支29.48万元；</w:t>
      </w:r>
    </w:p>
    <w:p w14:paraId="3E98C8A0">
      <w:pPr>
        <w:pStyle w:val="19"/>
        <w:keepNext w:val="0"/>
        <w:keepLines w:val="0"/>
        <w:pageBreakBefore w:val="0"/>
        <w:numPr>
          <w:ilvl w:val="0"/>
          <w:numId w:val="4"/>
        </w:numPr>
        <w:kinsoku/>
        <w:wordWrap/>
        <w:overflowPunct w:val="0"/>
        <w:topLinePunct w:val="0"/>
        <w:autoSpaceDE/>
        <w:autoSpaceDN/>
        <w:bidi w:val="0"/>
        <w:snapToGrid/>
        <w:spacing w:line="520" w:lineRule="exact"/>
        <w:ind w:left="0" w:righ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“助力湘超—非遗超好玩”活动</w:t>
      </w:r>
      <w:r>
        <w:rPr>
          <w:rFonts w:hint="eastAsia" w:ascii="Times New Roman" w:hAnsi="Times New Roman" w:eastAsia="仿宋_GB2312" w:cs="Times New Roman"/>
          <w:sz w:val="32"/>
          <w:szCs w:val="32"/>
          <w:lang w:val="en-US" w:eastAsia="zh-CN"/>
        </w:rPr>
        <w:t>，开支29.66万元；</w:t>
      </w:r>
    </w:p>
    <w:p w14:paraId="51A21DA9">
      <w:pPr>
        <w:pStyle w:val="19"/>
        <w:keepNext w:val="0"/>
        <w:keepLines w:val="0"/>
        <w:pageBreakBefore w:val="0"/>
        <w:numPr>
          <w:ilvl w:val="0"/>
          <w:numId w:val="4"/>
        </w:numPr>
        <w:kinsoku/>
        <w:wordWrap/>
        <w:overflowPunct w:val="0"/>
        <w:topLinePunct w:val="0"/>
        <w:autoSpaceDE/>
        <w:autoSpaceDN/>
        <w:bidi w:val="0"/>
        <w:snapToGrid/>
        <w:spacing w:line="520" w:lineRule="exact"/>
        <w:ind w:left="0" w:righ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2025“湘超超好玩”跟着湘超游湖南活动</w:t>
      </w:r>
      <w:r>
        <w:rPr>
          <w:rFonts w:hint="eastAsia" w:ascii="Times New Roman" w:hAnsi="Times New Roman" w:eastAsia="仿宋_GB2312" w:cs="Times New Roman"/>
          <w:sz w:val="32"/>
          <w:szCs w:val="32"/>
          <w:lang w:val="en-US" w:eastAsia="zh-CN"/>
        </w:rPr>
        <w:t>，开支48.34万元；</w:t>
      </w:r>
    </w:p>
    <w:p w14:paraId="36BDBF33">
      <w:pPr>
        <w:pStyle w:val="19"/>
        <w:keepNext w:val="0"/>
        <w:keepLines w:val="0"/>
        <w:pageBreakBefore w:val="0"/>
        <w:numPr>
          <w:ilvl w:val="0"/>
          <w:numId w:val="4"/>
        </w:numPr>
        <w:kinsoku/>
        <w:wordWrap/>
        <w:overflowPunct w:val="0"/>
        <w:topLinePunct w:val="0"/>
        <w:autoSpaceDE/>
        <w:autoSpaceDN/>
        <w:bidi w:val="0"/>
        <w:snapToGrid/>
        <w:spacing w:line="520" w:lineRule="exact"/>
        <w:ind w:left="0" w:righ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“湘超”超好玩文旅送大礼“湘超”球迷文旅消费积分领奖活动</w:t>
      </w:r>
      <w:r>
        <w:rPr>
          <w:rFonts w:hint="eastAsia" w:ascii="Times New Roman" w:hAnsi="Times New Roman" w:eastAsia="仿宋_GB2312" w:cs="Times New Roman"/>
          <w:sz w:val="32"/>
          <w:szCs w:val="32"/>
          <w:lang w:val="en-US" w:eastAsia="zh-CN"/>
        </w:rPr>
        <w:t>，开支87.59万元；</w:t>
      </w:r>
    </w:p>
    <w:p w14:paraId="43164E76">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18、2025年欢乐潇湘</w:t>
      </w:r>
      <w:r>
        <w:rPr>
          <w:rFonts w:hint="eastAsia" w:ascii="Times New Roman" w:hAnsi="Times New Roman" w:eastAsia="仿宋_GB2312"/>
          <w:sz w:val="32"/>
          <w:szCs w:val="32"/>
          <w:lang w:val="en-US" w:eastAsia="zh-CN"/>
        </w:rPr>
        <w:t>全省群众文艺汇演活动，</w:t>
      </w:r>
      <w:r>
        <w:rPr>
          <w:rFonts w:ascii="Times New Roman" w:hAnsi="Times New Roman" w:eastAsia="仿宋_GB2312" w:cs="Times New Roman"/>
          <w:sz w:val="32"/>
          <w:szCs w:val="32"/>
        </w:rPr>
        <w:t>开支</w:t>
      </w:r>
      <w:r>
        <w:rPr>
          <w:rFonts w:hint="eastAsia" w:ascii="Times New Roman" w:hAnsi="Times New Roman" w:eastAsia="仿宋_GB2312" w:cs="Times New Roman"/>
          <w:sz w:val="32"/>
          <w:szCs w:val="32"/>
          <w:lang w:val="en-US" w:eastAsia="zh-CN"/>
        </w:rPr>
        <w:t>106.12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6A90C5A5">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546A4762">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58390.51</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6693.51</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33039.98</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18657.02</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29954.97</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51.3</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24136.91</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80.58</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46.12</w:t>
      </w:r>
      <w:r>
        <w:rPr>
          <w:rFonts w:hint="eastAsia"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51.23</w:t>
      </w:r>
      <w:r>
        <w:rPr>
          <w:rFonts w:hint="eastAsia"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52.68</w:t>
      </w:r>
      <w:r>
        <w:rPr>
          <w:rFonts w:hint="eastAsia" w:ascii="Times New Roman" w:hAnsi="Times New Roman" w:eastAsia="仿宋_GB2312" w:cs="Times New Roman"/>
          <w:color w:val="auto"/>
          <w:sz w:val="32"/>
          <w:szCs w:val="32"/>
        </w:rPr>
        <w:t>%。</w:t>
      </w:r>
      <w:bookmarkStart w:id="3" w:name="_GoBack"/>
      <w:bookmarkEnd w:id="3"/>
    </w:p>
    <w:p w14:paraId="3DD9D718">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009847A9">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38</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4</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23</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eastAsia="zh-CN"/>
        </w:rPr>
        <w:t>公务用车和业务用车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31</w:t>
      </w:r>
      <w:r>
        <w:rPr>
          <w:rFonts w:ascii="Times New Roman" w:hAnsi="Times New Roman" w:eastAsia="仿宋_GB2312" w:cs="Times New Roman"/>
          <w:color w:val="auto"/>
          <w:sz w:val="32"/>
          <w:szCs w:val="32"/>
        </w:rPr>
        <w:t>台（套）。</w:t>
      </w:r>
    </w:p>
    <w:p w14:paraId="65EE5EAD">
      <w:pPr>
        <w:pStyle w:val="19"/>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7C0FE154">
      <w:pPr>
        <w:pStyle w:val="2"/>
        <w:ind w:firstLine="640" w:firstLineChars="200"/>
        <w:rPr>
          <w:rFonts w:hint="eastAsia" w:eastAsiaTheme="minorEastAsia"/>
          <w:lang w:val="en-US" w:eastAsia="zh-CN"/>
        </w:rPr>
      </w:pPr>
      <w:r>
        <w:rPr>
          <w:rFonts w:hint="eastAsia" w:ascii="Times New Roman" w:hAnsi="Times New Roman" w:eastAsia="仿宋_GB2312" w:cs="Times New Roman"/>
          <w:kern w:val="0"/>
          <w:sz w:val="32"/>
          <w:szCs w:val="32"/>
          <w:lang w:val="en-US" w:eastAsia="zh-CN"/>
        </w:rPr>
        <w:t>详见第五部分附件：</w:t>
      </w:r>
      <w:r>
        <w:rPr>
          <w:rFonts w:hint="eastAsia" w:ascii="Times New Roman" w:hAnsi="Times New Roman" w:eastAsia="仿宋_GB2312" w:cs="Times New Roman"/>
          <w:sz w:val="32"/>
          <w:szCs w:val="32"/>
        </w:rPr>
        <w:t>湖南省文化和旅游厅2025年度部门整体支出绩效自评报告</w:t>
      </w:r>
      <w:r>
        <w:rPr>
          <w:rFonts w:hint="eastAsia" w:ascii="Times New Roman" w:hAnsi="Times New Roman" w:eastAsia="仿宋_GB2312" w:cs="Times New Roman"/>
          <w:kern w:val="0"/>
          <w:sz w:val="32"/>
          <w:szCs w:val="32"/>
          <w:lang w:val="en-US" w:eastAsia="zh-CN"/>
        </w:rPr>
        <w:t>。</w:t>
      </w:r>
    </w:p>
    <w:p w14:paraId="3248346D">
      <w:pPr>
        <w:pStyle w:val="19"/>
        <w:keepNext w:val="0"/>
        <w:keepLines w:val="0"/>
        <w:pageBreakBefore w:val="0"/>
        <w:shd w:val="clear"/>
        <w:kinsoku/>
        <w:wordWrap/>
        <w:overflowPunct w:val="0"/>
        <w:topLinePunct w:val="0"/>
        <w:autoSpaceDE/>
        <w:autoSpaceDN/>
        <w:bidi w:val="0"/>
        <w:snapToGrid/>
        <w:spacing w:line="520" w:lineRule="exact"/>
        <w:ind w:left="0" w:right="0" w:firstLine="640" w:firstLineChars="200"/>
        <w:jc w:val="both"/>
        <w:textAlignment w:val="auto"/>
        <w:rPr>
          <w:rFonts w:ascii="Times New Roman" w:hAnsi="Times New Roman" w:eastAsia="仿宋_GB2312" w:cs="Times New Roman"/>
          <w:color w:val="auto"/>
          <w:sz w:val="32"/>
          <w:szCs w:val="32"/>
        </w:rPr>
      </w:pPr>
    </w:p>
    <w:p w14:paraId="1B2A11A7">
      <w:pPr>
        <w:pStyle w:val="19"/>
        <w:shd w:val="clear"/>
        <w:spacing w:line="360" w:lineRule="auto"/>
        <w:jc w:val="center"/>
        <w:rPr>
          <w:rFonts w:hint="eastAsia" w:ascii="方正小标宋简体" w:hAnsi="方正小标宋简体" w:eastAsia="方正小标宋简体" w:cs="方正小标宋简体"/>
          <w:sz w:val="44"/>
          <w:szCs w:val="44"/>
        </w:rPr>
      </w:pPr>
    </w:p>
    <w:p w14:paraId="745E1A83">
      <w:pPr>
        <w:pStyle w:val="19"/>
        <w:shd w:val="clear"/>
        <w:spacing w:line="360" w:lineRule="auto"/>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第四部分    名词解释</w:t>
      </w:r>
    </w:p>
    <w:p w14:paraId="52C9D004">
      <w:pPr>
        <w:spacing w:before="1" w:line="333" w:lineRule="auto"/>
        <w:ind w:firstLine="648"/>
        <w:jc w:val="both"/>
        <w:rPr>
          <w:rFonts w:ascii="FangSong_GB2312" w:hAnsi="FangSong_GB2312" w:eastAsia="FangSong_GB2312" w:cs="FangSong_GB2312"/>
          <w:spacing w:val="14"/>
          <w:sz w:val="31"/>
          <w:szCs w:val="31"/>
        </w:rPr>
      </w:pPr>
      <w:r>
        <w:rPr>
          <w:rFonts w:ascii="FangSong_GB2312" w:hAnsi="FangSong_GB2312" w:eastAsia="FangSong_GB2312" w:cs="FangSong_GB2312"/>
          <w:spacing w:val="14"/>
          <w:sz w:val="31"/>
          <w:szCs w:val="31"/>
        </w:rPr>
        <w:t>一 、财政拨款收入：指省级财政当年拨付的资金。</w:t>
      </w:r>
    </w:p>
    <w:p w14:paraId="6B79798D">
      <w:pPr>
        <w:spacing w:before="1" w:line="333" w:lineRule="auto"/>
        <w:ind w:firstLine="648"/>
        <w:jc w:val="both"/>
        <w:rPr>
          <w:rFonts w:ascii="FangSong_GB2312" w:hAnsi="FangSong_GB2312" w:eastAsia="FangSong_GB2312" w:cs="FangSong_GB2312"/>
          <w:spacing w:val="14"/>
          <w:sz w:val="31"/>
          <w:szCs w:val="31"/>
        </w:rPr>
      </w:pPr>
      <w:r>
        <w:rPr>
          <w:rFonts w:ascii="FangSong_GB2312" w:hAnsi="FangSong_GB2312" w:eastAsia="FangSong_GB2312" w:cs="FangSong_GB2312"/>
          <w:spacing w:val="14"/>
          <w:sz w:val="31"/>
          <w:szCs w:val="31"/>
        </w:rPr>
        <w:t>二、其他收入</w:t>
      </w:r>
      <w:r>
        <w:rPr>
          <w:rFonts w:hint="eastAsia" w:ascii="FangSong_GB2312" w:hAnsi="FangSong_GB2312" w:eastAsia="FangSong_GB2312" w:cs="FangSong_GB2312"/>
          <w:spacing w:val="14"/>
          <w:sz w:val="31"/>
          <w:szCs w:val="31"/>
          <w:lang w:val="en-US" w:eastAsia="zh-CN"/>
        </w:rPr>
        <w:t>:</w:t>
      </w:r>
      <w:r>
        <w:rPr>
          <w:rFonts w:ascii="FangSong_GB2312" w:hAnsi="FangSong_GB2312" w:eastAsia="FangSong_GB2312" w:cs="FangSong_GB2312"/>
          <w:spacing w:val="14"/>
          <w:sz w:val="31"/>
          <w:szCs w:val="31"/>
        </w:rPr>
        <w:t>指除‚财政拨款收入以外的收入。主要是上级单位拨款、存款利息收入等。</w:t>
      </w:r>
    </w:p>
    <w:p w14:paraId="3D8B6055">
      <w:pPr>
        <w:spacing w:before="1" w:line="333" w:lineRule="auto"/>
        <w:ind w:firstLine="648"/>
        <w:jc w:val="both"/>
        <w:rPr>
          <w:rFonts w:ascii="FangSong_GB2312" w:hAnsi="FangSong_GB2312" w:eastAsia="FangSong_GB2312" w:cs="FangSong_GB2312"/>
          <w:spacing w:val="14"/>
          <w:sz w:val="31"/>
          <w:szCs w:val="31"/>
        </w:rPr>
      </w:pPr>
      <w:r>
        <w:rPr>
          <w:rFonts w:ascii="FangSong_GB2312" w:hAnsi="FangSong_GB2312" w:eastAsia="FangSong_GB2312" w:cs="FangSong_GB2312"/>
          <w:spacing w:val="14"/>
          <w:sz w:val="31"/>
          <w:szCs w:val="31"/>
        </w:rPr>
        <w:t>三、基本支出：指为保障机构正常运转、完成日常工作任务而发生的行政单位(含参照公务员法管理的事业单位)履行一般行政管理职能，维持机关日常运转所必须开支的费用，包括用于工资、津贴及奖金等的人员经费和用于办公、水电费等的公用经费。</w:t>
      </w:r>
    </w:p>
    <w:p w14:paraId="38EDE2DC">
      <w:pPr>
        <w:spacing w:before="1" w:line="333" w:lineRule="auto"/>
        <w:ind w:firstLine="648"/>
        <w:jc w:val="both"/>
        <w:rPr>
          <w:rFonts w:ascii="FangSong_GB2312" w:hAnsi="FangSong_GB2312" w:eastAsia="FangSong_GB2312" w:cs="FangSong_GB2312"/>
          <w:spacing w:val="14"/>
          <w:sz w:val="31"/>
          <w:szCs w:val="31"/>
        </w:rPr>
      </w:pPr>
      <w:r>
        <w:rPr>
          <w:rFonts w:ascii="FangSong_GB2312" w:hAnsi="FangSong_GB2312" w:eastAsia="FangSong_GB2312" w:cs="FangSong_GB2312"/>
          <w:spacing w:val="14"/>
          <w:sz w:val="31"/>
          <w:szCs w:val="31"/>
        </w:rPr>
        <w:t>四、项目支出：指在基本支出之外为完成特定行政任务和事业发展目标所发生的支出。</w:t>
      </w:r>
    </w:p>
    <w:p w14:paraId="7C34B58C">
      <w:pPr>
        <w:spacing w:before="1" w:line="333" w:lineRule="auto"/>
        <w:ind w:firstLine="648"/>
        <w:jc w:val="both"/>
        <w:rPr>
          <w:rFonts w:ascii="FangSong_GB2312" w:hAnsi="FangSong_GB2312" w:eastAsia="FangSong_GB2312" w:cs="FangSong_GB2312"/>
          <w:spacing w:val="14"/>
          <w:sz w:val="31"/>
          <w:szCs w:val="31"/>
        </w:rPr>
      </w:pPr>
      <w:r>
        <w:rPr>
          <w:rFonts w:ascii="FangSong_GB2312" w:hAnsi="FangSong_GB2312" w:eastAsia="FangSong_GB2312" w:cs="FangSong_GB2312"/>
          <w:spacing w:val="14"/>
          <w:sz w:val="31"/>
          <w:szCs w:val="31"/>
        </w:rPr>
        <w:t>五、年初结转和结余：指以前年度尚未完成、结转到本年仍按原规定用途继续使用的资金</w:t>
      </w:r>
      <w:r>
        <w:rPr>
          <w:rFonts w:hint="eastAsia" w:ascii="FangSong_GB2312" w:hAnsi="FangSong_GB2312" w:eastAsia="FangSong_GB2312" w:cs="FangSong_GB2312"/>
          <w:spacing w:val="14"/>
          <w:sz w:val="31"/>
          <w:szCs w:val="31"/>
          <w:lang w:val="en-US" w:eastAsia="zh-CN"/>
        </w:rPr>
        <w:t>,</w:t>
      </w:r>
      <w:r>
        <w:rPr>
          <w:rFonts w:ascii="FangSong_GB2312" w:hAnsi="FangSong_GB2312" w:eastAsia="FangSong_GB2312" w:cs="FangSong_GB2312"/>
          <w:spacing w:val="14"/>
          <w:sz w:val="31"/>
          <w:szCs w:val="31"/>
        </w:rPr>
        <w:t>或项目已完成等产生的结余资金。</w:t>
      </w:r>
    </w:p>
    <w:p w14:paraId="2F0CC514">
      <w:pPr>
        <w:spacing w:before="1" w:line="333" w:lineRule="auto"/>
        <w:ind w:firstLine="648"/>
        <w:jc w:val="both"/>
        <w:rPr>
          <w:rFonts w:ascii="FangSong_GB2312" w:hAnsi="FangSong_GB2312" w:eastAsia="FangSong_GB2312" w:cs="FangSong_GB2312"/>
          <w:spacing w:val="14"/>
          <w:sz w:val="31"/>
          <w:szCs w:val="31"/>
        </w:rPr>
      </w:pPr>
      <w:r>
        <w:rPr>
          <w:rFonts w:ascii="FangSong_GB2312" w:hAnsi="FangSong_GB2312" w:eastAsia="FangSong_GB2312" w:cs="FangSong_GB2312"/>
          <w:spacing w:val="14"/>
          <w:sz w:val="31"/>
          <w:szCs w:val="31"/>
        </w:rPr>
        <w:t>六、年末结转和结余：指单位按有关规定结转到下年或以后年度继续使用的资金。</w:t>
      </w:r>
    </w:p>
    <w:p w14:paraId="0FAE3687">
      <w:pPr>
        <w:spacing w:before="1" w:line="333" w:lineRule="auto"/>
        <w:ind w:firstLine="648"/>
        <w:jc w:val="both"/>
        <w:rPr>
          <w:rFonts w:ascii="FangSong_GB2312" w:hAnsi="FangSong_GB2312" w:eastAsia="FangSong_GB2312" w:cs="FangSong_GB2312"/>
          <w:sz w:val="31"/>
          <w:szCs w:val="31"/>
        </w:rPr>
      </w:pPr>
      <w:r>
        <w:rPr>
          <w:rFonts w:ascii="FangSong_GB2312" w:hAnsi="FangSong_GB2312" w:eastAsia="FangSong_GB2312" w:cs="FangSong_GB2312"/>
          <w:spacing w:val="14"/>
          <w:sz w:val="31"/>
          <w:szCs w:val="31"/>
        </w:rPr>
        <w:t>七、</w:t>
      </w:r>
      <w:r>
        <w:rPr>
          <w:rFonts w:ascii="Times New Roman" w:hAnsi="Times New Roman" w:eastAsia="仿宋_GB2312" w:cs="Times New Roman"/>
          <w:sz w:val="32"/>
          <w:szCs w:val="32"/>
        </w:rPr>
        <w:t>“</w:t>
      </w:r>
      <w:r>
        <w:rPr>
          <w:rFonts w:ascii="FangSong_GB2312" w:hAnsi="FangSong_GB2312" w:eastAsia="FangSong_GB2312" w:cs="FangSong_GB2312"/>
          <w:spacing w:val="14"/>
          <w:sz w:val="31"/>
          <w:szCs w:val="31"/>
        </w:rPr>
        <w:t>三公经费</w:t>
      </w:r>
      <w:r>
        <w:rPr>
          <w:rFonts w:ascii="Times New Roman" w:hAnsi="Times New Roman" w:eastAsia="仿宋_GB2312" w:cs="Times New Roman"/>
          <w:sz w:val="32"/>
          <w:szCs w:val="32"/>
        </w:rPr>
        <w:t>”</w:t>
      </w:r>
      <w:r>
        <w:rPr>
          <w:rFonts w:ascii="FangSong_GB2312" w:hAnsi="FangSong_GB2312" w:eastAsia="FangSong_GB2312" w:cs="FangSong_GB2312"/>
          <w:spacing w:val="14"/>
          <w:sz w:val="31"/>
          <w:szCs w:val="31"/>
        </w:rPr>
        <w:t>：纳入财政预决算管理的</w:t>
      </w:r>
      <w:r>
        <w:rPr>
          <w:rFonts w:ascii="Times New Roman" w:hAnsi="Times New Roman" w:eastAsia="仿宋_GB2312" w:cs="Times New Roman"/>
          <w:sz w:val="32"/>
          <w:szCs w:val="32"/>
        </w:rPr>
        <w:t>“</w:t>
      </w:r>
      <w:r>
        <w:rPr>
          <w:rFonts w:ascii="FangSong_GB2312" w:hAnsi="FangSong_GB2312" w:eastAsia="FangSong_GB2312" w:cs="FangSong_GB2312"/>
          <w:spacing w:val="14"/>
          <w:sz w:val="31"/>
          <w:szCs w:val="31"/>
        </w:rPr>
        <w:t>三公经费</w:t>
      </w:r>
      <w:r>
        <w:rPr>
          <w:rFonts w:ascii="Times New Roman" w:hAnsi="Times New Roman" w:eastAsia="仿宋_GB2312" w:cs="Times New Roman"/>
          <w:sz w:val="32"/>
          <w:szCs w:val="32"/>
        </w:rPr>
        <w:t>”</w:t>
      </w:r>
      <w:r>
        <w:rPr>
          <w:rFonts w:ascii="FangSong_GB2312" w:hAnsi="FangSong_GB2312" w:eastAsia="FangSong_GB2312" w:cs="FangSong_GB2312"/>
          <w:spacing w:val="14"/>
          <w:sz w:val="31"/>
          <w:szCs w:val="31"/>
        </w:rPr>
        <w:t>，是指用财政拨款安排的因公出国 (境)费、公务用车购置及运行费和公务接待费。其中，因公出国 (境)费反映单位因公务出国(境)的国际旅费、国外城市间交通费、住宿费、伙食费、培训费、公杂费等支出；公务用车购置及运行费反映单位因公务用车车辆购置支出 (含车辆购置税)及租用费、燃料费、维修费、过路过桥费、保险费、安全奖励费用等支出；公务接待费反映单</w:t>
      </w:r>
      <w:r>
        <w:rPr>
          <w:rFonts w:ascii="FangSong_GB2312" w:hAnsi="FangSong_GB2312" w:eastAsia="FangSong_GB2312" w:cs="FangSong_GB2312"/>
          <w:spacing w:val="10"/>
          <w:sz w:val="31"/>
          <w:szCs w:val="31"/>
        </w:rPr>
        <w:t>位按中央和省委省政府相关规定开支的各类公务接待</w:t>
      </w:r>
      <w:r>
        <w:rPr>
          <w:rFonts w:ascii="FangSong_GB2312" w:hAnsi="FangSong_GB2312" w:eastAsia="FangSong_GB2312" w:cs="FangSong_GB2312"/>
          <w:spacing w:val="-49"/>
          <w:sz w:val="31"/>
          <w:szCs w:val="31"/>
        </w:rPr>
        <w:t xml:space="preserve"> </w:t>
      </w:r>
      <w:r>
        <w:rPr>
          <w:rFonts w:ascii="FangSong_GB2312" w:hAnsi="FangSong_GB2312" w:eastAsia="FangSong_GB2312" w:cs="FangSong_GB2312"/>
          <w:spacing w:val="10"/>
          <w:sz w:val="31"/>
          <w:szCs w:val="31"/>
        </w:rPr>
        <w:t>(含外</w:t>
      </w:r>
      <w:r>
        <w:rPr>
          <w:rFonts w:ascii="FangSong_GB2312" w:hAnsi="FangSong_GB2312" w:eastAsia="FangSong_GB2312" w:cs="FangSong_GB2312"/>
          <w:spacing w:val="4"/>
          <w:sz w:val="31"/>
          <w:szCs w:val="31"/>
        </w:rPr>
        <w:t>宾接待)支出。</w:t>
      </w:r>
    </w:p>
    <w:p w14:paraId="30368FB6">
      <w:pPr>
        <w:spacing w:before="1" w:line="333" w:lineRule="auto"/>
        <w:ind w:firstLine="648"/>
        <w:jc w:val="both"/>
        <w:rPr>
          <w:rFonts w:ascii="FangSong_GB2312" w:hAnsi="FangSong_GB2312" w:eastAsia="FangSong_GB2312" w:cs="FangSong_GB2312"/>
          <w:sz w:val="31"/>
          <w:szCs w:val="31"/>
        </w:rPr>
      </w:pPr>
      <w:r>
        <w:rPr>
          <w:rFonts w:ascii="FangSong_GB2312" w:hAnsi="FangSong_GB2312" w:eastAsia="FangSong_GB2312" w:cs="FangSong_GB2312"/>
          <w:spacing w:val="14"/>
          <w:sz w:val="31"/>
          <w:szCs w:val="31"/>
        </w:rPr>
        <w:t>八、机关运行经费：为保障行政单位(含参照公务员法管理的事业单位)运行用于购买货物和服务的各项资金，包括办</w:t>
      </w:r>
      <w:r>
        <w:rPr>
          <w:rFonts w:ascii="FangSong_GB2312" w:hAnsi="FangSong_GB2312" w:eastAsia="FangSong_GB2312" w:cs="FangSong_GB2312"/>
          <w:sz w:val="31"/>
          <w:szCs w:val="31"/>
        </w:rPr>
        <w:t>公及印刷费、邮电费、差旅费、会议费、福利费、日常维修费、</w:t>
      </w:r>
      <w:r>
        <w:rPr>
          <w:rFonts w:ascii="FangSong_GB2312" w:hAnsi="FangSong_GB2312" w:eastAsia="FangSong_GB2312" w:cs="FangSong_GB2312"/>
          <w:spacing w:val="8"/>
          <w:sz w:val="31"/>
          <w:szCs w:val="31"/>
        </w:rPr>
        <w:t>专用材料及一般设备购置费、办公用房水电费、办公用房取暖费、办公用房物业管理费。</w:t>
      </w:r>
    </w:p>
    <w:p w14:paraId="1512F830">
      <w:pPr>
        <w:pStyle w:val="19"/>
        <w:shd w:val="clear"/>
        <w:jc w:val="center"/>
        <w:rPr>
          <w:rFonts w:ascii="Times New Roman" w:hAnsi="Times New Roman" w:cs="Times New Roman"/>
          <w:sz w:val="72"/>
          <w:szCs w:val="72"/>
        </w:rPr>
      </w:pPr>
    </w:p>
    <w:p w14:paraId="692EBAC6">
      <w:pPr>
        <w:pStyle w:val="19"/>
        <w:shd w:val="clear"/>
        <w:spacing w:line="360" w:lineRule="auto"/>
        <w:jc w:val="center"/>
        <w:rPr>
          <w:rFonts w:ascii="Times New Roman" w:hAnsi="Times New Roman" w:eastAsia="方正小标宋_GBK" w:cs="Times New Roman"/>
          <w:sz w:val="52"/>
          <w:szCs w:val="52"/>
        </w:rPr>
      </w:pPr>
      <w:r>
        <w:rPr>
          <w:rFonts w:hint="eastAsia" w:ascii="方正小标宋简体" w:hAnsi="方正小标宋简体" w:eastAsia="方正小标宋简体" w:cs="方正小标宋简体"/>
          <w:sz w:val="44"/>
          <w:szCs w:val="44"/>
        </w:rPr>
        <w:t>第五部分   附 件</w:t>
      </w:r>
    </w:p>
    <w:p w14:paraId="4870C951">
      <w:pPr>
        <w:pStyle w:val="19"/>
        <w:shd w:val="clea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hint="eastAsia" w:ascii="Times New Roman" w:hAnsi="Times New Roman" w:eastAsia="仿宋_GB2312" w:cs="Times New Roman"/>
          <w:sz w:val="32"/>
          <w:szCs w:val="32"/>
        </w:rPr>
        <w:t>湖南省文化和旅游厅2025年度部门整体支出绩效自评报告</w:t>
      </w:r>
      <w:r>
        <w:rPr>
          <w:rFonts w:ascii="Times New Roman" w:hAnsi="Times New Roman" w:eastAsia="仿宋_GB2312" w:cs="Times New Roman"/>
          <w:sz w:val="32"/>
          <w:szCs w:val="32"/>
        </w:rPr>
        <w:t>。</w:t>
      </w:r>
    </w:p>
    <w:p w14:paraId="0CC88B62">
      <w:pPr>
        <w:pStyle w:val="19"/>
        <w:shd w:val="clear"/>
        <w:spacing w:line="600" w:lineRule="exact"/>
        <w:ind w:firstLine="640" w:firstLineChars="200"/>
        <w:rPr>
          <w:rFonts w:ascii="Times New Roman" w:hAnsi="Times New Roman" w:eastAsia="仿宋_GB2312" w:cs="Times New Roman"/>
          <w:sz w:val="32"/>
          <w:szCs w:val="32"/>
        </w:rPr>
      </w:pPr>
    </w:p>
    <w:p w14:paraId="61CAE4C3">
      <w:pPr>
        <w:pStyle w:val="19"/>
        <w:shd w:val="clear"/>
        <w:jc w:val="center"/>
        <w:rPr>
          <w:rFonts w:ascii="Times New Roman" w:hAnsi="Times New Roman" w:cs="Times New Roman"/>
          <w:sz w:val="72"/>
          <w:szCs w:val="72"/>
        </w:rPr>
      </w:pPr>
    </w:p>
    <w:p w14:paraId="2298E1B8">
      <w:pPr>
        <w:pStyle w:val="19"/>
        <w:shd w:val="clear"/>
        <w:jc w:val="center"/>
        <w:rPr>
          <w:rFonts w:ascii="Times New Roman" w:hAnsi="Times New Roman" w:cs="Times New Roman"/>
          <w:sz w:val="72"/>
          <w:szCs w:val="72"/>
        </w:rPr>
      </w:pPr>
    </w:p>
    <w:p w14:paraId="1FABCFED">
      <w:pPr>
        <w:shd w:val="clear"/>
        <w:jc w:val="left"/>
        <w:rPr>
          <w:rFonts w:ascii="Times New Roman" w:hAnsi="Times New Roman" w:cs="Times New Roman"/>
          <w:color w:val="000000"/>
          <w:kern w:val="0"/>
          <w:sz w:val="32"/>
          <w:szCs w:val="32"/>
        </w:rPr>
      </w:pPr>
    </w:p>
    <w:sectPr>
      <w:footerReference r:id="rId6" w:type="default"/>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FangSong_GB2312">
    <w:panose1 w:val="02010609030101010101"/>
    <w:charset w:val="86"/>
    <w:family w:val="auto"/>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方正小标宋_GBK">
    <w:panose1 w:val="02000000000000000000"/>
    <w:charset w:val="86"/>
    <w:family w:val="script"/>
    <w:pitch w:val="default"/>
    <w:sig w:usb0="00000001" w:usb1="08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w:altName w:val="Nimbus Roman No9 L"/>
    <w:panose1 w:val="00000000000000000000"/>
    <w:charset w:val="00"/>
    <w:family w:val="auto"/>
    <w:pitch w:val="default"/>
    <w:sig w:usb0="00000000" w:usb1="00000000" w:usb2="00000000" w:usb3="00000000" w:csb0="00000000" w:csb1="00000000"/>
  </w:font>
  <w:font w:name="DejaVu Math TeX Gyre">
    <w:panose1 w:val="02000503000000000000"/>
    <w:charset w:val="00"/>
    <w:family w:val="auto"/>
    <w:pitch w:val="default"/>
    <w:sig w:usb0="A10000EF" w:usb1="4201F9EE" w:usb2="02000000" w:usb3="00000000" w:csb0="60000193" w:csb1="0DD4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39298">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8E151">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91F3F">
    <w:pPr>
      <w:pStyle w:val="1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98F234">
                          <w:pPr>
                            <w:pStyle w:val="15"/>
                          </w:pPr>
                          <w:r>
                            <w:fldChar w:fldCharType="begin"/>
                          </w:r>
                          <w:r>
                            <w:instrText xml:space="preserve"> PAGE  \* MERGEFORMAT </w:instrText>
                          </w:r>
                          <w:r>
                            <w:fldChar w:fldCharType="separate"/>
                          </w:r>
                          <w:r>
                            <w:t>22</w:t>
                          </w:r>
                          <w:r>
                            <w:fldChar w:fldCharType="end"/>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bl05M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K&#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m5dOTIAQAAmQMAAA4AAAAAAAAAAQAgAAAAHgEAAGRycy9lMm9Eb2Mu&#10;eG1sUEsFBgAAAAAGAAYAWQEAAFgFAAAAAA==&#10;">
              <v:fill on="f" focussize="0,0"/>
              <v:stroke on="f"/>
              <v:imagedata o:title=""/>
              <o:lock v:ext="edit" aspectratio="f"/>
              <v:textbox inset="0mm,0mm,0mm,0mm" style="mso-fit-shape-to-text:t;">
                <w:txbxContent>
                  <w:p w14:paraId="4898F234">
                    <w:pPr>
                      <w:pStyle w:val="15"/>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09C30">
    <w:pPr>
      <w:spacing w:line="236" w:lineRule="auto"/>
      <w:ind w:left="4276"/>
      <w:rPr>
        <w:rFonts w:ascii="Calibri" w:hAnsi="Calibri" w:eastAsia="Calibri" w:cs="Calibri"/>
        <w:sz w:val="18"/>
        <w:szCs w:val="18"/>
      </w:rPr>
    </w:pPr>
    <w:r>
      <w:rPr>
        <w:rFonts w:ascii="Calibri" w:hAnsi="Calibri" w:eastAsia="Calibri" w:cs="Calibri"/>
        <w:spacing w:val="-3"/>
        <w:sz w:val="18"/>
        <w:szCs w:val="18"/>
      </w:rPr>
      <w:t>37</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40BDD6"/>
    <w:multiLevelType w:val="singleLevel"/>
    <w:tmpl w:val="8C40BDD6"/>
    <w:lvl w:ilvl="0" w:tentative="0">
      <w:start w:val="4"/>
      <w:numFmt w:val="decimal"/>
      <w:suff w:val="nothing"/>
      <w:lvlText w:val="%1、"/>
      <w:lvlJc w:val="left"/>
    </w:lvl>
  </w:abstractNum>
  <w:abstractNum w:abstractNumId="1">
    <w:nsid w:val="CAF026B0"/>
    <w:multiLevelType w:val="singleLevel"/>
    <w:tmpl w:val="CAF026B0"/>
    <w:lvl w:ilvl="0" w:tentative="0">
      <w:start w:val="2"/>
      <w:numFmt w:val="decimal"/>
      <w:suff w:val="nothing"/>
      <w:lvlText w:val="%1、"/>
      <w:lvlJc w:val="left"/>
    </w:lvl>
  </w:abstractNum>
  <w:abstractNum w:abstractNumId="2">
    <w:nsid w:val="E3848941"/>
    <w:multiLevelType w:val="singleLevel"/>
    <w:tmpl w:val="E3848941"/>
    <w:lvl w:ilvl="0" w:tentative="0">
      <w:start w:val="2"/>
      <w:numFmt w:val="decimal"/>
      <w:suff w:val="nothing"/>
      <w:lvlText w:val="%1、"/>
      <w:lvlJc w:val="left"/>
    </w:lvl>
  </w:abstractNum>
  <w:abstractNum w:abstractNumId="3">
    <w:nsid w:val="4BDDBB17"/>
    <w:multiLevelType w:val="singleLevel"/>
    <w:tmpl w:val="4BDDBB17"/>
    <w:lvl w:ilvl="0" w:tentative="0">
      <w:start w:val="1"/>
      <w:numFmt w:val="decimal"/>
      <w:suff w:val="nothing"/>
      <w:lvlText w:val="%1、"/>
      <w:lvlJc w:val="left"/>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A74"/>
    <w:rsid w:val="00216E1D"/>
    <w:rsid w:val="00237181"/>
    <w:rsid w:val="005C19A6"/>
    <w:rsid w:val="005E2322"/>
    <w:rsid w:val="00B15A74"/>
    <w:rsid w:val="00BC48F0"/>
    <w:rsid w:val="00C00CAE"/>
    <w:rsid w:val="00C1078D"/>
    <w:rsid w:val="012B64AF"/>
    <w:rsid w:val="013164AC"/>
    <w:rsid w:val="013A1735"/>
    <w:rsid w:val="021F4265"/>
    <w:rsid w:val="026A0D85"/>
    <w:rsid w:val="027B31C4"/>
    <w:rsid w:val="02AF7852"/>
    <w:rsid w:val="034D4E02"/>
    <w:rsid w:val="036C617D"/>
    <w:rsid w:val="03C74BB5"/>
    <w:rsid w:val="03D20E87"/>
    <w:rsid w:val="03D90444"/>
    <w:rsid w:val="041476CE"/>
    <w:rsid w:val="04533DF5"/>
    <w:rsid w:val="04820BAF"/>
    <w:rsid w:val="05056F63"/>
    <w:rsid w:val="05130419"/>
    <w:rsid w:val="05373674"/>
    <w:rsid w:val="0551724E"/>
    <w:rsid w:val="05571F68"/>
    <w:rsid w:val="056A57F8"/>
    <w:rsid w:val="057A17B3"/>
    <w:rsid w:val="05BC1DCB"/>
    <w:rsid w:val="05F6462A"/>
    <w:rsid w:val="06400C4E"/>
    <w:rsid w:val="06A16199"/>
    <w:rsid w:val="06A967F3"/>
    <w:rsid w:val="06B01054"/>
    <w:rsid w:val="07167CBE"/>
    <w:rsid w:val="071F31CA"/>
    <w:rsid w:val="075946FD"/>
    <w:rsid w:val="07E13D6B"/>
    <w:rsid w:val="082F64B9"/>
    <w:rsid w:val="090B72F2"/>
    <w:rsid w:val="097F55EA"/>
    <w:rsid w:val="099472E7"/>
    <w:rsid w:val="09D1411B"/>
    <w:rsid w:val="09D21BBD"/>
    <w:rsid w:val="0A2D5046"/>
    <w:rsid w:val="0A78746E"/>
    <w:rsid w:val="0ADA114D"/>
    <w:rsid w:val="0B1F52D6"/>
    <w:rsid w:val="0B4623B2"/>
    <w:rsid w:val="0B4B6E8B"/>
    <w:rsid w:val="0B5501D1"/>
    <w:rsid w:val="0B96796A"/>
    <w:rsid w:val="0B9D2DDA"/>
    <w:rsid w:val="0BFA53FB"/>
    <w:rsid w:val="0C601F84"/>
    <w:rsid w:val="0C651B45"/>
    <w:rsid w:val="0C724A4D"/>
    <w:rsid w:val="0C7451AE"/>
    <w:rsid w:val="0CA44AA6"/>
    <w:rsid w:val="0CBD6B55"/>
    <w:rsid w:val="0D2103F7"/>
    <w:rsid w:val="0D892EDB"/>
    <w:rsid w:val="0D991370"/>
    <w:rsid w:val="0DD63043"/>
    <w:rsid w:val="0E7705ED"/>
    <w:rsid w:val="0E7E5378"/>
    <w:rsid w:val="0EA578A0"/>
    <w:rsid w:val="0EDE2DB2"/>
    <w:rsid w:val="0FA25AF2"/>
    <w:rsid w:val="1035036E"/>
    <w:rsid w:val="10593441"/>
    <w:rsid w:val="105C45FA"/>
    <w:rsid w:val="107E65FB"/>
    <w:rsid w:val="10B262A5"/>
    <w:rsid w:val="116518B4"/>
    <w:rsid w:val="11C32FB1"/>
    <w:rsid w:val="11DD55A3"/>
    <w:rsid w:val="11EC57E6"/>
    <w:rsid w:val="11F70BFD"/>
    <w:rsid w:val="12107727"/>
    <w:rsid w:val="122146FC"/>
    <w:rsid w:val="12DB7D35"/>
    <w:rsid w:val="13F37300"/>
    <w:rsid w:val="14644099"/>
    <w:rsid w:val="148310DB"/>
    <w:rsid w:val="14B7032D"/>
    <w:rsid w:val="15640C4E"/>
    <w:rsid w:val="15AF7257"/>
    <w:rsid w:val="15CA60D6"/>
    <w:rsid w:val="16595DFE"/>
    <w:rsid w:val="166567A5"/>
    <w:rsid w:val="17202A99"/>
    <w:rsid w:val="17326590"/>
    <w:rsid w:val="17571045"/>
    <w:rsid w:val="181810E3"/>
    <w:rsid w:val="184A4384"/>
    <w:rsid w:val="184C0511"/>
    <w:rsid w:val="195B5257"/>
    <w:rsid w:val="1AB33345"/>
    <w:rsid w:val="1AB53561"/>
    <w:rsid w:val="1B1A7868"/>
    <w:rsid w:val="1B330E9B"/>
    <w:rsid w:val="1B681DA0"/>
    <w:rsid w:val="1B943177"/>
    <w:rsid w:val="1B9E3FF5"/>
    <w:rsid w:val="1BEB0073"/>
    <w:rsid w:val="1BEF65FF"/>
    <w:rsid w:val="1C4F223F"/>
    <w:rsid w:val="1CC7132A"/>
    <w:rsid w:val="1D90796E"/>
    <w:rsid w:val="1DA33B45"/>
    <w:rsid w:val="1DD2442A"/>
    <w:rsid w:val="1DD75301"/>
    <w:rsid w:val="1E09149E"/>
    <w:rsid w:val="1E3B3AC0"/>
    <w:rsid w:val="1EA36647"/>
    <w:rsid w:val="1FEB532F"/>
    <w:rsid w:val="1FF561AE"/>
    <w:rsid w:val="20713A86"/>
    <w:rsid w:val="20D372DB"/>
    <w:rsid w:val="20DB741A"/>
    <w:rsid w:val="20F126F3"/>
    <w:rsid w:val="216929AF"/>
    <w:rsid w:val="2173382E"/>
    <w:rsid w:val="223976BB"/>
    <w:rsid w:val="226002D5"/>
    <w:rsid w:val="22B178E1"/>
    <w:rsid w:val="22BF1517"/>
    <w:rsid w:val="22C31939"/>
    <w:rsid w:val="2312327F"/>
    <w:rsid w:val="233C00A9"/>
    <w:rsid w:val="23492A98"/>
    <w:rsid w:val="235C0A1E"/>
    <w:rsid w:val="23C40371"/>
    <w:rsid w:val="23EC5247"/>
    <w:rsid w:val="24092722"/>
    <w:rsid w:val="24341998"/>
    <w:rsid w:val="24594F5D"/>
    <w:rsid w:val="246E3236"/>
    <w:rsid w:val="24764C99"/>
    <w:rsid w:val="24BD2598"/>
    <w:rsid w:val="251315B0"/>
    <w:rsid w:val="258E0C37"/>
    <w:rsid w:val="2601765A"/>
    <w:rsid w:val="26347A30"/>
    <w:rsid w:val="266F4F92"/>
    <w:rsid w:val="26D5190C"/>
    <w:rsid w:val="271D6716"/>
    <w:rsid w:val="274200B7"/>
    <w:rsid w:val="274D3E6B"/>
    <w:rsid w:val="2778394C"/>
    <w:rsid w:val="278C73F8"/>
    <w:rsid w:val="27BA1EC0"/>
    <w:rsid w:val="27E26D38"/>
    <w:rsid w:val="28210B10"/>
    <w:rsid w:val="28A075FF"/>
    <w:rsid w:val="28CA4665"/>
    <w:rsid w:val="28D476E0"/>
    <w:rsid w:val="293F540B"/>
    <w:rsid w:val="29422464"/>
    <w:rsid w:val="295108F9"/>
    <w:rsid w:val="298D51CD"/>
    <w:rsid w:val="29E20FD0"/>
    <w:rsid w:val="2A5C32A6"/>
    <w:rsid w:val="2A91629A"/>
    <w:rsid w:val="2B6A7A50"/>
    <w:rsid w:val="2BC36512"/>
    <w:rsid w:val="2BF158EA"/>
    <w:rsid w:val="2C035B6B"/>
    <w:rsid w:val="2C3C1B09"/>
    <w:rsid w:val="2D3B3FF4"/>
    <w:rsid w:val="2DB43204"/>
    <w:rsid w:val="2E0E6A8A"/>
    <w:rsid w:val="2E7A444E"/>
    <w:rsid w:val="2E860788"/>
    <w:rsid w:val="2F0D7070"/>
    <w:rsid w:val="2F7B66D0"/>
    <w:rsid w:val="2F972DDE"/>
    <w:rsid w:val="2FB71881"/>
    <w:rsid w:val="2FD951A4"/>
    <w:rsid w:val="303B7C0D"/>
    <w:rsid w:val="30E06864"/>
    <w:rsid w:val="31175F84"/>
    <w:rsid w:val="311961A0"/>
    <w:rsid w:val="31E62551"/>
    <w:rsid w:val="322E7A29"/>
    <w:rsid w:val="323B5CA2"/>
    <w:rsid w:val="32891103"/>
    <w:rsid w:val="32C128BF"/>
    <w:rsid w:val="332B3F69"/>
    <w:rsid w:val="334301D8"/>
    <w:rsid w:val="33D522FB"/>
    <w:rsid w:val="33D63DE3"/>
    <w:rsid w:val="33E276B6"/>
    <w:rsid w:val="33FD03FF"/>
    <w:rsid w:val="340F462B"/>
    <w:rsid w:val="34515C51"/>
    <w:rsid w:val="34730853"/>
    <w:rsid w:val="34C06933"/>
    <w:rsid w:val="358B2037"/>
    <w:rsid w:val="35A80303"/>
    <w:rsid w:val="35B4665B"/>
    <w:rsid w:val="36022C46"/>
    <w:rsid w:val="360A4309"/>
    <w:rsid w:val="361270E7"/>
    <w:rsid w:val="362A5E2D"/>
    <w:rsid w:val="36712C55"/>
    <w:rsid w:val="36F6663C"/>
    <w:rsid w:val="37403D5B"/>
    <w:rsid w:val="377F4716"/>
    <w:rsid w:val="37C334ED"/>
    <w:rsid w:val="38196A86"/>
    <w:rsid w:val="387301D1"/>
    <w:rsid w:val="39700927"/>
    <w:rsid w:val="39CB4426"/>
    <w:rsid w:val="3AA06FEA"/>
    <w:rsid w:val="3AB74334"/>
    <w:rsid w:val="3AC058DE"/>
    <w:rsid w:val="3AE8273F"/>
    <w:rsid w:val="3AFB0C3A"/>
    <w:rsid w:val="3BFF3264"/>
    <w:rsid w:val="3C3C3B61"/>
    <w:rsid w:val="3CA60EB7"/>
    <w:rsid w:val="3CA76B12"/>
    <w:rsid w:val="3CBF4A0D"/>
    <w:rsid w:val="3CE23692"/>
    <w:rsid w:val="3CF7310E"/>
    <w:rsid w:val="3D2D6ED8"/>
    <w:rsid w:val="3D4402AC"/>
    <w:rsid w:val="3D9D1F07"/>
    <w:rsid w:val="3DAA4EA8"/>
    <w:rsid w:val="3DB17760"/>
    <w:rsid w:val="3DDD0F41"/>
    <w:rsid w:val="3E5F25DA"/>
    <w:rsid w:val="3EE87285"/>
    <w:rsid w:val="3EFB5137"/>
    <w:rsid w:val="3F1955BD"/>
    <w:rsid w:val="3F1C4E43"/>
    <w:rsid w:val="3F6A25B2"/>
    <w:rsid w:val="3F8213B4"/>
    <w:rsid w:val="3FDFC0E1"/>
    <w:rsid w:val="3FFA0F65"/>
    <w:rsid w:val="40537388"/>
    <w:rsid w:val="40B97058"/>
    <w:rsid w:val="40E90FBF"/>
    <w:rsid w:val="422C0BA3"/>
    <w:rsid w:val="42562684"/>
    <w:rsid w:val="426C3C56"/>
    <w:rsid w:val="42A930FC"/>
    <w:rsid w:val="42BE177B"/>
    <w:rsid w:val="42FC226A"/>
    <w:rsid w:val="430A1DED"/>
    <w:rsid w:val="433E55F2"/>
    <w:rsid w:val="43971141"/>
    <w:rsid w:val="4409050C"/>
    <w:rsid w:val="440F6F8F"/>
    <w:rsid w:val="44817E8C"/>
    <w:rsid w:val="454D5FC1"/>
    <w:rsid w:val="45DA175F"/>
    <w:rsid w:val="465B449A"/>
    <w:rsid w:val="46937059"/>
    <w:rsid w:val="471072A6"/>
    <w:rsid w:val="47501D98"/>
    <w:rsid w:val="479565EE"/>
    <w:rsid w:val="479741D4"/>
    <w:rsid w:val="48F60141"/>
    <w:rsid w:val="499F2B63"/>
    <w:rsid w:val="49C0532A"/>
    <w:rsid w:val="49DA3B9B"/>
    <w:rsid w:val="4A056E6A"/>
    <w:rsid w:val="4A30453E"/>
    <w:rsid w:val="4A630B40"/>
    <w:rsid w:val="4AE7656F"/>
    <w:rsid w:val="4B0E7FA0"/>
    <w:rsid w:val="4B4D62F3"/>
    <w:rsid w:val="4B56127E"/>
    <w:rsid w:val="4B663938"/>
    <w:rsid w:val="4C6C6A83"/>
    <w:rsid w:val="4C6F4162"/>
    <w:rsid w:val="4C9D782D"/>
    <w:rsid w:val="4CAE37E9"/>
    <w:rsid w:val="4D1A2C2C"/>
    <w:rsid w:val="4D1F46E6"/>
    <w:rsid w:val="4D352C80"/>
    <w:rsid w:val="4DC13C49"/>
    <w:rsid w:val="4DE65204"/>
    <w:rsid w:val="4E0566F8"/>
    <w:rsid w:val="4E661EA1"/>
    <w:rsid w:val="4EB4172E"/>
    <w:rsid w:val="4ED51CD9"/>
    <w:rsid w:val="4F544C68"/>
    <w:rsid w:val="4F822D0B"/>
    <w:rsid w:val="501D07EA"/>
    <w:rsid w:val="50C652F5"/>
    <w:rsid w:val="514069D9"/>
    <w:rsid w:val="515C2DD9"/>
    <w:rsid w:val="5160707C"/>
    <w:rsid w:val="51844B18"/>
    <w:rsid w:val="51AE611E"/>
    <w:rsid w:val="52667ECC"/>
    <w:rsid w:val="533C1422"/>
    <w:rsid w:val="53E001EE"/>
    <w:rsid w:val="540957A8"/>
    <w:rsid w:val="5452177E"/>
    <w:rsid w:val="55263A47"/>
    <w:rsid w:val="553C5E9D"/>
    <w:rsid w:val="55B66725"/>
    <w:rsid w:val="55EC63FA"/>
    <w:rsid w:val="56114DE8"/>
    <w:rsid w:val="56B0015D"/>
    <w:rsid w:val="56DF6C95"/>
    <w:rsid w:val="572904F0"/>
    <w:rsid w:val="580B6FC1"/>
    <w:rsid w:val="581A5B14"/>
    <w:rsid w:val="58DA3BB7"/>
    <w:rsid w:val="58E93DFA"/>
    <w:rsid w:val="59125F5F"/>
    <w:rsid w:val="59350668"/>
    <w:rsid w:val="594F3C5E"/>
    <w:rsid w:val="5960230F"/>
    <w:rsid w:val="59A65848"/>
    <w:rsid w:val="59B9557B"/>
    <w:rsid w:val="59DF76D7"/>
    <w:rsid w:val="5A3B2D8E"/>
    <w:rsid w:val="5A6B24A1"/>
    <w:rsid w:val="5ABF583B"/>
    <w:rsid w:val="5B465534"/>
    <w:rsid w:val="5B726329"/>
    <w:rsid w:val="5B9D11E8"/>
    <w:rsid w:val="5BBF7FE1"/>
    <w:rsid w:val="5C125416"/>
    <w:rsid w:val="5C1D0043"/>
    <w:rsid w:val="5C9F35EA"/>
    <w:rsid w:val="5CAD5DC7"/>
    <w:rsid w:val="5CAD5F7D"/>
    <w:rsid w:val="5CC45A89"/>
    <w:rsid w:val="5CE96177"/>
    <w:rsid w:val="5D360A7F"/>
    <w:rsid w:val="5D417D61"/>
    <w:rsid w:val="5D435EAB"/>
    <w:rsid w:val="5D46532A"/>
    <w:rsid w:val="5D4B5084"/>
    <w:rsid w:val="5D9635E1"/>
    <w:rsid w:val="5DC34C1A"/>
    <w:rsid w:val="5E317DD6"/>
    <w:rsid w:val="5E8D7FDA"/>
    <w:rsid w:val="5ECC7AFE"/>
    <w:rsid w:val="5EE27322"/>
    <w:rsid w:val="5EFE715B"/>
    <w:rsid w:val="5F074FDA"/>
    <w:rsid w:val="5F2636B2"/>
    <w:rsid w:val="5F2A342A"/>
    <w:rsid w:val="5FA261F9"/>
    <w:rsid w:val="5FB4143A"/>
    <w:rsid w:val="5FC61B66"/>
    <w:rsid w:val="605A7149"/>
    <w:rsid w:val="60A6634D"/>
    <w:rsid w:val="61371BA7"/>
    <w:rsid w:val="61966CA6"/>
    <w:rsid w:val="6198016C"/>
    <w:rsid w:val="62342A7A"/>
    <w:rsid w:val="62562F92"/>
    <w:rsid w:val="62833A58"/>
    <w:rsid w:val="62A82630"/>
    <w:rsid w:val="62CF1196"/>
    <w:rsid w:val="63293388"/>
    <w:rsid w:val="638D663E"/>
    <w:rsid w:val="63983E11"/>
    <w:rsid w:val="6404589F"/>
    <w:rsid w:val="645223A8"/>
    <w:rsid w:val="64C9644F"/>
    <w:rsid w:val="650825C6"/>
    <w:rsid w:val="65D5198E"/>
    <w:rsid w:val="65FF19E2"/>
    <w:rsid w:val="660D1156"/>
    <w:rsid w:val="664A237C"/>
    <w:rsid w:val="66AE5E9B"/>
    <w:rsid w:val="66BC48FC"/>
    <w:rsid w:val="66D71736"/>
    <w:rsid w:val="677F7E04"/>
    <w:rsid w:val="6780592A"/>
    <w:rsid w:val="682E6DE7"/>
    <w:rsid w:val="68442FC0"/>
    <w:rsid w:val="68531405"/>
    <w:rsid w:val="68614103"/>
    <w:rsid w:val="68D343CB"/>
    <w:rsid w:val="68DB530B"/>
    <w:rsid w:val="68EF3803"/>
    <w:rsid w:val="68FDD611"/>
    <w:rsid w:val="693E79FC"/>
    <w:rsid w:val="695A27D3"/>
    <w:rsid w:val="69E44896"/>
    <w:rsid w:val="6A745A1A"/>
    <w:rsid w:val="6AB853DB"/>
    <w:rsid w:val="6B036F9E"/>
    <w:rsid w:val="6B5C045C"/>
    <w:rsid w:val="6BF87023"/>
    <w:rsid w:val="6C037DFF"/>
    <w:rsid w:val="6C41314F"/>
    <w:rsid w:val="6CE93925"/>
    <w:rsid w:val="6D2F5E28"/>
    <w:rsid w:val="6D7B7659"/>
    <w:rsid w:val="6DA00AD4"/>
    <w:rsid w:val="6DBB590E"/>
    <w:rsid w:val="6DC522E8"/>
    <w:rsid w:val="6E201C15"/>
    <w:rsid w:val="6E492F1A"/>
    <w:rsid w:val="6E7C76AC"/>
    <w:rsid w:val="6EDD3662"/>
    <w:rsid w:val="6F1F1ECC"/>
    <w:rsid w:val="6F975F07"/>
    <w:rsid w:val="6FA26ADB"/>
    <w:rsid w:val="6FC860C0"/>
    <w:rsid w:val="6FEB7D36"/>
    <w:rsid w:val="6FEF3153"/>
    <w:rsid w:val="6FF818D2"/>
    <w:rsid w:val="70194B6E"/>
    <w:rsid w:val="704020FA"/>
    <w:rsid w:val="70CA3E58"/>
    <w:rsid w:val="71002DF6"/>
    <w:rsid w:val="714E0847"/>
    <w:rsid w:val="71C86630"/>
    <w:rsid w:val="72114AAA"/>
    <w:rsid w:val="72434C63"/>
    <w:rsid w:val="72A21133"/>
    <w:rsid w:val="732B3D6D"/>
    <w:rsid w:val="73334198"/>
    <w:rsid w:val="73BD5AAB"/>
    <w:rsid w:val="743042A8"/>
    <w:rsid w:val="75390AD1"/>
    <w:rsid w:val="75E31EA6"/>
    <w:rsid w:val="76402E54"/>
    <w:rsid w:val="765A00C6"/>
    <w:rsid w:val="768076F4"/>
    <w:rsid w:val="76826884"/>
    <w:rsid w:val="76A96C4B"/>
    <w:rsid w:val="77112A42"/>
    <w:rsid w:val="772E53A2"/>
    <w:rsid w:val="776F6FC2"/>
    <w:rsid w:val="7776476A"/>
    <w:rsid w:val="77906FEF"/>
    <w:rsid w:val="785D5F3F"/>
    <w:rsid w:val="78673398"/>
    <w:rsid w:val="789D5404"/>
    <w:rsid w:val="79173266"/>
    <w:rsid w:val="79960FDD"/>
    <w:rsid w:val="79E07D62"/>
    <w:rsid w:val="79E9735F"/>
    <w:rsid w:val="7A1D6DDB"/>
    <w:rsid w:val="7A370149"/>
    <w:rsid w:val="7A8772A3"/>
    <w:rsid w:val="7B5D6256"/>
    <w:rsid w:val="7BCC5788"/>
    <w:rsid w:val="7BD55DED"/>
    <w:rsid w:val="7CB830BD"/>
    <w:rsid w:val="7CF404F4"/>
    <w:rsid w:val="7CF549D5"/>
    <w:rsid w:val="7D8C6BBD"/>
    <w:rsid w:val="7DFE3170"/>
    <w:rsid w:val="7E48253A"/>
    <w:rsid w:val="7EA01C51"/>
    <w:rsid w:val="7ECF1219"/>
    <w:rsid w:val="7F363046"/>
    <w:rsid w:val="7F5C156B"/>
    <w:rsid w:val="7FF51B41"/>
    <w:rsid w:val="E8FF51BA"/>
    <w:rsid w:val="FFBD395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21"/>
    <w:semiHidden/>
    <w:unhideWhenUsed/>
    <w:qFormat/>
    <w:uiPriority w:val="99"/>
    <w:rPr>
      <w:sz w:val="18"/>
      <w:szCs w:val="18"/>
    </w:rPr>
  </w:style>
  <w:style w:type="paragraph" w:styleId="7">
    <w:name w:val="footer"/>
    <w:basedOn w:val="1"/>
    <w:link w:val="26"/>
    <w:unhideWhenUsed/>
    <w:qFormat/>
    <w:uiPriority w:val="99"/>
    <w:pPr>
      <w:tabs>
        <w:tab w:val="center" w:pos="4153"/>
        <w:tab w:val="right" w:pos="8306"/>
      </w:tabs>
      <w:snapToGrid w:val="0"/>
      <w:jc w:val="left"/>
    </w:pPr>
    <w:rPr>
      <w:sz w:val="18"/>
      <w:szCs w:val="18"/>
    </w:rPr>
  </w:style>
  <w:style w:type="paragraph" w:styleId="8">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11">
    <w:name w:val="Table Grid"/>
    <w:qFormat/>
    <w:uiPriority w:val="0"/>
    <w:tblPr>
      <w:tblBorders>
        <w:top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 w:type="character" w:styleId="13">
    <w:name w:val="Hyperlink"/>
    <w:basedOn w:val="12"/>
    <w:semiHidden/>
    <w:unhideWhenUsed/>
    <w:qFormat/>
    <w:uiPriority w:val="99"/>
    <w:rPr>
      <w:color w:val="0000FF"/>
      <w:u w:val="single"/>
    </w:rPr>
  </w:style>
  <w:style w:type="paragraph" w:customStyle="1" w:styleId="14">
    <w:name w:val="Footnote Text"/>
    <w:basedOn w:val="1"/>
    <w:next w:val="5"/>
    <w:semiHidden/>
    <w:qFormat/>
    <w:uiPriority w:val="0"/>
    <w:pPr>
      <w:snapToGrid w:val="0"/>
      <w:jc w:val="left"/>
    </w:pPr>
    <w:rPr>
      <w:sz w:val="18"/>
      <w:szCs w:val="18"/>
    </w:rPr>
  </w:style>
  <w:style w:type="paragraph" w:customStyle="1" w:styleId="15">
    <w:name w:val="Footer"/>
    <w:basedOn w:val="1"/>
    <w:link w:val="18"/>
    <w:unhideWhenUsed/>
    <w:qFormat/>
    <w:uiPriority w:val="99"/>
    <w:pPr>
      <w:tabs>
        <w:tab w:val="center" w:pos="4153"/>
        <w:tab w:val="right" w:pos="8306"/>
      </w:tabs>
      <w:snapToGrid w:val="0"/>
      <w:jc w:val="left"/>
    </w:pPr>
    <w:rPr>
      <w:sz w:val="18"/>
      <w:szCs w:val="18"/>
    </w:rPr>
  </w:style>
  <w:style w:type="paragraph" w:customStyle="1" w:styleId="1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7">
    <w:name w:val="页眉 Char"/>
    <w:basedOn w:val="12"/>
    <w:link w:val="16"/>
    <w:qFormat/>
    <w:uiPriority w:val="99"/>
    <w:rPr>
      <w:sz w:val="18"/>
      <w:szCs w:val="18"/>
    </w:rPr>
  </w:style>
  <w:style w:type="character" w:customStyle="1" w:styleId="18">
    <w:name w:val="页脚 Char"/>
    <w:basedOn w:val="12"/>
    <w:link w:val="15"/>
    <w:qFormat/>
    <w:uiPriority w:val="99"/>
    <w:rPr>
      <w:sz w:val="18"/>
      <w:szCs w:val="18"/>
    </w:rPr>
  </w:style>
  <w:style w:type="paragraph" w:customStyle="1" w:styleId="19">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20">
    <w:name w:val="List Paragraph"/>
    <w:basedOn w:val="1"/>
    <w:qFormat/>
    <w:uiPriority w:val="34"/>
    <w:pPr>
      <w:ind w:firstLine="420" w:firstLineChars="200"/>
    </w:pPr>
  </w:style>
  <w:style w:type="character" w:customStyle="1" w:styleId="21">
    <w:name w:val="批注框文本 Char"/>
    <w:basedOn w:val="12"/>
    <w:link w:val="6"/>
    <w:semiHidden/>
    <w:qFormat/>
    <w:uiPriority w:val="99"/>
    <w:rPr>
      <w:sz w:val="18"/>
      <w:szCs w:val="18"/>
    </w:rPr>
  </w:style>
  <w:style w:type="character" w:customStyle="1" w:styleId="22">
    <w:name w:val="font01"/>
    <w:basedOn w:val="12"/>
    <w:qFormat/>
    <w:uiPriority w:val="0"/>
    <w:rPr>
      <w:rFonts w:hint="eastAsia" w:ascii="宋体" w:hAnsi="宋体" w:eastAsia="宋体" w:cs="宋体"/>
      <w:color w:val="000000"/>
      <w:sz w:val="22"/>
      <w:szCs w:val="22"/>
      <w:u w:val="none"/>
    </w:rPr>
  </w:style>
  <w:style w:type="character" w:customStyle="1" w:styleId="23">
    <w:name w:val="font21"/>
    <w:basedOn w:val="12"/>
    <w:qFormat/>
    <w:uiPriority w:val="0"/>
    <w:rPr>
      <w:rFonts w:hint="eastAsia" w:ascii="宋体" w:hAnsi="宋体" w:eastAsia="宋体" w:cs="宋体"/>
      <w:color w:val="000000"/>
      <w:sz w:val="24"/>
      <w:szCs w:val="24"/>
      <w:u w:val="none"/>
    </w:rPr>
  </w:style>
  <w:style w:type="character" w:customStyle="1" w:styleId="24">
    <w:name w:val="font11"/>
    <w:basedOn w:val="12"/>
    <w:qFormat/>
    <w:uiPriority w:val="0"/>
    <w:rPr>
      <w:rFonts w:hint="eastAsia" w:ascii="宋体" w:hAnsi="宋体" w:eastAsia="宋体" w:cs="宋体"/>
      <w:color w:val="000000"/>
      <w:sz w:val="24"/>
      <w:szCs w:val="24"/>
      <w:u w:val="none"/>
    </w:rPr>
  </w:style>
  <w:style w:type="character" w:customStyle="1" w:styleId="25">
    <w:name w:val="页眉 Char1"/>
    <w:basedOn w:val="12"/>
    <w:link w:val="8"/>
    <w:qFormat/>
    <w:uiPriority w:val="99"/>
    <w:rPr>
      <w:rFonts w:asciiTheme="minorHAnsi" w:hAnsiTheme="minorHAnsi" w:eastAsiaTheme="minorEastAsia" w:cstheme="minorBidi"/>
      <w:kern w:val="2"/>
      <w:sz w:val="18"/>
      <w:szCs w:val="18"/>
    </w:rPr>
  </w:style>
  <w:style w:type="character" w:customStyle="1" w:styleId="26">
    <w:name w:val="页脚 Char1"/>
    <w:basedOn w:val="12"/>
    <w:link w:val="7"/>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2052-11.8.2.12009</vt:lpwstr>
  </property>
  <property xmlns="http://schemas.openxmlformats.org/officeDocument/2006/custom-properties" fmtid="{D5CDD505-2E9C-101B-9397-08002B2CF9AE}" name="ICV" pid="3">
    <vt:lpwstr xmlns:vt="http://schemas.openxmlformats.org/officeDocument/2006/docPropsVTypes">4F0B27C0AAC35EFA9177686ADDD5E058</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BC0B6F8-9F0A-443A-A321-42B601F31C00}">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54</Pages>
  <Words>3126</Words>
  <Characters>5150</Characters>
  <Lines>71</Lines>
  <Paragraphs>20</Paragraphs>
  <TotalTime>10</TotalTime>
  <ScaleCrop>false</ScaleCrop>
  <LinksUpToDate>false</LinksUpToDate>
  <CharactersWithSpaces>5682</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2026-08-24T23:11:00Z</dcterms:created>
  <dc:creator>李航 null</dc:creator>
  <cp:lastModifiedBy>greatwall</cp:lastModifiedBy>
  <cp:lastPrinted>2024-08-10T18:20:00Z</cp:lastPrinted>
  <dcterms:modified xsi:type="dcterms:W3CDTF">2026-09-01T17:26:21Z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10C34E48FB9B4C91A0C31DC47EEF95AE_13</vt:lpwstr>
  </property>
  <property fmtid="{D5CDD505-2E9C-101B-9397-08002B2CF9AE}" pid="4" name="KSOTemplateDocerSaveRecord">
    <vt:lpwstr>eyJoZGlkIjoiM2Q2MGMzNmNkM2M1ZjdhOTdhZTViOWI0NGZkZjZmYWYiLCJ1c2VySWQiOiIxNjc4NDUzOTY1In0=</vt:lpwstr>
  </property>
</Properties>
</file>