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7F38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25D40FED">
      <w:pPr>
        <w:pStyle w:val="23"/>
        <w:ind w:firstLine="0" w:firstLineChars="0"/>
        <w:jc w:val="center"/>
        <w:rPr>
          <w:rFonts w:hint="default" w:ascii="Times New Roman" w:hAnsi="Times New Roman" w:eastAsia="方正小标宋_GBK" w:cs="Times New Roman"/>
          <w:b w:val="0"/>
          <w:bCs w:val="0"/>
          <w:color w:val="auto"/>
          <w:sz w:val="36"/>
          <w:szCs w:val="36"/>
          <w:highlight w:val="none"/>
          <w:lang w:eastAsia="zh-CN"/>
        </w:rPr>
      </w:pPr>
    </w:p>
    <w:p w14:paraId="3AB17C8B">
      <w:pPr>
        <w:pStyle w:val="31"/>
        <w:ind w:firstLine="0" w:firstLineChars="0"/>
        <w:jc w:val="center"/>
        <w:rPr>
          <w:rFonts w:hint="default" w:ascii="Times New Roman" w:hAnsi="Times New Roman" w:cs="Times New Roman"/>
          <w:color w:val="auto"/>
          <w:highlight w:val="none"/>
          <w:lang w:eastAsia="zh-CN"/>
        </w:rPr>
      </w:pPr>
    </w:p>
    <w:p w14:paraId="5BE3E839">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16E1B136">
      <w:pPr>
        <w:pStyle w:val="23"/>
        <w:ind w:firstLine="0" w:firstLineChars="0"/>
        <w:jc w:val="center"/>
        <w:rPr>
          <w:rFonts w:hint="default" w:ascii="Times New Roman" w:hAnsi="Times New Roman" w:cs="Times New Roman"/>
          <w:color w:val="auto"/>
          <w:highlight w:val="none"/>
          <w:lang w:eastAsia="zh-CN"/>
        </w:rPr>
      </w:pPr>
    </w:p>
    <w:p w14:paraId="47DBC403">
      <w:pPr>
        <w:keepNext w:val="0"/>
        <w:keepLines w:val="0"/>
        <w:pageBreakBefore w:val="0"/>
        <w:widowControl w:val="0"/>
        <w:kinsoku/>
        <w:wordWrap/>
        <w:overflowPunct/>
        <w:topLinePunct w:val="0"/>
        <w:autoSpaceDE/>
        <w:autoSpaceDN/>
        <w:bidi w:val="0"/>
        <w:adjustRightInd/>
        <w:snapToGrid/>
        <w:spacing w:line="480" w:lineRule="auto"/>
        <w:ind w:firstLine="0" w:firstLineChars="0"/>
        <w:jc w:val="center"/>
        <w:textAlignment w:val="auto"/>
        <w:rPr>
          <w:rFonts w:hint="default" w:ascii="Times New Roman" w:hAnsi="Times New Roman" w:eastAsia="方正小标宋_GBK" w:cs="Times New Roman"/>
          <w:b w:val="0"/>
          <w:bCs w:val="0"/>
          <w:color w:val="auto"/>
          <w:sz w:val="52"/>
          <w:szCs w:val="52"/>
          <w:highlight w:val="none"/>
          <w:lang w:eastAsia="zh-CN"/>
        </w:rPr>
      </w:pPr>
      <w:r>
        <w:rPr>
          <w:rFonts w:hint="default" w:ascii="Times New Roman" w:hAnsi="Times New Roman" w:eastAsia="方正小标宋_GBK" w:cs="Times New Roman"/>
          <w:b w:val="0"/>
          <w:bCs w:val="0"/>
          <w:color w:val="auto"/>
          <w:sz w:val="52"/>
          <w:szCs w:val="52"/>
          <w:highlight w:val="none"/>
          <w:lang w:eastAsia="zh-CN"/>
        </w:rPr>
        <w:t>湖南省文化和旅游厅202</w:t>
      </w:r>
      <w:r>
        <w:rPr>
          <w:rFonts w:hint="default" w:ascii="Times New Roman" w:hAnsi="Times New Roman" w:eastAsia="方正小标宋_GBK" w:cs="Times New Roman"/>
          <w:b w:val="0"/>
          <w:bCs w:val="0"/>
          <w:color w:val="auto"/>
          <w:sz w:val="52"/>
          <w:szCs w:val="52"/>
          <w:highlight w:val="none"/>
          <w:lang w:val="en-US" w:eastAsia="zh-CN"/>
        </w:rPr>
        <w:t>5</w:t>
      </w:r>
      <w:r>
        <w:rPr>
          <w:rFonts w:hint="default" w:ascii="Times New Roman" w:hAnsi="Times New Roman" w:eastAsia="方正小标宋_GBK" w:cs="Times New Roman"/>
          <w:b w:val="0"/>
          <w:bCs w:val="0"/>
          <w:color w:val="auto"/>
          <w:sz w:val="52"/>
          <w:szCs w:val="52"/>
          <w:highlight w:val="none"/>
          <w:lang w:eastAsia="zh-CN"/>
        </w:rPr>
        <w:t>年度</w:t>
      </w:r>
      <w:r>
        <w:rPr>
          <w:rFonts w:hint="default" w:ascii="Times New Roman" w:hAnsi="Times New Roman" w:eastAsia="方正小标宋_GBK" w:cs="Times New Roman"/>
          <w:b w:val="0"/>
          <w:bCs w:val="0"/>
          <w:color w:val="auto"/>
          <w:sz w:val="52"/>
          <w:szCs w:val="52"/>
          <w:highlight w:val="none"/>
          <w:lang w:val="en-US" w:eastAsia="zh-CN"/>
        </w:rPr>
        <w:t>部门</w:t>
      </w:r>
      <w:bookmarkStart w:id="0" w:name="_Toc12468"/>
      <w:bookmarkStart w:id="1" w:name="_Toc17810"/>
      <w:bookmarkStart w:id="2" w:name="_Toc14752"/>
      <w:bookmarkStart w:id="3" w:name="_Toc3612"/>
      <w:bookmarkStart w:id="4" w:name="_Toc12800"/>
      <w:bookmarkStart w:id="5" w:name="_Toc1942"/>
      <w:bookmarkStart w:id="6" w:name="_Toc31809"/>
      <w:bookmarkStart w:id="7" w:name="_Toc18717"/>
      <w:r>
        <w:rPr>
          <w:rFonts w:hint="default" w:ascii="Times New Roman" w:hAnsi="Times New Roman" w:eastAsia="方正小标宋_GBK" w:cs="Times New Roman"/>
          <w:b w:val="0"/>
          <w:bCs w:val="0"/>
          <w:color w:val="auto"/>
          <w:sz w:val="52"/>
          <w:szCs w:val="52"/>
          <w:highlight w:val="none"/>
          <w:lang w:eastAsia="zh-CN"/>
        </w:rPr>
        <w:t>整体支出绩效自评报告</w:t>
      </w:r>
      <w:bookmarkEnd w:id="0"/>
      <w:bookmarkEnd w:id="1"/>
      <w:bookmarkEnd w:id="2"/>
      <w:bookmarkEnd w:id="3"/>
      <w:bookmarkEnd w:id="4"/>
      <w:bookmarkEnd w:id="5"/>
      <w:bookmarkEnd w:id="6"/>
      <w:bookmarkEnd w:id="7"/>
    </w:p>
    <w:p w14:paraId="302BB7CB">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15FA5F27">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3AABEC1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1E53F0B1">
      <w:pPr>
        <w:pStyle w:val="23"/>
        <w:ind w:firstLine="0" w:firstLineChars="0"/>
        <w:rPr>
          <w:rFonts w:hint="default" w:ascii="Times New Roman" w:hAnsi="Times New Roman" w:eastAsia="方正小标宋_GBK" w:cs="Times New Roman"/>
          <w:b w:val="0"/>
          <w:bCs w:val="0"/>
          <w:color w:val="auto"/>
          <w:sz w:val="36"/>
          <w:szCs w:val="36"/>
          <w:highlight w:val="none"/>
          <w:lang w:eastAsia="zh-CN"/>
        </w:rPr>
      </w:pPr>
    </w:p>
    <w:p w14:paraId="3E95CA33">
      <w:pPr>
        <w:pStyle w:val="31"/>
        <w:ind w:firstLine="0" w:firstLineChars="0"/>
        <w:rPr>
          <w:rFonts w:hint="default" w:ascii="Times New Roman" w:hAnsi="Times New Roman" w:eastAsia="方正小标宋_GBK" w:cs="Times New Roman"/>
          <w:b w:val="0"/>
          <w:bCs w:val="0"/>
          <w:color w:val="auto"/>
          <w:sz w:val="36"/>
          <w:szCs w:val="36"/>
          <w:highlight w:val="none"/>
          <w:lang w:eastAsia="zh-CN"/>
        </w:rPr>
      </w:pPr>
    </w:p>
    <w:p w14:paraId="4A368E48">
      <w:pPr>
        <w:pStyle w:val="31"/>
        <w:ind w:firstLine="0" w:firstLineChars="0"/>
        <w:rPr>
          <w:rFonts w:hint="default" w:ascii="Times New Roman" w:hAnsi="Times New Roman" w:eastAsia="方正小标宋_GBK" w:cs="Times New Roman"/>
          <w:b w:val="0"/>
          <w:bCs w:val="0"/>
          <w:color w:val="auto"/>
          <w:sz w:val="36"/>
          <w:szCs w:val="36"/>
          <w:highlight w:val="none"/>
          <w:lang w:eastAsia="zh-CN"/>
        </w:rPr>
      </w:pPr>
    </w:p>
    <w:p w14:paraId="39B5C3A2">
      <w:pPr>
        <w:pStyle w:val="31"/>
        <w:ind w:firstLine="0" w:firstLineChars="0"/>
        <w:rPr>
          <w:rFonts w:hint="default" w:ascii="Times New Roman" w:hAnsi="Times New Roman" w:eastAsia="方正小标宋_GBK" w:cs="Times New Roman"/>
          <w:b w:val="0"/>
          <w:bCs w:val="0"/>
          <w:color w:val="auto"/>
          <w:sz w:val="36"/>
          <w:szCs w:val="36"/>
          <w:highlight w:val="none"/>
          <w:lang w:eastAsia="zh-CN"/>
        </w:rPr>
      </w:pPr>
    </w:p>
    <w:p w14:paraId="36367AD1">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3B072FCA">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4EE4A2BF">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0FCC1A6C">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6"/>
          <w:szCs w:val="36"/>
          <w:highlight w:val="none"/>
          <w:lang w:eastAsia="zh-CN"/>
        </w:rPr>
      </w:pPr>
    </w:p>
    <w:p w14:paraId="3CCD9493">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2"/>
          <w:szCs w:val="32"/>
          <w:highlight w:val="none"/>
          <w:lang w:eastAsia="zh-CN"/>
        </w:rPr>
      </w:pPr>
    </w:p>
    <w:p w14:paraId="63B6B764">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2"/>
          <w:szCs w:val="32"/>
          <w:highlight w:val="none"/>
          <w:lang w:eastAsia="zh-CN"/>
        </w:rPr>
      </w:pPr>
      <w:r>
        <w:rPr>
          <w:rFonts w:hint="default" w:ascii="Times New Roman" w:hAnsi="Times New Roman" w:eastAsia="方正小标宋_GBK" w:cs="Times New Roman"/>
          <w:b w:val="0"/>
          <w:bCs w:val="0"/>
          <w:color w:val="auto"/>
          <w:sz w:val="32"/>
          <w:szCs w:val="32"/>
          <w:highlight w:val="none"/>
          <w:lang w:eastAsia="zh-CN"/>
        </w:rPr>
        <w:t>单位名称：</w:t>
      </w:r>
      <w:r>
        <w:rPr>
          <w:rFonts w:hint="default" w:ascii="Times New Roman" w:hAnsi="Times New Roman" w:eastAsia="方正小标宋_GBK" w:cs="Times New Roman"/>
          <w:b w:val="0"/>
          <w:bCs w:val="0"/>
          <w:color w:val="auto"/>
          <w:sz w:val="32"/>
          <w:szCs w:val="32"/>
          <w:highlight w:val="none"/>
          <w:u w:val="single"/>
          <w:lang w:eastAsia="zh-CN"/>
        </w:rPr>
        <w:t>湖南省文化和旅游厅</w:t>
      </w:r>
    </w:p>
    <w:p w14:paraId="1C26999D">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32"/>
          <w:szCs w:val="32"/>
          <w:highlight w:val="none"/>
          <w:lang w:eastAsia="zh-CN"/>
        </w:rPr>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方正小标宋_GBK" w:cs="Times New Roman"/>
          <w:b w:val="0"/>
          <w:bCs w:val="0"/>
          <w:color w:val="auto"/>
          <w:sz w:val="32"/>
          <w:szCs w:val="32"/>
          <w:highlight w:val="none"/>
          <w:lang w:eastAsia="zh-CN"/>
        </w:rPr>
        <w:t>202</w:t>
      </w:r>
      <w:r>
        <w:rPr>
          <w:rFonts w:hint="default" w:ascii="Times New Roman" w:hAnsi="Times New Roman" w:eastAsia="方正小标宋_GBK" w:cs="Times New Roman"/>
          <w:b w:val="0"/>
          <w:bCs w:val="0"/>
          <w:color w:val="auto"/>
          <w:sz w:val="32"/>
          <w:szCs w:val="32"/>
          <w:highlight w:val="none"/>
          <w:lang w:val="en-US" w:eastAsia="zh-CN"/>
        </w:rPr>
        <w:t>6</w:t>
      </w:r>
      <w:r>
        <w:rPr>
          <w:rFonts w:hint="default" w:ascii="Times New Roman" w:hAnsi="Times New Roman" w:eastAsia="方正小标宋_GBK" w:cs="Times New Roman"/>
          <w:b w:val="0"/>
          <w:bCs w:val="0"/>
          <w:color w:val="auto"/>
          <w:sz w:val="32"/>
          <w:szCs w:val="32"/>
          <w:highlight w:val="none"/>
          <w:lang w:eastAsia="zh-CN"/>
        </w:rPr>
        <w:t>年</w:t>
      </w:r>
      <w:r>
        <w:rPr>
          <w:rFonts w:hint="default" w:ascii="Times New Roman" w:hAnsi="Times New Roman" w:eastAsia="方正小标宋_GBK" w:cs="Times New Roman"/>
          <w:b w:val="0"/>
          <w:bCs w:val="0"/>
          <w:color w:val="auto"/>
          <w:sz w:val="32"/>
          <w:szCs w:val="32"/>
          <w:highlight w:val="none"/>
          <w:lang w:val="en-US" w:eastAsia="zh-CN"/>
        </w:rPr>
        <w:t>5</w:t>
      </w:r>
      <w:r>
        <w:rPr>
          <w:rFonts w:hint="default" w:ascii="Times New Roman" w:hAnsi="Times New Roman" w:eastAsia="方正小标宋_GBK" w:cs="Times New Roman"/>
          <w:b w:val="0"/>
          <w:bCs w:val="0"/>
          <w:color w:val="auto"/>
          <w:sz w:val="32"/>
          <w:szCs w:val="32"/>
          <w:highlight w:val="none"/>
          <w:lang w:eastAsia="zh-CN"/>
        </w:rPr>
        <w:t>月</w:t>
      </w:r>
    </w:p>
    <w:sdt>
      <w:sdtPr>
        <w:rPr>
          <w:rFonts w:hint="default" w:ascii="Times New Roman" w:hAnsi="Times New Roman" w:eastAsia="仿宋_GB2312" w:cs="Times New Roman"/>
          <w:color w:val="auto"/>
          <w:kern w:val="2"/>
          <w:sz w:val="21"/>
          <w:szCs w:val="21"/>
          <w:highlight w:val="none"/>
          <w:lang w:val="en-US" w:eastAsia="zh-CN" w:bidi="ar-SA"/>
        </w:rPr>
        <w:id w:val="147479256"/>
        <w15:color w:val="DBDBDB"/>
        <w:docPartObj>
          <w:docPartGallery w:val="Table of Contents"/>
          <w:docPartUnique/>
        </w:docPartObj>
      </w:sdtPr>
      <w:sdtEndPr>
        <w:rPr>
          <w:rFonts w:hint="default" w:ascii="Times New Roman" w:hAnsi="Times New Roman" w:eastAsia="仿宋_GB2312" w:cs="Times New Roman"/>
          <w:b/>
          <w:color w:val="auto"/>
          <w:kern w:val="2"/>
          <w:sz w:val="21"/>
          <w:szCs w:val="21"/>
          <w:highlight w:val="none"/>
          <w:lang w:val="en-US" w:eastAsia="zh-CN" w:bidi="ar-SA"/>
        </w:rPr>
      </w:sdtEndPr>
      <w:sdtContent>
        <w:p w14:paraId="64A69C9F">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default" w:ascii="Times New Roman" w:hAnsi="Times New Roman" w:eastAsia="仿宋_GB2312" w:cs="Times New Roman"/>
              <w:bCs w:val="0"/>
              <w:color w:val="auto"/>
              <w:kern w:val="2"/>
              <w:sz w:val="21"/>
              <w:szCs w:val="21"/>
              <w:highlight w:val="none"/>
              <w:lang w:val="en-US" w:eastAsia="zh-CN" w:bidi="ar-SA"/>
            </w:rPr>
          </w:pPr>
          <w:r>
            <w:rPr>
              <w:rFonts w:hint="default" w:ascii="Times New Roman" w:hAnsi="Times New Roman" w:eastAsia="黑体" w:cs="Times New Roman"/>
              <w:b w:val="0"/>
              <w:bCs w:val="0"/>
              <w:color w:val="auto"/>
              <w:sz w:val="32"/>
              <w:szCs w:val="32"/>
              <w:highlight w:val="none"/>
            </w:rPr>
            <w:t>目</w:t>
          </w:r>
          <w:r>
            <w:rPr>
              <w:rFonts w:hint="default" w:ascii="Times New Roman" w:hAnsi="Times New Roman" w:eastAsia="黑体" w:cs="Times New Roman"/>
              <w:b w:val="0"/>
              <w:bCs w:val="0"/>
              <w:color w:val="auto"/>
              <w:sz w:val="32"/>
              <w:szCs w:val="32"/>
              <w:highlight w:val="none"/>
              <w:lang w:val="en-US" w:eastAsia="zh-CN"/>
            </w:rPr>
            <w:t xml:space="preserve"> </w:t>
          </w:r>
          <w:r>
            <w:rPr>
              <w:rFonts w:hint="default" w:ascii="Times New Roman" w:hAnsi="Times New Roman" w:eastAsia="黑体" w:cs="Times New Roman"/>
              <w:b w:val="0"/>
              <w:bCs w:val="0"/>
              <w:color w:val="auto"/>
              <w:sz w:val="32"/>
              <w:szCs w:val="32"/>
              <w:highlight w:val="none"/>
            </w:rPr>
            <w:t>录</w:t>
          </w:r>
          <w:r>
            <w:rPr>
              <w:rFonts w:hint="default" w:ascii="Times New Roman" w:hAnsi="Times New Roman" w:eastAsia="仿宋_GB2312" w:cs="Times New Roman"/>
              <w:b w:val="0"/>
              <w:bCs w:val="0"/>
              <w:color w:val="auto"/>
              <w:sz w:val="21"/>
              <w:szCs w:val="21"/>
              <w:highlight w:val="none"/>
            </w:rPr>
            <w:fldChar w:fldCharType="begin"/>
          </w:r>
          <w:r>
            <w:rPr>
              <w:rFonts w:hint="default" w:ascii="Times New Roman" w:hAnsi="Times New Roman" w:eastAsia="仿宋_GB2312" w:cs="Times New Roman"/>
              <w:b w:val="0"/>
              <w:bCs w:val="0"/>
              <w:color w:val="auto"/>
              <w:sz w:val="21"/>
              <w:szCs w:val="21"/>
              <w:highlight w:val="none"/>
            </w:rPr>
            <w:instrText xml:space="preserve">TOC \o "1-2" \h \u </w:instrText>
          </w:r>
          <w:r>
            <w:rPr>
              <w:rFonts w:hint="default" w:ascii="Times New Roman" w:hAnsi="Times New Roman" w:eastAsia="仿宋_GB2312" w:cs="Times New Roman"/>
              <w:b w:val="0"/>
              <w:bCs w:val="0"/>
              <w:color w:val="auto"/>
              <w:sz w:val="21"/>
              <w:szCs w:val="21"/>
              <w:highlight w:val="none"/>
            </w:rPr>
            <w:fldChar w:fldCharType="separate"/>
          </w:r>
        </w:p>
        <w:p w14:paraId="2D561BA0">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_Toc2966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rPr>
            <w:t xml:space="preserve">一、 </w:t>
          </w:r>
          <w:r>
            <w:rPr>
              <w:rFonts w:hint="default" w:ascii="Times New Roman" w:hAnsi="Times New Roman" w:eastAsia="仿宋_GB2312" w:cs="Times New Roman"/>
              <w:sz w:val="22"/>
              <w:szCs w:val="22"/>
              <w:highlight w:val="none"/>
            </w:rPr>
            <w:t>基本情况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_Toc2966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774B351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_Toc25849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rPr>
            <w:t>（一）职能</w:t>
          </w:r>
          <w:r>
            <w:rPr>
              <w:rFonts w:hint="default" w:ascii="Times New Roman" w:hAnsi="Times New Roman" w:eastAsia="仿宋_GB2312" w:cs="Times New Roman"/>
              <w:sz w:val="22"/>
              <w:szCs w:val="22"/>
              <w:highlight w:val="none"/>
              <w:lang w:eastAsia="zh-CN"/>
            </w:rPr>
            <w:t>职责</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_Toc25849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5D8EFE52">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_Toc13841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rPr>
            <w:t>（二）机构设置及人员情况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_Toc13841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2</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2D6DE6D0">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_Toc8371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rPr>
            <w:t>（三）部门整体收支情况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_Toc8371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3</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56A1F8D1">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_Toc9723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lang w:val="en-US" w:eastAsia="zh-CN"/>
            </w:rPr>
            <w:t xml:space="preserve">二、 </w:t>
          </w:r>
          <w:r>
            <w:rPr>
              <w:rFonts w:hint="default" w:ascii="Times New Roman" w:hAnsi="Times New Roman" w:eastAsia="仿宋_GB2312" w:cs="Times New Roman"/>
              <w:sz w:val="22"/>
              <w:szCs w:val="22"/>
              <w:highlight w:val="none"/>
              <w:lang w:val="en-US" w:eastAsia="zh-CN"/>
            </w:rPr>
            <w:t>一般公共预算支出情况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_Toc9723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4</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1D57713A">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_Toc27079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lang w:val="en-US" w:eastAsia="zh-CN"/>
            </w:rPr>
            <w:t>（一）基本支出情况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_Toc27079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4</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7AB4E31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_Toc31209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lang w:val="en-US" w:eastAsia="zh-CN"/>
            </w:rPr>
            <w:t>（二）项目支出情况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_Toc31209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6</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5C648CF7">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_Toc29597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lang w:val="en-US" w:eastAsia="zh-CN" w:bidi="ar"/>
            </w:rPr>
            <w:t>（三）省级专项资金分配安排和使用管理情况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_Toc29597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6</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44A69F1A">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_Toc4644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lang w:val="en-US" w:eastAsia="zh-CN"/>
            </w:rPr>
            <w:t>（四）厅系统项目资金预算执行情况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_Toc4644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7</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60F08391">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_Toc13784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（五）管理制度建立与执行管理情况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_Toc13784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9</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23D9768F">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_Toc9813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三、政府性基金预算支出情况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_Toc9813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10</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6992E380">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_Toc30145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四、国有资本经营预算支出情况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_Toc30145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10</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3B3DB6B5">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_Toc18880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五、社会保险基金预算支出情况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_Toc18880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10</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274315C1">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_Toc22571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六、部门整体支出绩效自评工作情况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_Toc22571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10</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3756767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_Toc23075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rPr>
            <w:t>（一）</w:t>
          </w:r>
          <w:r>
            <w:rPr>
              <w:rFonts w:hint="default" w:ascii="Times New Roman" w:hAnsi="Times New Roman" w:eastAsia="仿宋_GB2312" w:cs="Times New Roman"/>
              <w:bCs/>
              <w:sz w:val="22"/>
              <w:szCs w:val="22"/>
              <w:highlight w:val="none"/>
              <w:lang w:val="en-US" w:eastAsia="zh-CN"/>
            </w:rPr>
            <w:t>自评</w:t>
          </w:r>
          <w:r>
            <w:rPr>
              <w:rFonts w:hint="default" w:ascii="Times New Roman" w:hAnsi="Times New Roman" w:eastAsia="仿宋_GB2312" w:cs="Times New Roman"/>
              <w:bCs/>
              <w:sz w:val="22"/>
              <w:szCs w:val="22"/>
              <w:highlight w:val="none"/>
            </w:rPr>
            <w:t>依据</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_Toc23075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11</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198C10E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_Toc10053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rPr>
            <w:t>（二）</w:t>
          </w:r>
          <w:r>
            <w:rPr>
              <w:rFonts w:hint="default" w:ascii="Times New Roman" w:hAnsi="Times New Roman" w:eastAsia="仿宋_GB2312" w:cs="Times New Roman"/>
              <w:bCs/>
              <w:sz w:val="22"/>
              <w:szCs w:val="22"/>
              <w:highlight w:val="none"/>
              <w:lang w:val="en-US" w:eastAsia="zh-CN"/>
            </w:rPr>
            <w:t>自评</w:t>
          </w:r>
          <w:r>
            <w:rPr>
              <w:rFonts w:hint="default" w:ascii="Times New Roman" w:hAnsi="Times New Roman" w:eastAsia="仿宋_GB2312" w:cs="Times New Roman"/>
              <w:bCs/>
              <w:sz w:val="22"/>
              <w:szCs w:val="22"/>
              <w:highlight w:val="none"/>
            </w:rPr>
            <w:t>程序</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_Toc10053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11</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3A48F805">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_Toc30382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val="0"/>
              <w:kern w:val="2"/>
              <w:sz w:val="22"/>
              <w:szCs w:val="22"/>
              <w:highlight w:val="none"/>
            </w:rPr>
            <w:t>（三）自评结果</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_Toc30382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12</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48921232">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_Toc5177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七、部门整体支出绩效情况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_Toc5177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12</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2F1F4779">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_Toc18360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rPr>
            <w:t>八、存在的问题及原因分析</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_Toc18360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16</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61608542">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_Toc14986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highlight w:val="none"/>
              <w:lang w:val="en-US" w:eastAsia="zh-CN"/>
            </w:rPr>
            <w:t>九、下一步改进措施</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_Toc14986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17</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19CBB316">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_Toc25881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bidi="ar"/>
            </w:rPr>
            <w:t>（一）强化前期论证，提升预算编制科学化精细化水平</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_Toc25881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17</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404BC8E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_Toc7048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bidi="ar"/>
            </w:rPr>
            <w:t>（二）压实执行责任，提升预算执行均衡性与时效性</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_Toc7048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17</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77F71E19">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_Toc22611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bidi="ar"/>
            </w:rPr>
            <w:t>（三）健全闭环管理，构建全过程预算绩效管理体系</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_Toc22611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18</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4E2FE81B">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_Toc14942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sz w:val="22"/>
              <w:szCs w:val="22"/>
              <w:highlight w:val="none"/>
              <w:lang w:val="en-US" w:eastAsia="zh-CN" w:bidi="ar"/>
            </w:rPr>
            <w:t>（四）严格履行复核稽核职责，抓实财务管理工作</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_Toc14942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18</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7A54916A">
          <w:pPr>
            <w:pStyle w:val="17"/>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_Toc24808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sz w:val="22"/>
              <w:szCs w:val="22"/>
              <w:lang w:val="en-US" w:eastAsia="zh-CN"/>
            </w:rPr>
            <w:t>十</w:t>
          </w:r>
          <w:r>
            <w:rPr>
              <w:rFonts w:hint="default" w:ascii="Times New Roman" w:hAnsi="Times New Roman" w:eastAsia="仿宋_GB2312" w:cs="Times New Roman"/>
              <w:sz w:val="22"/>
              <w:szCs w:val="22"/>
            </w:rPr>
            <w:t>、绩效自评结果拟应用和公开情况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_Toc24808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19</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79BACE6C">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2"/>
              <w:szCs w:val="22"/>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_Toc1405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val="0"/>
              <w:kern w:val="2"/>
              <w:sz w:val="22"/>
              <w:szCs w:val="22"/>
              <w:lang w:val="en-US" w:eastAsia="zh-CN" w:bidi="ar-SA"/>
            </w:rPr>
            <w:t>（一）绩效自评结果的应用</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_Toc1405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19</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576C3592">
          <w:pPr>
            <w:pStyle w:val="19"/>
            <w:keepNext w:val="0"/>
            <w:keepLines w:val="0"/>
            <w:pageBreakBefore w:val="0"/>
            <w:widowControl w:val="0"/>
            <w:tabs>
              <w:tab w:val="right" w:leader="dot" w:pos="8306"/>
            </w:tabs>
            <w:kinsoku/>
            <w:wordWrap/>
            <w:overflowPunct/>
            <w:topLinePunct w:val="0"/>
            <w:autoSpaceDE/>
            <w:autoSpaceDN/>
            <w:bidi w:val="0"/>
            <w:adjustRightInd/>
            <w:snapToGrid/>
            <w:spacing w:line="460" w:lineRule="exact"/>
            <w:ind w:firstLine="0" w:firstLineChars="0"/>
            <w:textAlignment w:val="auto"/>
            <w:rPr>
              <w:rFonts w:hint="default" w:ascii="Times New Roman" w:hAnsi="Times New Roman" w:eastAsia="仿宋_GB2312" w:cs="Times New Roman"/>
              <w:sz w:val="21"/>
              <w:szCs w:val="21"/>
            </w:rPr>
          </w:pPr>
          <w:r>
            <w:rPr>
              <w:rFonts w:hint="default" w:ascii="Times New Roman" w:hAnsi="Times New Roman" w:eastAsia="仿宋_GB2312" w:cs="Times New Roman"/>
              <w:bCs w:val="0"/>
              <w:color w:val="auto"/>
              <w:sz w:val="22"/>
              <w:szCs w:val="22"/>
              <w:highlight w:val="none"/>
            </w:rPr>
            <w:fldChar w:fldCharType="begin"/>
          </w:r>
          <w:r>
            <w:rPr>
              <w:rFonts w:hint="default" w:ascii="Times New Roman" w:hAnsi="Times New Roman" w:eastAsia="仿宋_GB2312" w:cs="Times New Roman"/>
              <w:bCs w:val="0"/>
              <w:sz w:val="22"/>
              <w:szCs w:val="22"/>
              <w:highlight w:val="none"/>
            </w:rPr>
            <w:instrText xml:space="preserve"> HYPERLINK \l _Toc5270 </w:instrText>
          </w:r>
          <w:r>
            <w:rPr>
              <w:rFonts w:hint="default" w:ascii="Times New Roman" w:hAnsi="Times New Roman" w:eastAsia="仿宋_GB2312" w:cs="Times New Roman"/>
              <w:bCs w:val="0"/>
              <w:sz w:val="22"/>
              <w:szCs w:val="22"/>
              <w:highlight w:val="none"/>
            </w:rPr>
            <w:fldChar w:fldCharType="separate"/>
          </w:r>
          <w:r>
            <w:rPr>
              <w:rFonts w:hint="default" w:ascii="Times New Roman" w:hAnsi="Times New Roman" w:eastAsia="仿宋_GB2312" w:cs="Times New Roman"/>
              <w:bCs w:val="0"/>
              <w:kern w:val="2"/>
              <w:sz w:val="22"/>
              <w:szCs w:val="22"/>
              <w:lang w:val="en-US" w:eastAsia="zh-CN" w:bidi="ar-SA"/>
            </w:rPr>
            <w:t>（二）绩效自评结果公开情况</w:t>
          </w:r>
          <w:r>
            <w:rPr>
              <w:rFonts w:hint="default" w:ascii="Times New Roman" w:hAnsi="Times New Roman" w:eastAsia="仿宋_GB2312" w:cs="Times New Roman"/>
              <w:sz w:val="22"/>
              <w:szCs w:val="22"/>
            </w:rPr>
            <w:tab/>
          </w:r>
          <w:r>
            <w:rPr>
              <w:rFonts w:hint="default" w:ascii="Times New Roman" w:hAnsi="Times New Roman" w:eastAsia="仿宋_GB2312" w:cs="Times New Roman"/>
              <w:sz w:val="22"/>
              <w:szCs w:val="22"/>
            </w:rPr>
            <w:fldChar w:fldCharType="begin"/>
          </w:r>
          <w:r>
            <w:rPr>
              <w:rFonts w:hint="default" w:ascii="Times New Roman" w:hAnsi="Times New Roman" w:eastAsia="仿宋_GB2312" w:cs="Times New Roman"/>
              <w:sz w:val="22"/>
              <w:szCs w:val="22"/>
            </w:rPr>
            <w:instrText xml:space="preserve"> PAGEREF _Toc5270 \h </w:instrText>
          </w:r>
          <w:r>
            <w:rPr>
              <w:rFonts w:hint="default" w:ascii="Times New Roman" w:hAnsi="Times New Roman" w:eastAsia="仿宋_GB2312" w:cs="Times New Roman"/>
              <w:sz w:val="22"/>
              <w:szCs w:val="22"/>
            </w:rPr>
            <w:fldChar w:fldCharType="separate"/>
          </w:r>
          <w:r>
            <w:rPr>
              <w:rFonts w:hint="default" w:ascii="Times New Roman" w:hAnsi="Times New Roman" w:eastAsia="仿宋_GB2312" w:cs="Times New Roman"/>
              <w:sz w:val="22"/>
              <w:szCs w:val="22"/>
            </w:rPr>
            <w:t>19</w:t>
          </w:r>
          <w:r>
            <w:rPr>
              <w:rFonts w:hint="default" w:ascii="Times New Roman" w:hAnsi="Times New Roman" w:eastAsia="仿宋_GB2312" w:cs="Times New Roman"/>
              <w:sz w:val="22"/>
              <w:szCs w:val="22"/>
            </w:rPr>
            <w:fldChar w:fldCharType="end"/>
          </w:r>
          <w:r>
            <w:rPr>
              <w:rFonts w:hint="default" w:ascii="Times New Roman" w:hAnsi="Times New Roman" w:eastAsia="仿宋_GB2312" w:cs="Times New Roman"/>
              <w:bCs w:val="0"/>
              <w:color w:val="auto"/>
              <w:sz w:val="22"/>
              <w:szCs w:val="22"/>
              <w:highlight w:val="none"/>
            </w:rPr>
            <w:fldChar w:fldCharType="end"/>
          </w:r>
        </w:p>
        <w:p w14:paraId="229751B8">
          <w:pPr>
            <w:keepNext w:val="0"/>
            <w:keepLines w:val="0"/>
            <w:pageBreakBefore w:val="0"/>
            <w:widowControl w:val="0"/>
            <w:kinsoku/>
            <w:wordWrap/>
            <w:overflowPunct/>
            <w:topLinePunct w:val="0"/>
            <w:autoSpaceDE/>
            <w:autoSpaceDN/>
            <w:bidi w:val="0"/>
            <w:adjustRightInd/>
            <w:snapToGrid/>
            <w:spacing w:before="0" w:beforeLines="0" w:after="0" w:afterLines="0" w:line="480" w:lineRule="exact"/>
            <w:ind w:left="0" w:leftChars="0" w:right="0" w:rightChars="0" w:firstLine="0" w:firstLineChars="0"/>
            <w:jc w:val="center"/>
            <w:textAlignment w:val="auto"/>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bCs w:val="0"/>
              <w:color w:val="auto"/>
              <w:sz w:val="21"/>
              <w:szCs w:val="21"/>
              <w:highlight w:val="none"/>
            </w:rPr>
            <w:fldChar w:fldCharType="end"/>
          </w:r>
        </w:p>
      </w:sdtContent>
    </w:sdt>
    <w:p w14:paraId="1F316603">
      <w:pPr>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default" w:ascii="Times New Roman" w:hAnsi="Times New Roman" w:eastAsia="仿宋_GB2312" w:cs="Times New Roman"/>
          <w:b w:val="0"/>
          <w:bCs w:val="0"/>
          <w:color w:val="auto"/>
          <w:sz w:val="21"/>
          <w:szCs w:val="21"/>
          <w:highlight w:val="none"/>
          <w:lang w:val="en-US" w:eastAsia="zh-CN"/>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459DE0B6">
      <w:pPr>
        <w:keepNext w:val="0"/>
        <w:keepLines w:val="0"/>
        <w:pageBreakBefore w:val="0"/>
        <w:widowControl w:val="0"/>
        <w:kinsoku/>
        <w:wordWrap/>
        <w:overflowPunct/>
        <w:topLinePunct w:val="0"/>
        <w:autoSpaceDE/>
        <w:autoSpaceDN/>
        <w:bidi w:val="0"/>
        <w:adjustRightInd/>
        <w:snapToGrid/>
        <w:spacing w:line="600" w:lineRule="exact"/>
        <w:ind w:firstLine="0" w:firstLineChars="0"/>
        <w:jc w:val="center"/>
        <w:textAlignment w:val="auto"/>
        <w:rPr>
          <w:rFonts w:hint="default" w:ascii="Times New Roman" w:hAnsi="Times New Roman" w:eastAsia="方正小标宋_GBK" w:cs="Times New Roman"/>
          <w:b w:val="0"/>
          <w:bCs w:val="0"/>
          <w:color w:val="auto"/>
          <w:sz w:val="40"/>
          <w:szCs w:val="40"/>
          <w:highlight w:val="none"/>
          <w:lang w:eastAsia="zh-CN"/>
        </w:rPr>
      </w:pPr>
      <w:r>
        <w:rPr>
          <w:rFonts w:hint="default" w:ascii="Times New Roman" w:hAnsi="Times New Roman" w:eastAsia="方正小标宋_GBK" w:cs="Times New Roman"/>
          <w:b w:val="0"/>
          <w:bCs w:val="0"/>
          <w:color w:val="auto"/>
          <w:sz w:val="40"/>
          <w:szCs w:val="40"/>
          <w:highlight w:val="none"/>
        </w:rPr>
        <w:t>湖南省文化</w:t>
      </w:r>
      <w:r>
        <w:rPr>
          <w:rFonts w:hint="default" w:ascii="Times New Roman" w:hAnsi="Times New Roman" w:eastAsia="方正小标宋_GBK" w:cs="Times New Roman"/>
          <w:b w:val="0"/>
          <w:bCs w:val="0"/>
          <w:color w:val="auto"/>
          <w:sz w:val="40"/>
          <w:szCs w:val="40"/>
          <w:highlight w:val="none"/>
          <w:lang w:eastAsia="zh-CN"/>
        </w:rPr>
        <w:t>和</w:t>
      </w:r>
      <w:r>
        <w:rPr>
          <w:rFonts w:hint="default" w:ascii="Times New Roman" w:hAnsi="Times New Roman" w:eastAsia="方正小标宋_GBK" w:cs="Times New Roman"/>
          <w:b w:val="0"/>
          <w:bCs w:val="0"/>
          <w:color w:val="auto"/>
          <w:sz w:val="40"/>
          <w:szCs w:val="40"/>
          <w:highlight w:val="none"/>
        </w:rPr>
        <w:t>旅游厅</w:t>
      </w:r>
      <w:r>
        <w:rPr>
          <w:rFonts w:hint="default" w:ascii="Times New Roman" w:hAnsi="Times New Roman" w:eastAsia="方正小标宋_GBK" w:cs="Times New Roman"/>
          <w:b w:val="0"/>
          <w:bCs w:val="0"/>
          <w:color w:val="auto"/>
          <w:sz w:val="40"/>
          <w:szCs w:val="40"/>
          <w:highlight w:val="none"/>
          <w:lang w:val="en-US" w:eastAsia="zh-CN"/>
        </w:rPr>
        <w:t>2025</w:t>
      </w:r>
      <w:r>
        <w:rPr>
          <w:rFonts w:hint="default" w:ascii="Times New Roman" w:hAnsi="Times New Roman" w:eastAsia="方正小标宋_GBK" w:cs="Times New Roman"/>
          <w:b w:val="0"/>
          <w:bCs w:val="0"/>
          <w:color w:val="auto"/>
          <w:sz w:val="40"/>
          <w:szCs w:val="40"/>
          <w:highlight w:val="none"/>
        </w:rPr>
        <w:t>年度</w:t>
      </w:r>
      <w:r>
        <w:rPr>
          <w:rFonts w:hint="default" w:ascii="Times New Roman" w:hAnsi="Times New Roman" w:eastAsia="方正小标宋_GBK" w:cs="Times New Roman"/>
          <w:b w:val="0"/>
          <w:bCs w:val="0"/>
          <w:color w:val="auto"/>
          <w:sz w:val="40"/>
          <w:szCs w:val="40"/>
          <w:highlight w:val="none"/>
          <w:lang w:val="en-US" w:eastAsia="zh-CN"/>
        </w:rPr>
        <w:t>部门整体支出</w:t>
      </w:r>
      <w:bookmarkStart w:id="8" w:name="_Toc5240"/>
      <w:bookmarkStart w:id="9" w:name="_Toc16081"/>
      <w:bookmarkStart w:id="10" w:name="_Toc27253"/>
      <w:bookmarkStart w:id="11" w:name="_Toc27855"/>
      <w:bookmarkStart w:id="12" w:name="_Toc20323"/>
      <w:bookmarkStart w:id="13" w:name="_Toc959"/>
      <w:bookmarkStart w:id="14" w:name="_Toc6155"/>
      <w:bookmarkStart w:id="15" w:name="_Toc32615"/>
      <w:r>
        <w:rPr>
          <w:rFonts w:hint="default" w:ascii="Times New Roman" w:hAnsi="Times New Roman" w:eastAsia="方正小标宋_GBK" w:cs="Times New Roman"/>
          <w:b w:val="0"/>
          <w:bCs w:val="0"/>
          <w:color w:val="auto"/>
          <w:sz w:val="40"/>
          <w:szCs w:val="40"/>
          <w:highlight w:val="none"/>
        </w:rPr>
        <w:t>绩效</w:t>
      </w:r>
      <w:r>
        <w:rPr>
          <w:rFonts w:hint="default" w:ascii="Times New Roman" w:hAnsi="Times New Roman" w:eastAsia="方正小标宋_GBK" w:cs="Times New Roman"/>
          <w:b w:val="0"/>
          <w:bCs w:val="0"/>
          <w:color w:val="auto"/>
          <w:sz w:val="40"/>
          <w:szCs w:val="40"/>
          <w:highlight w:val="none"/>
          <w:lang w:val="en-US" w:eastAsia="zh-CN"/>
        </w:rPr>
        <w:t>自评</w:t>
      </w:r>
      <w:r>
        <w:rPr>
          <w:rFonts w:hint="default" w:ascii="Times New Roman" w:hAnsi="Times New Roman" w:eastAsia="方正小标宋_GBK" w:cs="Times New Roman"/>
          <w:b w:val="0"/>
          <w:bCs w:val="0"/>
          <w:color w:val="auto"/>
          <w:sz w:val="40"/>
          <w:szCs w:val="40"/>
          <w:highlight w:val="none"/>
          <w:lang w:eastAsia="zh-CN"/>
        </w:rPr>
        <w:t>报告</w:t>
      </w:r>
      <w:bookmarkEnd w:id="8"/>
      <w:bookmarkEnd w:id="9"/>
      <w:bookmarkEnd w:id="10"/>
      <w:bookmarkEnd w:id="11"/>
      <w:bookmarkEnd w:id="12"/>
      <w:bookmarkEnd w:id="13"/>
      <w:bookmarkEnd w:id="14"/>
      <w:bookmarkEnd w:id="15"/>
    </w:p>
    <w:p w14:paraId="1641EDEE">
      <w:pPr>
        <w:bidi w:val="0"/>
        <w:spacing w:line="560" w:lineRule="exact"/>
        <w:ind w:left="0" w:leftChars="0" w:firstLine="0" w:firstLineChars="0"/>
        <w:rPr>
          <w:rFonts w:hint="default" w:ascii="Times New Roman" w:hAnsi="Times New Roman" w:cs="Times New Roman"/>
          <w:color w:val="auto"/>
          <w:szCs w:val="32"/>
          <w:highlight w:val="none"/>
        </w:rPr>
      </w:pPr>
    </w:p>
    <w:p w14:paraId="4E5F08D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szCs w:val="32"/>
          <w:highlight w:val="none"/>
        </w:rPr>
      </w:pPr>
      <w:r>
        <w:rPr>
          <w:rFonts w:hint="default" w:ascii="Times New Roman" w:hAnsi="Times New Roman" w:eastAsia="仿宋_GB2312" w:cs="Times New Roman"/>
          <w:sz w:val="32"/>
          <w:szCs w:val="32"/>
          <w:highlight w:val="none"/>
        </w:rPr>
        <w:t>根据《湖南省财政厅关于开展2025年度省级预算部门绩效自评和部门评价的通知》（湘财绩〔202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〕2号）</w:t>
      </w:r>
      <w:r>
        <w:rPr>
          <w:rFonts w:hint="default" w:ascii="Times New Roman" w:hAnsi="Times New Roman" w:eastAsia="仿宋_GB2312" w:cs="Times New Roman"/>
          <w:color w:val="auto"/>
          <w:sz w:val="32"/>
          <w:szCs w:val="32"/>
          <w:highlight w:val="none"/>
        </w:rPr>
        <w:t>文件精神，</w:t>
      </w:r>
      <w:r>
        <w:rPr>
          <w:rFonts w:hint="default" w:ascii="Times New Roman" w:hAnsi="Times New Roman" w:cs="Times New Roman"/>
          <w:color w:val="auto"/>
          <w:szCs w:val="32"/>
          <w:highlight w:val="none"/>
          <w:lang w:val="en-US" w:eastAsia="zh-CN"/>
        </w:rPr>
        <w:t>湖南省文化和旅游厅</w:t>
      </w:r>
      <w:r>
        <w:rPr>
          <w:rFonts w:hint="default" w:ascii="Times New Roman" w:hAnsi="Times New Roman" w:eastAsia="仿宋_GB2312" w:cs="Times New Roman"/>
          <w:color w:val="auto"/>
          <w:sz w:val="32"/>
          <w:szCs w:val="32"/>
          <w:highlight w:val="none"/>
        </w:rPr>
        <w:t>对部门整体支出</w:t>
      </w:r>
      <w:r>
        <w:rPr>
          <w:rFonts w:hint="default" w:ascii="Times New Roman" w:hAnsi="Times New Roman" w:cs="Times New Roman"/>
          <w:color w:val="auto"/>
          <w:sz w:val="32"/>
          <w:szCs w:val="32"/>
          <w:highlight w:val="none"/>
          <w:lang w:val="en-US" w:eastAsia="zh-CN"/>
        </w:rPr>
        <w:t>情况组织开展</w:t>
      </w:r>
      <w:r>
        <w:rPr>
          <w:rFonts w:hint="default" w:ascii="Times New Roman" w:hAnsi="Times New Roman" w:eastAsia="仿宋_GB2312" w:cs="Times New Roman"/>
          <w:color w:val="auto"/>
          <w:sz w:val="32"/>
          <w:szCs w:val="32"/>
          <w:highlight w:val="none"/>
        </w:rPr>
        <w:t>绩效评价，现</w:t>
      </w:r>
      <w:r>
        <w:rPr>
          <w:rFonts w:hint="default" w:ascii="Times New Roman" w:hAnsi="Times New Roman" w:cs="Times New Roman"/>
          <w:color w:val="auto"/>
          <w:sz w:val="32"/>
          <w:szCs w:val="32"/>
          <w:highlight w:val="none"/>
          <w:lang w:val="en-US" w:eastAsia="zh-CN"/>
        </w:rPr>
        <w:t>将评价结果</w:t>
      </w:r>
      <w:r>
        <w:rPr>
          <w:rFonts w:hint="default" w:ascii="Times New Roman" w:hAnsi="Times New Roman" w:eastAsia="仿宋_GB2312" w:cs="Times New Roman"/>
          <w:color w:val="auto"/>
          <w:sz w:val="32"/>
          <w:szCs w:val="32"/>
          <w:highlight w:val="none"/>
        </w:rPr>
        <w:t>报告如下：</w:t>
      </w:r>
    </w:p>
    <w:p w14:paraId="2064DC77">
      <w:pPr>
        <w:pStyle w:val="3"/>
        <w:numPr>
          <w:ilvl w:val="0"/>
          <w:numId w:val="1"/>
        </w:numPr>
        <w:bidi w:val="0"/>
        <w:outlineLvl w:val="0"/>
        <w:rPr>
          <w:rFonts w:hint="default" w:ascii="Times New Roman" w:hAnsi="Times New Roman" w:eastAsia="黑体" w:cs="Times New Roman"/>
          <w:b w:val="0"/>
          <w:bCs/>
          <w:color w:val="auto"/>
          <w:szCs w:val="32"/>
          <w:highlight w:val="none"/>
        </w:rPr>
      </w:pPr>
      <w:bookmarkStart w:id="16" w:name="_Toc2966"/>
      <w:bookmarkStart w:id="17" w:name="_Toc31047"/>
      <w:bookmarkStart w:id="18" w:name="_Toc31548"/>
      <w:r>
        <w:rPr>
          <w:rFonts w:hint="default" w:ascii="Times New Roman" w:hAnsi="Times New Roman" w:eastAsia="黑体" w:cs="Times New Roman"/>
          <w:b w:val="0"/>
          <w:bCs/>
          <w:color w:val="auto"/>
          <w:szCs w:val="32"/>
          <w:highlight w:val="none"/>
        </w:rPr>
        <w:t>基本情况</w:t>
      </w:r>
      <w:bookmarkEnd w:id="16"/>
      <w:bookmarkEnd w:id="17"/>
      <w:bookmarkEnd w:id="18"/>
    </w:p>
    <w:p w14:paraId="68ABD639">
      <w:pPr>
        <w:pStyle w:val="4"/>
        <w:bidi w:val="0"/>
        <w:rPr>
          <w:rFonts w:hint="default" w:ascii="Times New Roman" w:hAnsi="Times New Roman" w:eastAsia="楷体_GB2312" w:cs="Times New Roman"/>
          <w:color w:val="auto"/>
          <w:highlight w:val="none"/>
          <w:lang w:eastAsia="zh-CN"/>
        </w:rPr>
      </w:pPr>
      <w:bookmarkStart w:id="19" w:name="_Toc19177"/>
      <w:bookmarkStart w:id="20" w:name="_Toc25849"/>
      <w:bookmarkStart w:id="21" w:name="_Toc28183"/>
      <w:r>
        <w:rPr>
          <w:rFonts w:hint="default" w:ascii="Times New Roman" w:hAnsi="Times New Roman" w:eastAsia="楷体_GB2312" w:cs="Times New Roman"/>
          <w:color w:val="auto"/>
          <w:highlight w:val="none"/>
        </w:rPr>
        <w:t>（一）</w:t>
      </w:r>
      <w:bookmarkEnd w:id="19"/>
      <w:r>
        <w:rPr>
          <w:rFonts w:hint="default" w:ascii="Times New Roman" w:hAnsi="Times New Roman" w:eastAsia="楷体_GB2312" w:cs="Times New Roman"/>
          <w:color w:val="auto"/>
          <w:highlight w:val="none"/>
        </w:rPr>
        <w:t>职能</w:t>
      </w:r>
      <w:r>
        <w:rPr>
          <w:rFonts w:hint="default" w:ascii="Times New Roman" w:hAnsi="Times New Roman" w:eastAsia="楷体_GB2312" w:cs="Times New Roman"/>
          <w:color w:val="auto"/>
          <w:highlight w:val="none"/>
          <w:lang w:eastAsia="zh-CN"/>
        </w:rPr>
        <w:t>职责</w:t>
      </w:r>
      <w:bookmarkEnd w:id="20"/>
      <w:bookmarkEnd w:id="21"/>
    </w:p>
    <w:p w14:paraId="7597CA57">
      <w:pPr>
        <w:bidi w:val="0"/>
        <w:spacing w:line="560" w:lineRule="exact"/>
        <w:ind w:firstLine="640"/>
        <w:rPr>
          <w:rFonts w:hint="default" w:ascii="Times New Roman" w:hAnsi="Times New Roman" w:cs="Times New Roman"/>
          <w:color w:val="auto"/>
          <w:szCs w:val="32"/>
          <w:highlight w:val="none"/>
          <w:lang w:eastAsia="zh-CN"/>
        </w:rPr>
      </w:pPr>
      <w:r>
        <w:rPr>
          <w:rFonts w:hint="default" w:ascii="Times New Roman" w:hAnsi="Times New Roman" w:cs="Times New Roman"/>
          <w:color w:val="auto"/>
          <w:szCs w:val="32"/>
          <w:highlight w:val="none"/>
          <w:lang w:val="en-US" w:eastAsia="zh-CN"/>
        </w:rPr>
        <w:t>湖南省文化和旅游厅（简称</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我厅</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w:t>
      </w:r>
      <w:r>
        <w:rPr>
          <w:rFonts w:hint="default" w:ascii="Times New Roman" w:hAnsi="Times New Roman" w:cs="Times New Roman"/>
          <w:color w:val="auto"/>
          <w:szCs w:val="32"/>
          <w:highlight w:val="none"/>
          <w:lang w:eastAsia="zh-CN"/>
        </w:rPr>
        <w:t>主要职能职责包括：</w:t>
      </w:r>
    </w:p>
    <w:p w14:paraId="116CBBF9">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1.</w:t>
      </w:r>
      <w:r>
        <w:rPr>
          <w:rFonts w:hint="default" w:ascii="Times New Roman" w:hAnsi="Times New Roman" w:cs="Times New Roman"/>
          <w:color w:val="auto"/>
          <w:szCs w:val="32"/>
          <w:highlight w:val="none"/>
        </w:rPr>
        <w:t>研究拟订全省文化和旅游政策措施，起草文化和旅游地方性法规、规章草案。</w:t>
      </w:r>
    </w:p>
    <w:p w14:paraId="1F92BAAC">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2.</w:t>
      </w:r>
      <w:r>
        <w:rPr>
          <w:rFonts w:hint="default" w:ascii="Times New Roman" w:hAnsi="Times New Roman" w:cs="Times New Roman"/>
          <w:color w:val="auto"/>
          <w:szCs w:val="32"/>
          <w:highlight w:val="none"/>
        </w:rPr>
        <w:t>统筹规划全省文化事业、文化产业和旅游业发展，拟订发展规划并组织实施，推进文化和旅游融合发展，推进文化和旅游体制机制改革。</w:t>
      </w:r>
    </w:p>
    <w:p w14:paraId="1CF98F78">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3.</w:t>
      </w:r>
      <w:r>
        <w:rPr>
          <w:rFonts w:hint="default" w:ascii="Times New Roman" w:hAnsi="Times New Roman" w:cs="Times New Roman"/>
          <w:color w:val="auto"/>
          <w:szCs w:val="32"/>
          <w:highlight w:val="none"/>
        </w:rPr>
        <w:t>管理全省性重大文化和旅游活动，指导全省重点文化和旅游设施建设，组织全省文化和旅游整体形象宣传推广，促进文化和旅游产业对外合作和国际市场推广，制定旅游市场开发战略并组织实施，指导、推进全域旅游。</w:t>
      </w:r>
    </w:p>
    <w:p w14:paraId="286A35B9">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4.</w:t>
      </w:r>
      <w:r>
        <w:rPr>
          <w:rFonts w:hint="default" w:ascii="Times New Roman" w:hAnsi="Times New Roman" w:cs="Times New Roman"/>
          <w:color w:val="auto"/>
          <w:szCs w:val="32"/>
          <w:highlight w:val="none"/>
        </w:rPr>
        <w:t>指导、管理全省文艺事业，指导艺术创作生产，扶持体现社会主义核心价值观、具有导向性代表性示范性的文艺作品，推动各门类艺术、各艺术品种发展。</w:t>
      </w:r>
    </w:p>
    <w:p w14:paraId="31970DD0">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5.</w:t>
      </w:r>
      <w:r>
        <w:rPr>
          <w:rFonts w:hint="default" w:ascii="Times New Roman" w:hAnsi="Times New Roman" w:cs="Times New Roman"/>
          <w:color w:val="auto"/>
          <w:szCs w:val="32"/>
          <w:highlight w:val="none"/>
        </w:rPr>
        <w:t>负责全省公共文化事业发展，推进全省文化和旅游公共服务体系建设，深入实施文化和旅游惠民工程，统筹推进基本公共文化服务标准化、均等化。</w:t>
      </w:r>
    </w:p>
    <w:p w14:paraId="0728D2A5">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6.</w:t>
      </w:r>
      <w:r>
        <w:rPr>
          <w:rFonts w:hint="default" w:ascii="Times New Roman" w:hAnsi="Times New Roman" w:cs="Times New Roman"/>
          <w:color w:val="auto"/>
          <w:szCs w:val="32"/>
          <w:highlight w:val="none"/>
        </w:rPr>
        <w:t>指导、推进全省文化和旅游科技创新发展，推进文化和旅游行业信息化、标准化建设。</w:t>
      </w:r>
    </w:p>
    <w:p w14:paraId="1E8DA9E8">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7.</w:t>
      </w:r>
      <w:r>
        <w:rPr>
          <w:rFonts w:hint="default" w:ascii="Times New Roman" w:hAnsi="Times New Roman" w:cs="Times New Roman"/>
          <w:color w:val="auto"/>
          <w:szCs w:val="32"/>
          <w:highlight w:val="none"/>
        </w:rPr>
        <w:t>负责全省非物质文化遗产保护，推动非物质文化遗产的保护、传承、普及、弘扬和振兴。</w:t>
      </w:r>
    </w:p>
    <w:p w14:paraId="1210B98B">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8.</w:t>
      </w:r>
      <w:r>
        <w:rPr>
          <w:rFonts w:hint="default" w:ascii="Times New Roman" w:hAnsi="Times New Roman" w:cs="Times New Roman"/>
          <w:color w:val="auto"/>
          <w:szCs w:val="32"/>
          <w:highlight w:val="none"/>
        </w:rPr>
        <w:t>统筹规划全省文化和旅游产业，组织实施文化和旅游资源普查、挖掘、保护和利用工作，促进文化和旅游产业发展。</w:t>
      </w:r>
    </w:p>
    <w:p w14:paraId="6AC52B42">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9.</w:t>
      </w:r>
      <w:r>
        <w:rPr>
          <w:rFonts w:hint="default" w:ascii="Times New Roman" w:hAnsi="Times New Roman" w:cs="Times New Roman"/>
          <w:color w:val="auto"/>
          <w:szCs w:val="32"/>
          <w:highlight w:val="none"/>
        </w:rPr>
        <w:t>指导全省文化和旅游市场发展，对文化和旅游市场经营进行行业监管，推进全省文化和旅游行业信用体系建设，依法规范文化和旅游市场。</w:t>
      </w:r>
    </w:p>
    <w:p w14:paraId="5DB4DCE6">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10.</w:t>
      </w:r>
      <w:r>
        <w:rPr>
          <w:rFonts w:hint="default" w:ascii="Times New Roman" w:hAnsi="Times New Roman" w:cs="Times New Roman"/>
          <w:color w:val="auto"/>
          <w:szCs w:val="32"/>
          <w:highlight w:val="none"/>
        </w:rPr>
        <w:t>指导全省文化市场综合执法，组织查处全省性、跨区域文化、文物、出版、广播电视、电影、旅游等市场的违法行为，督查督办大案要案，维护市场秩序。</w:t>
      </w:r>
    </w:p>
    <w:p w14:paraId="6AE92187">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11.</w:t>
      </w:r>
      <w:r>
        <w:rPr>
          <w:rFonts w:hint="default" w:ascii="Times New Roman" w:hAnsi="Times New Roman" w:cs="Times New Roman"/>
          <w:color w:val="auto"/>
          <w:szCs w:val="32"/>
          <w:highlight w:val="none"/>
        </w:rPr>
        <w:t>指导全省文化和旅游对外及对港澳台交流、合作和宣传、推广工作，组织大型文化和旅游对外及对港澳台交流活动，推动湖湘文化走出去。</w:t>
      </w:r>
    </w:p>
    <w:p w14:paraId="36B40B14">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12.</w:t>
      </w:r>
      <w:r>
        <w:rPr>
          <w:rFonts w:hint="default" w:ascii="Times New Roman" w:hAnsi="Times New Roman" w:cs="Times New Roman"/>
          <w:color w:val="auto"/>
          <w:szCs w:val="32"/>
          <w:highlight w:val="none"/>
        </w:rPr>
        <w:t>管理省文物局。</w:t>
      </w:r>
    </w:p>
    <w:p w14:paraId="1B9C4316">
      <w:pPr>
        <w:numPr>
          <w:ilvl w:val="-1"/>
          <w:numId w:val="0"/>
        </w:numPr>
        <w:bidi w:val="0"/>
        <w:spacing w:line="560" w:lineRule="exact"/>
        <w:ind w:firstLine="640" w:firstLineChars="200"/>
        <w:rPr>
          <w:rFonts w:hint="default" w:ascii="Times New Roman" w:hAnsi="Times New Roman" w:cs="Times New Roman"/>
          <w:color w:val="auto"/>
          <w:szCs w:val="32"/>
          <w:highlight w:val="none"/>
        </w:rPr>
      </w:pPr>
      <w:r>
        <w:rPr>
          <w:rFonts w:hint="default" w:ascii="Times New Roman" w:hAnsi="Times New Roman" w:cs="Times New Roman"/>
          <w:color w:val="auto"/>
          <w:szCs w:val="32"/>
          <w:highlight w:val="none"/>
          <w:lang w:val="en-US" w:eastAsia="zh-CN"/>
        </w:rPr>
        <w:t>13.</w:t>
      </w:r>
      <w:r>
        <w:rPr>
          <w:rFonts w:hint="default" w:ascii="Times New Roman" w:hAnsi="Times New Roman" w:cs="Times New Roman"/>
          <w:color w:val="auto"/>
          <w:szCs w:val="32"/>
          <w:highlight w:val="none"/>
        </w:rPr>
        <w:t>完成省委、省政府交办的其他任务。</w:t>
      </w:r>
    </w:p>
    <w:p w14:paraId="529A427F">
      <w:pPr>
        <w:pStyle w:val="4"/>
        <w:keepNext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楷体_GB2312" w:cs="Times New Roman"/>
          <w:color w:val="auto"/>
          <w:highlight w:val="none"/>
        </w:rPr>
      </w:pPr>
      <w:bookmarkStart w:id="22" w:name="_Toc30379"/>
      <w:bookmarkStart w:id="23" w:name="_Toc13841"/>
      <w:bookmarkStart w:id="24" w:name="_Toc31444"/>
      <w:r>
        <w:rPr>
          <w:rFonts w:hint="default" w:ascii="Times New Roman" w:hAnsi="Times New Roman" w:eastAsia="楷体_GB2312" w:cs="Times New Roman"/>
          <w:color w:val="auto"/>
          <w:highlight w:val="none"/>
        </w:rPr>
        <w:t>（二）机构设置及人员情况</w:t>
      </w:r>
      <w:bookmarkEnd w:id="22"/>
      <w:bookmarkEnd w:id="23"/>
      <w:bookmarkEnd w:id="24"/>
    </w:p>
    <w:p w14:paraId="550DF529">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1.内设机构。</w:t>
      </w:r>
      <w:r>
        <w:rPr>
          <w:rFonts w:hint="default" w:ascii="Times New Roman" w:hAnsi="Times New Roman" w:eastAsia="仿宋_GB2312" w:cs="Times New Roman"/>
          <w:color w:val="auto"/>
          <w:sz w:val="32"/>
          <w:szCs w:val="32"/>
          <w:highlight w:val="none"/>
          <w:lang w:val="en-US" w:eastAsia="zh-CN"/>
        </w:rPr>
        <w:t>202</w:t>
      </w:r>
      <w:r>
        <w:rPr>
          <w:rFonts w:hint="default" w:ascii="Times New Roman" w:hAnsi="Times New Roman"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末我</w:t>
      </w:r>
      <w:r>
        <w:rPr>
          <w:rFonts w:hint="default" w:ascii="Times New Roman" w:hAnsi="Times New Roman" w:eastAsia="仿宋_GB2312" w:cs="Times New Roman"/>
          <w:color w:val="auto"/>
          <w:sz w:val="32"/>
          <w:szCs w:val="32"/>
          <w:highlight w:val="none"/>
        </w:rPr>
        <w:t>厅内设</w:t>
      </w:r>
      <w:r>
        <w:rPr>
          <w:rFonts w:hint="default" w:ascii="Times New Roman" w:hAnsi="Times New Roman" w:cs="Times New Roman"/>
          <w:color w:val="auto"/>
          <w:sz w:val="32"/>
          <w:szCs w:val="32"/>
          <w:highlight w:val="none"/>
          <w:lang w:val="en-US" w:eastAsia="zh-CN"/>
        </w:rPr>
        <w:t>机构</w:t>
      </w:r>
      <w:r>
        <w:rPr>
          <w:rFonts w:hint="default" w:ascii="Times New Roman" w:hAnsi="Times New Roman" w:eastAsia="仿宋_GB2312" w:cs="Times New Roman"/>
          <w:color w:val="auto"/>
          <w:sz w:val="32"/>
          <w:szCs w:val="32"/>
          <w:highlight w:val="none"/>
        </w:rPr>
        <w:t>15个</w:t>
      </w:r>
      <w:r>
        <w:rPr>
          <w:rFonts w:hint="default" w:ascii="Times New Roman" w:hAnsi="Times New Roman" w:eastAsia="仿宋_GB2312" w:cs="Times New Roman"/>
          <w:color w:val="auto"/>
          <w:sz w:val="32"/>
          <w:szCs w:val="32"/>
          <w:highlight w:val="none"/>
          <w:lang w:eastAsia="zh-CN"/>
        </w:rPr>
        <w:t>，主要包括：办公室、政策法规处、人事处、财务处</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艺术处、公共服务处、科技教育处、非物质文化遗产处、产业发展处</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资源开发与全域旅游推进处（红色旅游指导处）</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eastAsia="zh-CN"/>
        </w:rPr>
        <w:t>市场管理处、文化市场综合执法监督处、推广传播和交流合作处</w:t>
      </w:r>
      <w:r>
        <w:rPr>
          <w:rFonts w:hint="default" w:ascii="Times New Roman" w:hAnsi="Times New Roman" w:eastAsia="仿宋_GB2312" w:cs="Times New Roman"/>
          <w:color w:val="auto"/>
          <w:sz w:val="32"/>
          <w:szCs w:val="32"/>
          <w:highlight w:val="none"/>
        </w:rPr>
        <w:t>13个处室，机关党委、离退休人员管理服务处2个内设机构</w:t>
      </w:r>
      <w:r>
        <w:rPr>
          <w:rFonts w:hint="default" w:ascii="Times New Roman" w:hAnsi="Times New Roman" w:cs="Times New Roman"/>
          <w:color w:val="auto"/>
          <w:sz w:val="32"/>
          <w:szCs w:val="32"/>
          <w:highlight w:val="none"/>
          <w:lang w:eastAsia="zh-CN"/>
        </w:rPr>
        <w:t>。</w:t>
      </w:r>
    </w:p>
    <w:p w14:paraId="4DDE2D43">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b/>
          <w:bCs/>
          <w:color w:val="auto"/>
          <w:sz w:val="32"/>
          <w:szCs w:val="32"/>
          <w:highlight w:val="none"/>
          <w:lang w:eastAsia="zh-CN"/>
        </w:rPr>
        <w:t>2.直属事业单位。</w:t>
      </w:r>
      <w:r>
        <w:rPr>
          <w:rFonts w:hint="default" w:ascii="Times New Roman" w:hAnsi="Times New Roman" w:eastAsia="仿宋_GB2312" w:cs="Times New Roman"/>
          <w:color w:val="auto"/>
          <w:sz w:val="32"/>
          <w:szCs w:val="32"/>
          <w:highlight w:val="none"/>
          <w:lang w:val="en-US" w:eastAsia="zh-CN"/>
        </w:rPr>
        <w:t>我厅</w:t>
      </w:r>
      <w:r>
        <w:rPr>
          <w:rFonts w:hint="default" w:ascii="Times New Roman" w:hAnsi="Times New Roman" w:eastAsia="仿宋_GB2312" w:cs="Times New Roman"/>
          <w:color w:val="auto"/>
          <w:sz w:val="32"/>
          <w:szCs w:val="32"/>
          <w:highlight w:val="none"/>
        </w:rPr>
        <w:t>下设1</w:t>
      </w:r>
      <w:r>
        <w:rPr>
          <w:rFonts w:hint="default" w:ascii="Times New Roman" w:hAnsi="Times New Roman"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rPr>
        <w:t>个</w:t>
      </w:r>
      <w:r>
        <w:rPr>
          <w:rFonts w:hint="default" w:ascii="Times New Roman" w:hAnsi="Times New Roman" w:eastAsia="仿宋_GB2312" w:cs="Times New Roman"/>
          <w:color w:val="auto"/>
          <w:sz w:val="32"/>
          <w:szCs w:val="32"/>
          <w:highlight w:val="none"/>
          <w:lang w:val="en-US" w:eastAsia="zh-CN"/>
        </w:rPr>
        <w:t>二级</w:t>
      </w:r>
      <w:r>
        <w:rPr>
          <w:rFonts w:hint="default" w:ascii="Times New Roman" w:hAnsi="Times New Roman" w:eastAsia="仿宋_GB2312" w:cs="Times New Roman"/>
          <w:color w:val="auto"/>
          <w:sz w:val="32"/>
          <w:szCs w:val="32"/>
          <w:highlight w:val="none"/>
        </w:rPr>
        <w:t>预算编制单位，</w:t>
      </w:r>
      <w:r>
        <w:rPr>
          <w:rFonts w:hint="default" w:ascii="Times New Roman" w:hAnsi="Times New Roman" w:eastAsia="仿宋_GB2312" w:cs="Times New Roman"/>
          <w:b w:val="0"/>
          <w:bCs w:val="0"/>
          <w:sz w:val="32"/>
          <w:szCs w:val="32"/>
          <w:lang w:val="en-US" w:eastAsia="zh-CN"/>
        </w:rPr>
        <w:t>包括湖南省文化和旅游厅本级、</w:t>
      </w:r>
      <w:r>
        <w:rPr>
          <w:rFonts w:hint="default" w:ascii="Times New Roman" w:hAnsi="Times New Roman" w:cs="Times New Roman"/>
          <w:b w:val="0"/>
          <w:bCs w:val="0"/>
          <w:sz w:val="32"/>
          <w:szCs w:val="32"/>
          <w:lang w:val="en-US" w:eastAsia="zh-CN"/>
        </w:rPr>
        <w:t>省</w:t>
      </w:r>
      <w:r>
        <w:rPr>
          <w:rFonts w:hint="default" w:ascii="Times New Roman" w:hAnsi="Times New Roman" w:eastAsia="仿宋_GB2312" w:cs="Times New Roman"/>
          <w:b w:val="0"/>
          <w:bCs w:val="0"/>
          <w:sz w:val="32"/>
          <w:szCs w:val="32"/>
          <w:lang w:val="en-US" w:eastAsia="zh-CN"/>
        </w:rPr>
        <w:t>文物局、湖南图书馆、省文化馆（省非物质文化遗产保护中心）、省少年儿童图书馆、省艺术研究院、省博物</w:t>
      </w:r>
      <w:r>
        <w:rPr>
          <w:rFonts w:hint="default" w:ascii="Times New Roman" w:hAnsi="Times New Roman" w:cs="Times New Roman"/>
          <w:b w:val="0"/>
          <w:bCs w:val="0"/>
          <w:sz w:val="32"/>
          <w:szCs w:val="32"/>
          <w:lang w:val="en-US" w:eastAsia="zh-CN"/>
        </w:rPr>
        <w:t>院</w:t>
      </w:r>
      <w:r>
        <w:rPr>
          <w:rFonts w:hint="default" w:ascii="Times New Roman" w:hAnsi="Times New Roman" w:eastAsia="仿宋_GB2312" w:cs="Times New Roman"/>
          <w:b w:val="0"/>
          <w:bCs w:val="0"/>
          <w:sz w:val="32"/>
          <w:szCs w:val="32"/>
          <w:lang w:val="en-US" w:eastAsia="zh-CN"/>
        </w:rPr>
        <w:t>（省文物鉴定中心）、省文物考古研究院（省文物保护利用中心）、省文化艺术中心、省旅游局信息中心、省导游服务中心、省湘剧院、省花鼓戏保护传承中心、省木偶皮影艺术保护传承中心、省京剧保护传承中心、省</w:t>
      </w:r>
      <w:r>
        <w:rPr>
          <w:rFonts w:hint="default" w:ascii="Times New Roman" w:hAnsi="Times New Roman" w:cs="Times New Roman"/>
          <w:b w:val="0"/>
          <w:bCs w:val="0"/>
          <w:sz w:val="32"/>
          <w:szCs w:val="32"/>
          <w:lang w:val="en-US" w:eastAsia="zh-CN"/>
        </w:rPr>
        <w:t>文旅厅</w:t>
      </w:r>
      <w:r>
        <w:rPr>
          <w:rFonts w:hint="default" w:ascii="Times New Roman" w:hAnsi="Times New Roman" w:eastAsia="仿宋_GB2312" w:cs="Times New Roman"/>
          <w:b w:val="0"/>
          <w:bCs w:val="0"/>
          <w:sz w:val="32"/>
          <w:szCs w:val="32"/>
          <w:lang w:val="en-US" w:eastAsia="zh-CN"/>
        </w:rPr>
        <w:t>艺术幼儿院。</w:t>
      </w:r>
    </w:p>
    <w:p w14:paraId="7920D86C">
      <w:pPr>
        <w:pStyle w:val="23"/>
        <w:keepNext w:val="0"/>
        <w:pageBreakBefore w:val="0"/>
        <w:widowControl w:val="0"/>
        <w:kinsoku/>
        <w:wordWrap/>
        <w:overflowPunct/>
        <w:topLinePunct w:val="0"/>
        <w:autoSpaceDE/>
        <w:autoSpaceDN/>
        <w:bidi w:val="0"/>
        <w:adjustRightInd/>
        <w:snapToGrid/>
        <w:spacing w:after="0" w:line="560" w:lineRule="exact"/>
        <w:ind w:left="0" w:leftChars="0" w:firstLine="643" w:firstLineChars="200"/>
        <w:textAlignment w:val="auto"/>
        <w:rPr>
          <w:rFonts w:hint="default" w:ascii="Times New Roman" w:hAnsi="Times New Roman" w:eastAsia="仿宋_GB2312" w:cs="Times New Roman"/>
          <w:color w:val="auto"/>
          <w:sz w:val="32"/>
          <w:szCs w:val="32"/>
          <w:highlight w:val="yellow"/>
          <w:lang w:val="en-US" w:eastAsia="zh-CN"/>
        </w:rPr>
      </w:pPr>
      <w:r>
        <w:rPr>
          <w:rFonts w:hint="default" w:ascii="Times New Roman" w:hAnsi="Times New Roman" w:eastAsia="仿宋_GB2312" w:cs="Times New Roman"/>
          <w:b/>
          <w:bCs/>
          <w:color w:val="auto"/>
          <w:sz w:val="32"/>
          <w:szCs w:val="32"/>
          <w:highlight w:val="none"/>
          <w:lang w:eastAsia="zh-CN"/>
        </w:rPr>
        <w:t>3.人员情况。</w:t>
      </w:r>
      <w:r>
        <w:rPr>
          <w:rFonts w:hint="default" w:ascii="Times New Roman" w:hAnsi="Times New Roman" w:cs="Times New Roman"/>
          <w:color w:val="auto"/>
          <w:sz w:val="32"/>
          <w:szCs w:val="32"/>
          <w:highlight w:val="none"/>
          <w:lang w:val="en-US" w:eastAsia="zh-CN"/>
        </w:rPr>
        <w:t>截至2025年12月31日，厅本级及各所属15个二级单位编内</w:t>
      </w:r>
      <w:r>
        <w:rPr>
          <w:rFonts w:hint="default" w:ascii="Times New Roman" w:hAnsi="Times New Roman" w:eastAsia="仿宋_GB2312" w:cs="Times New Roman"/>
          <w:color w:val="auto"/>
          <w:sz w:val="32"/>
          <w:szCs w:val="32"/>
          <w:highlight w:val="none"/>
        </w:rPr>
        <w:t>实有在职人员</w:t>
      </w:r>
      <w:r>
        <w:rPr>
          <w:rFonts w:hint="default" w:ascii="Times New Roman" w:hAnsi="Times New Roman" w:cs="Times New Roman"/>
          <w:color w:val="auto"/>
          <w:sz w:val="32"/>
          <w:szCs w:val="32"/>
          <w:highlight w:val="none"/>
          <w:lang w:val="en-US" w:eastAsia="zh-CN"/>
        </w:rPr>
        <w:t>1279</w:t>
      </w:r>
      <w:r>
        <w:rPr>
          <w:rFonts w:hint="default" w:ascii="Times New Roman" w:hAnsi="Times New Roman" w:eastAsia="仿宋_GB2312" w:cs="Times New Roman"/>
          <w:color w:val="auto"/>
          <w:sz w:val="32"/>
          <w:szCs w:val="32"/>
          <w:highlight w:val="none"/>
        </w:rPr>
        <w:t>人，离休人员8人，退休人员991人。</w:t>
      </w:r>
    </w:p>
    <w:p w14:paraId="1933B08C">
      <w:pPr>
        <w:pStyle w:val="4"/>
        <w:keepNext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szCs w:val="24"/>
          <w:highlight w:val="none"/>
          <w:lang w:val="en-US" w:eastAsia="zh-CN"/>
        </w:rPr>
      </w:pPr>
      <w:bookmarkStart w:id="25" w:name="_Toc8371"/>
      <w:r>
        <w:rPr>
          <w:rFonts w:hint="default" w:ascii="Times New Roman" w:hAnsi="Times New Roman" w:cs="Times New Roman"/>
          <w:color w:val="auto"/>
          <w:highlight w:val="none"/>
        </w:rPr>
        <w:t>（三）</w:t>
      </w:r>
      <w:r>
        <w:rPr>
          <w:rFonts w:hint="default" w:ascii="Times New Roman" w:hAnsi="Times New Roman" w:eastAsia="楷体_GB2312" w:cs="Times New Roman"/>
          <w:b/>
          <w:color w:val="auto"/>
          <w:sz w:val="32"/>
          <w:szCs w:val="32"/>
          <w:highlight w:val="none"/>
        </w:rPr>
        <w:t>部门整体收支情况</w:t>
      </w:r>
      <w:bookmarkEnd w:id="25"/>
    </w:p>
    <w:p w14:paraId="76F19512">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default" w:ascii="Times New Roman" w:hAnsi="Times New Roman" w:eastAsia="仿宋_GB2312" w:cs="Times New Roman"/>
          <w:color w:val="auto"/>
          <w:highlight w:val="none"/>
          <w:lang w:val="en-US" w:eastAsia="zh-CN"/>
        </w:rPr>
      </w:pPr>
      <w:r>
        <w:rPr>
          <w:rFonts w:hint="default" w:ascii="Times New Roman" w:hAnsi="Times New Roman" w:cs="Times New Roman"/>
          <w:color w:val="auto"/>
          <w:highlight w:val="none"/>
        </w:rPr>
        <w:t>202</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年度部门预算包括</w:t>
      </w:r>
      <w:r>
        <w:rPr>
          <w:rFonts w:hint="default" w:ascii="Times New Roman" w:hAnsi="Times New Roman" w:cs="Times New Roman"/>
          <w:color w:val="auto"/>
          <w:highlight w:val="none"/>
          <w:lang w:val="en-US" w:eastAsia="zh-CN"/>
        </w:rPr>
        <w:t>厅</w:t>
      </w:r>
      <w:r>
        <w:rPr>
          <w:rFonts w:hint="default" w:ascii="Times New Roman" w:hAnsi="Times New Roman" w:cs="Times New Roman"/>
          <w:color w:val="auto"/>
          <w:highlight w:val="none"/>
        </w:rPr>
        <w:t>本级预算和所属二级单位预算汇总。收入包括一般公共预算收入</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事业收入、</w:t>
      </w:r>
      <w:r>
        <w:rPr>
          <w:rFonts w:hint="default" w:ascii="Times New Roman" w:hAnsi="Times New Roman" w:cs="Times New Roman"/>
          <w:color w:val="auto"/>
          <w:highlight w:val="none"/>
        </w:rPr>
        <w:t>经营收入及其他收入等；支出包括保障</w:t>
      </w:r>
      <w:r>
        <w:rPr>
          <w:rFonts w:hint="default" w:ascii="Times New Roman" w:hAnsi="Times New Roman" w:cs="Times New Roman"/>
          <w:color w:val="auto"/>
          <w:highlight w:val="none"/>
          <w:lang w:val="en-US" w:eastAsia="zh-CN"/>
        </w:rPr>
        <w:t>厅</w:t>
      </w:r>
      <w:r>
        <w:rPr>
          <w:rFonts w:hint="default" w:ascii="Times New Roman" w:hAnsi="Times New Roman" w:cs="Times New Roman"/>
          <w:color w:val="auto"/>
          <w:highlight w:val="none"/>
        </w:rPr>
        <w:t>机关及</w:t>
      </w:r>
      <w:r>
        <w:rPr>
          <w:rFonts w:hint="default" w:ascii="Times New Roman" w:hAnsi="Times New Roman" w:cs="Times New Roman"/>
          <w:color w:val="auto"/>
          <w:highlight w:val="none"/>
          <w:lang w:val="en-US" w:eastAsia="zh-CN"/>
        </w:rPr>
        <w:t>厅</w:t>
      </w:r>
      <w:r>
        <w:rPr>
          <w:rFonts w:hint="default" w:ascii="Times New Roman" w:hAnsi="Times New Roman" w:cs="Times New Roman"/>
          <w:color w:val="auto"/>
          <w:highlight w:val="none"/>
        </w:rPr>
        <w:t>属单位基本运行的经费，也包括由我</w:t>
      </w:r>
      <w:r>
        <w:rPr>
          <w:rFonts w:hint="default" w:ascii="Times New Roman" w:hAnsi="Times New Roman" w:cs="Times New Roman"/>
          <w:color w:val="auto"/>
          <w:highlight w:val="none"/>
          <w:lang w:val="en-US" w:eastAsia="zh-CN"/>
        </w:rPr>
        <w:t>厅</w:t>
      </w:r>
      <w:r>
        <w:rPr>
          <w:rFonts w:hint="default" w:ascii="Times New Roman" w:hAnsi="Times New Roman" w:cs="Times New Roman"/>
          <w:color w:val="auto"/>
          <w:highlight w:val="none"/>
        </w:rPr>
        <w:t>归口管理使用的</w:t>
      </w:r>
      <w:r>
        <w:rPr>
          <w:rFonts w:hint="default" w:ascii="Times New Roman" w:hAnsi="Times New Roman" w:cs="Times New Roman"/>
          <w:color w:val="auto"/>
          <w:highlight w:val="none"/>
          <w:lang w:val="en-US" w:eastAsia="zh-CN"/>
        </w:rPr>
        <w:t>各类</w:t>
      </w:r>
      <w:r>
        <w:rPr>
          <w:rFonts w:hint="default" w:ascii="Times New Roman" w:hAnsi="Times New Roman" w:cs="Times New Roman"/>
          <w:color w:val="auto"/>
          <w:highlight w:val="none"/>
        </w:rPr>
        <w:t>专项经费。</w:t>
      </w:r>
    </w:p>
    <w:p w14:paraId="76D40C51">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1.收入情况</w:t>
      </w:r>
    </w:p>
    <w:p w14:paraId="350E4B15">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t>202</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w:t>
      </w:r>
      <w:r>
        <w:rPr>
          <w:rFonts w:hint="default" w:ascii="Times New Roman" w:hAnsi="Times New Roman" w:cs="Times New Roman"/>
          <w:color w:val="auto"/>
          <w:highlight w:val="none"/>
          <w:lang w:val="en-US" w:eastAsia="zh-CN"/>
        </w:rPr>
        <w:t>初省财政厅批复我厅部门年度预算收入为</w:t>
      </w:r>
      <w:r>
        <w:rPr>
          <w:rFonts w:hint="default" w:ascii="Times New Roman" w:hAnsi="Times New Roman" w:cs="Times New Roman"/>
          <w:color w:val="auto"/>
          <w:highlight w:val="none"/>
        </w:rPr>
        <w:t>年初</w:t>
      </w:r>
      <w:r>
        <w:rPr>
          <w:rFonts w:hint="default" w:ascii="Times New Roman" w:hAnsi="Times New Roman" w:cs="Times New Roman"/>
          <w:color w:val="auto"/>
          <w:szCs w:val="24"/>
          <w:highlight w:val="none"/>
        </w:rPr>
        <w:t>预算67,312.62万元，上年结转及结余27,662.44万元</w:t>
      </w:r>
      <w:r>
        <w:rPr>
          <w:rFonts w:hint="default" w:ascii="Times New Roman" w:hAnsi="Times New Roman" w:cs="Times New Roman"/>
          <w:color w:val="auto"/>
          <w:szCs w:val="24"/>
          <w:highlight w:val="none"/>
          <w:lang w:eastAsia="zh-CN"/>
        </w:rPr>
        <w:t>，</w:t>
      </w:r>
      <w:r>
        <w:rPr>
          <w:rFonts w:hint="default" w:ascii="Times New Roman" w:hAnsi="Times New Roman" w:cs="Times New Roman"/>
          <w:color w:val="auto"/>
          <w:szCs w:val="24"/>
          <w:highlight w:val="none"/>
        </w:rPr>
        <w:t>预算调</w:t>
      </w:r>
      <w:r>
        <w:rPr>
          <w:rFonts w:hint="default" w:ascii="Times New Roman" w:hAnsi="Times New Roman" w:cs="Times New Roman"/>
          <w:color w:val="auto"/>
          <w:szCs w:val="24"/>
          <w:highlight w:val="none"/>
          <w:lang w:val="en-US" w:eastAsia="zh-CN"/>
        </w:rPr>
        <w:t>增64,913.92</w:t>
      </w:r>
      <w:r>
        <w:rPr>
          <w:rFonts w:hint="default" w:ascii="Times New Roman" w:hAnsi="Times New Roman" w:cs="Times New Roman"/>
          <w:color w:val="auto"/>
          <w:szCs w:val="24"/>
          <w:highlight w:val="none"/>
        </w:rPr>
        <w:t>万元，全年经费收入合计为154,763.41</w:t>
      </w:r>
      <w:r>
        <w:rPr>
          <w:rFonts w:hint="default" w:ascii="Times New Roman" w:hAnsi="Times New Roman" w:cs="Times New Roman"/>
          <w:color w:val="auto"/>
          <w:highlight w:val="none"/>
        </w:rPr>
        <w:t>万元</w:t>
      </w:r>
      <w:r>
        <w:rPr>
          <w:rFonts w:hint="default" w:ascii="Times New Roman" w:hAnsi="Times New Roman" w:eastAsia="仿宋_GB2312" w:cs="Times New Roman"/>
          <w:i w:val="0"/>
          <w:iCs w:val="0"/>
          <w:color w:val="auto"/>
          <w:sz w:val="32"/>
          <w:szCs w:val="24"/>
          <w:highlight w:val="none"/>
          <w:u w:val="none"/>
        </w:rPr>
        <w:t>。</w:t>
      </w:r>
      <w:r>
        <w:rPr>
          <w:rFonts w:hint="default" w:ascii="Times New Roman" w:hAnsi="Times New Roman" w:cs="Times New Roman"/>
          <w:i w:val="0"/>
          <w:iCs w:val="0"/>
          <w:color w:val="auto"/>
          <w:sz w:val="32"/>
          <w:szCs w:val="24"/>
          <w:highlight w:val="none"/>
          <w:u w:val="none"/>
          <w:lang w:val="en-US" w:eastAsia="zh-CN"/>
        </w:rPr>
        <w:t>全年预算</w:t>
      </w:r>
      <w:r>
        <w:rPr>
          <w:rFonts w:hint="default" w:ascii="Times New Roman" w:hAnsi="Times New Roman" w:cs="Times New Roman"/>
          <w:i w:val="0"/>
          <w:iCs w:val="0"/>
          <w:color w:val="auto"/>
          <w:sz w:val="32"/>
          <w:szCs w:val="24"/>
          <w:highlight w:val="none"/>
          <w:u w:val="none"/>
        </w:rPr>
        <w:t>包括</w:t>
      </w:r>
      <w:r>
        <w:rPr>
          <w:rFonts w:hint="default" w:ascii="Times New Roman" w:hAnsi="Times New Roman" w:eastAsia="仿宋_GB2312" w:cs="Times New Roman"/>
          <w:i w:val="0"/>
          <w:iCs w:val="0"/>
          <w:color w:val="auto"/>
          <w:sz w:val="32"/>
          <w:szCs w:val="24"/>
          <w:highlight w:val="none"/>
          <w:u w:val="none"/>
        </w:rPr>
        <w:t>一般公共预算财政拨款收入113,780.26万元，</w:t>
      </w:r>
      <w:r>
        <w:rPr>
          <w:rFonts w:hint="default" w:ascii="Times New Roman" w:hAnsi="Times New Roman" w:cs="Times New Roman"/>
          <w:i w:val="0"/>
          <w:iCs w:val="0"/>
          <w:color w:val="auto"/>
          <w:sz w:val="32"/>
          <w:szCs w:val="24"/>
          <w:highlight w:val="none"/>
          <w:u w:val="none"/>
          <w:lang w:val="en-US" w:eastAsia="zh-CN"/>
        </w:rPr>
        <w:t>政府性基金收入986.00万元，</w:t>
      </w:r>
      <w:r>
        <w:rPr>
          <w:rFonts w:hint="default" w:ascii="Times New Roman" w:hAnsi="Times New Roman" w:cs="Times New Roman"/>
          <w:color w:val="auto"/>
          <w:highlight w:val="none"/>
        </w:rPr>
        <w:t>事业收入11,183.34</w:t>
      </w:r>
      <w:r>
        <w:rPr>
          <w:rFonts w:hint="default" w:ascii="Times New Roman" w:hAnsi="Times New Roman" w:eastAsia="仿宋_GB2312" w:cs="Times New Roman"/>
          <w:i w:val="0"/>
          <w:iCs w:val="0"/>
          <w:color w:val="auto"/>
          <w:sz w:val="32"/>
          <w:szCs w:val="24"/>
          <w:highlight w:val="none"/>
          <w:u w:val="none"/>
        </w:rPr>
        <w:t>万元，其他收入</w:t>
      </w:r>
      <w:r>
        <w:rPr>
          <w:rFonts w:hint="default" w:ascii="Times New Roman" w:hAnsi="Times New Roman" w:cs="Times New Roman"/>
          <w:i w:val="0"/>
          <w:iCs w:val="0"/>
          <w:color w:val="auto"/>
          <w:sz w:val="32"/>
          <w:szCs w:val="24"/>
          <w:highlight w:val="none"/>
          <w:u w:val="none"/>
          <w:lang w:val="en-US" w:eastAsia="zh-CN"/>
        </w:rPr>
        <w:t>779.32</w:t>
      </w:r>
      <w:r>
        <w:rPr>
          <w:rFonts w:hint="default" w:ascii="Times New Roman" w:hAnsi="Times New Roman" w:eastAsia="仿宋_GB2312" w:cs="Times New Roman"/>
          <w:i w:val="0"/>
          <w:iCs w:val="0"/>
          <w:color w:val="auto"/>
          <w:sz w:val="32"/>
          <w:szCs w:val="24"/>
          <w:highlight w:val="none"/>
          <w:u w:val="none"/>
        </w:rPr>
        <w:t>万元</w:t>
      </w:r>
      <w:r>
        <w:rPr>
          <w:rFonts w:hint="default" w:ascii="Times New Roman" w:hAnsi="Times New Roman" w:cs="Times New Roman"/>
          <w:color w:val="auto"/>
          <w:szCs w:val="24"/>
          <w:highlight w:val="none"/>
        </w:rPr>
        <w:t>，使用非财政拨款结余</w:t>
      </w:r>
      <w:r>
        <w:rPr>
          <w:rFonts w:hint="default" w:ascii="Times New Roman" w:hAnsi="Times New Roman" w:cs="Times New Roman"/>
          <w:color w:val="auto"/>
          <w:szCs w:val="24"/>
          <w:highlight w:val="none"/>
          <w:lang w:val="en-US" w:eastAsia="zh-CN"/>
        </w:rPr>
        <w:t>372.04万元，</w:t>
      </w:r>
      <w:r>
        <w:rPr>
          <w:rFonts w:hint="default" w:ascii="Times New Roman" w:hAnsi="Times New Roman" w:cs="Times New Roman"/>
          <w:color w:val="auto"/>
          <w:szCs w:val="24"/>
          <w:highlight w:val="none"/>
        </w:rPr>
        <w:t>上年结转及结余</w:t>
      </w:r>
      <w:r>
        <w:rPr>
          <w:rFonts w:hint="default" w:ascii="Times New Roman" w:hAnsi="Times New Roman" w:cs="Times New Roman"/>
          <w:color w:val="auto"/>
          <w:szCs w:val="24"/>
          <w:highlight w:val="none"/>
          <w:lang w:val="en-US" w:eastAsia="zh-CN"/>
        </w:rPr>
        <w:t>27,662.44</w:t>
      </w:r>
      <w:r>
        <w:rPr>
          <w:rFonts w:hint="default" w:ascii="Times New Roman" w:hAnsi="Times New Roman" w:cs="Times New Roman"/>
          <w:color w:val="auto"/>
          <w:szCs w:val="24"/>
          <w:highlight w:val="none"/>
        </w:rPr>
        <w:t>万元</w:t>
      </w:r>
      <w:r>
        <w:rPr>
          <w:rFonts w:hint="default" w:ascii="Times New Roman" w:hAnsi="Times New Roman" w:cs="Times New Roman"/>
          <w:i w:val="0"/>
          <w:iCs w:val="0"/>
          <w:color w:val="auto"/>
          <w:sz w:val="32"/>
          <w:szCs w:val="24"/>
          <w:highlight w:val="none"/>
          <w:u w:val="none"/>
        </w:rPr>
        <w:t>。</w:t>
      </w:r>
    </w:p>
    <w:p w14:paraId="09818B57">
      <w:pPr>
        <w:widowControl/>
        <w:spacing w:line="560" w:lineRule="exact"/>
        <w:ind w:firstLine="64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2.支出情况</w:t>
      </w:r>
    </w:p>
    <w:p w14:paraId="73791A82">
      <w:pPr>
        <w:widowControl/>
        <w:spacing w:line="56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highlight w:val="none"/>
          <w:lang w:val="en-US" w:eastAsia="zh-CN"/>
        </w:rPr>
        <w:t>2025</w:t>
      </w:r>
      <w:r>
        <w:rPr>
          <w:rFonts w:hint="default" w:ascii="Times New Roman" w:hAnsi="Times New Roman" w:eastAsia="仿宋_GB2312" w:cs="Times New Roman"/>
          <w:color w:val="auto"/>
          <w:sz w:val="32"/>
          <w:szCs w:val="32"/>
          <w:highlight w:val="none"/>
        </w:rPr>
        <w:t>年</w:t>
      </w:r>
      <w:r>
        <w:rPr>
          <w:rFonts w:hint="default" w:ascii="Times New Roman" w:hAnsi="Times New Roman" w:cs="Times New Roman"/>
          <w:color w:val="auto"/>
          <w:sz w:val="32"/>
          <w:szCs w:val="32"/>
          <w:highlight w:val="none"/>
          <w:lang w:val="en-US" w:eastAsia="zh-CN"/>
        </w:rPr>
        <w:t>度我厅部门整体</w:t>
      </w:r>
      <w:r>
        <w:rPr>
          <w:rFonts w:hint="default" w:ascii="Times New Roman" w:hAnsi="Times New Roman" w:eastAsia="仿宋_GB2312" w:cs="Times New Roman"/>
          <w:color w:val="auto"/>
          <w:sz w:val="32"/>
          <w:szCs w:val="32"/>
          <w:highlight w:val="none"/>
        </w:rPr>
        <w:t>决算支出125,989.25万元</w:t>
      </w:r>
      <w:r>
        <w:rPr>
          <w:rFonts w:hint="default" w:ascii="Times New Roman" w:hAnsi="Times New Roman"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年末结转和结余22,538.52万元</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Cs w:val="24"/>
          <w:highlight w:val="none"/>
        </w:rPr>
        <w:t>结余</w:t>
      </w:r>
      <w:r>
        <w:rPr>
          <w:rFonts w:hint="default" w:ascii="Times New Roman" w:hAnsi="Times New Roman" w:cs="Times New Roman"/>
          <w:color w:val="auto"/>
          <w:szCs w:val="24"/>
          <w:highlight w:val="none"/>
          <w:lang w:val="en-US" w:eastAsia="zh-CN"/>
        </w:rPr>
        <w:t>分配2,799.40万元</w:t>
      </w:r>
      <w:r>
        <w:rPr>
          <w:rFonts w:hint="default" w:ascii="Times New Roman" w:hAnsi="Times New Roman" w:eastAsia="仿宋_GB2312" w:cs="Times New Roman"/>
          <w:color w:val="auto"/>
          <w:sz w:val="32"/>
          <w:szCs w:val="32"/>
          <w:highlight w:val="none"/>
        </w:rPr>
        <w:t>。</w:t>
      </w:r>
    </w:p>
    <w:p w14:paraId="67E0BFDE">
      <w:pPr>
        <w:widowControl/>
        <w:spacing w:line="560" w:lineRule="exact"/>
        <w:ind w:firstLine="640"/>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2025年度决算支出包括</w:t>
      </w:r>
      <w:r>
        <w:rPr>
          <w:rFonts w:hint="default" w:ascii="Times New Roman" w:hAnsi="Times New Roman" w:cs="Times New Roman"/>
          <w:color w:val="auto"/>
          <w:highlight w:val="none"/>
        </w:rPr>
        <w:t>：用于工资福利支出31,260.45万元、商品和服务支出55,780.91万元、对个人和家庭的补助3,547.18万元</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rPr>
        <w:t>资本性支出35,370.70</w:t>
      </w:r>
      <w:r>
        <w:rPr>
          <w:rFonts w:hint="default" w:ascii="Times New Roman" w:hAnsi="Times New Roman" w:cs="Times New Roman"/>
          <w:color w:val="auto"/>
          <w:highlight w:val="none"/>
          <w:lang w:val="en-US" w:eastAsia="zh-CN"/>
        </w:rPr>
        <w:t>万元、对企业补助30.00万元</w:t>
      </w:r>
      <w:r>
        <w:rPr>
          <w:rFonts w:hint="default" w:ascii="Times New Roman" w:hAnsi="Times New Roman" w:cs="Times New Roman"/>
          <w:color w:val="auto"/>
          <w:highlight w:val="none"/>
        </w:rPr>
        <w:t>。</w:t>
      </w:r>
    </w:p>
    <w:p w14:paraId="36A34E04">
      <w:pPr>
        <w:keepNext w:val="0"/>
        <w:keepLines w:val="0"/>
        <w:pageBreakBefore w:val="0"/>
        <w:widowControl/>
        <w:kinsoku/>
        <w:wordWrap/>
        <w:overflowPunct/>
        <w:topLinePunct w:val="0"/>
        <w:autoSpaceDE/>
        <w:autoSpaceDN/>
        <w:bidi w:val="0"/>
        <w:adjustRightInd/>
        <w:snapToGrid/>
        <w:spacing w:line="240" w:lineRule="auto"/>
        <w:ind w:firstLine="640"/>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lang w:val="en-US" w:eastAsia="zh-CN"/>
        </w:rPr>
        <w:t>上述决算支出，</w:t>
      </w:r>
      <w:r>
        <w:rPr>
          <w:rFonts w:hint="default" w:ascii="Times New Roman" w:hAnsi="Times New Roman" w:cs="Times New Roman"/>
          <w:color w:val="auto"/>
          <w:highlight w:val="none"/>
        </w:rPr>
        <w:t>按照支出性质分类，基本支出36,991.51万元，占比</w:t>
      </w:r>
      <w:r>
        <w:rPr>
          <w:rFonts w:hint="default" w:ascii="Times New Roman" w:hAnsi="Times New Roman" w:cs="Times New Roman"/>
          <w:color w:val="auto"/>
          <w:highlight w:val="none"/>
          <w:lang w:val="en-US" w:eastAsia="zh-CN"/>
        </w:rPr>
        <w:t>29.36</w:t>
      </w:r>
      <w:r>
        <w:rPr>
          <w:rFonts w:hint="default" w:ascii="Times New Roman" w:hAnsi="Times New Roman" w:cs="Times New Roman"/>
          <w:color w:val="auto"/>
          <w:highlight w:val="none"/>
        </w:rPr>
        <w:t>%；项目支出88,997.74万元，占比</w:t>
      </w:r>
      <w:r>
        <w:rPr>
          <w:rFonts w:hint="default" w:ascii="Times New Roman" w:hAnsi="Times New Roman" w:cs="Times New Roman"/>
          <w:color w:val="auto"/>
          <w:highlight w:val="none"/>
          <w:lang w:val="en-US" w:eastAsia="zh-CN"/>
        </w:rPr>
        <w:t>70.64</w:t>
      </w:r>
      <w:r>
        <w:rPr>
          <w:rFonts w:hint="default" w:ascii="Times New Roman" w:hAnsi="Times New Roman" w:cs="Times New Roman"/>
          <w:color w:val="auto"/>
          <w:highlight w:val="none"/>
        </w:rPr>
        <w:t>%；</w:t>
      </w:r>
    </w:p>
    <w:p w14:paraId="06D5D32F">
      <w:pPr>
        <w:widowControl/>
        <w:spacing w:line="560" w:lineRule="exact"/>
        <w:ind w:firstLine="640"/>
        <w:rPr>
          <w:rFonts w:hint="default" w:ascii="Times New Roman" w:hAnsi="Times New Roman" w:cs="Times New Roman"/>
          <w:color w:val="auto"/>
          <w:highlight w:val="none"/>
        </w:rPr>
      </w:pPr>
      <w:r>
        <w:rPr>
          <w:rFonts w:hint="default" w:ascii="Times New Roman" w:hAnsi="Times New Roman" w:cs="Times New Roman"/>
          <w:b/>
          <w:bCs/>
          <w:color w:val="auto"/>
          <w:highlight w:val="none"/>
          <w:lang w:val="en-US" w:eastAsia="zh-CN"/>
        </w:rPr>
        <w:t>3.预算执行情况</w:t>
      </w:r>
      <w:r>
        <w:rPr>
          <w:rFonts w:hint="default" w:ascii="Times New Roman" w:hAnsi="Times New Roman" w:cs="Times New Roman"/>
          <w:b/>
          <w:bCs/>
          <w:color w:val="auto"/>
          <w:highlight w:val="none"/>
          <w:lang w:val="en-US" w:eastAsia="zh-CN"/>
        </w:rPr>
        <w:t>。</w:t>
      </w:r>
      <w:r>
        <w:rPr>
          <w:rFonts w:hint="default" w:ascii="Times New Roman" w:hAnsi="Times New Roman" w:cs="Times New Roman"/>
          <w:color w:val="auto"/>
          <w:highlight w:val="none"/>
        </w:rPr>
        <w:t>202</w:t>
      </w:r>
      <w:r>
        <w:rPr>
          <w:rFonts w:hint="default" w:ascii="Times New Roman" w:hAnsi="Times New Roman" w:cs="Times New Roman"/>
          <w:color w:val="auto"/>
          <w:highlight w:val="none"/>
          <w:lang w:val="en-US" w:eastAsia="zh-CN"/>
        </w:rPr>
        <w:t>5</w:t>
      </w:r>
      <w:r>
        <w:rPr>
          <w:rFonts w:hint="default" w:ascii="Times New Roman" w:hAnsi="Times New Roman" w:cs="Times New Roman"/>
          <w:color w:val="auto"/>
          <w:highlight w:val="none"/>
        </w:rPr>
        <w:t>年度全年预算数154,763.41万元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rPr>
        <w:t>决算数125,989.25万元</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val="en-US" w:eastAsia="zh-CN"/>
        </w:rPr>
        <w:t>预算执行率81.41%，较上年上升9.09%</w:t>
      </w:r>
      <w:r>
        <w:rPr>
          <w:rFonts w:hint="default" w:ascii="Times New Roman" w:hAnsi="Times New Roman" w:cs="Times New Roman"/>
          <w:color w:val="auto"/>
          <w:highlight w:val="none"/>
        </w:rPr>
        <w:t>。</w:t>
      </w:r>
    </w:p>
    <w:p w14:paraId="6357FCEA">
      <w:pPr>
        <w:pStyle w:val="3"/>
        <w:numPr>
          <w:ilvl w:val="0"/>
          <w:numId w:val="1"/>
        </w:numPr>
        <w:bidi w:val="0"/>
        <w:rPr>
          <w:rFonts w:hint="default" w:ascii="Times New Roman" w:hAnsi="Times New Roman" w:cs="Times New Roman"/>
          <w:b w:val="0"/>
          <w:bCs/>
          <w:color w:val="auto"/>
          <w:szCs w:val="32"/>
          <w:highlight w:val="none"/>
          <w:lang w:val="en-US" w:eastAsia="zh-CN"/>
        </w:rPr>
      </w:pPr>
      <w:bookmarkStart w:id="26" w:name="_Toc9723"/>
      <w:r>
        <w:rPr>
          <w:rFonts w:hint="default" w:ascii="Times New Roman" w:hAnsi="Times New Roman" w:cs="Times New Roman"/>
          <w:b w:val="0"/>
          <w:bCs/>
          <w:color w:val="auto"/>
          <w:szCs w:val="32"/>
          <w:highlight w:val="none"/>
          <w:lang w:val="en-US" w:eastAsia="zh-CN"/>
        </w:rPr>
        <w:t>一般公共预算支出情况</w:t>
      </w:r>
      <w:bookmarkEnd w:id="26"/>
    </w:p>
    <w:p w14:paraId="04C5CE74">
      <w:pPr>
        <w:pStyle w:val="4"/>
        <w:bidi w:val="0"/>
        <w:rPr>
          <w:rFonts w:hint="default" w:ascii="Times New Roman" w:hAnsi="Times New Roman" w:cs="Times New Roman"/>
          <w:color w:val="auto"/>
          <w:highlight w:val="none"/>
          <w:lang w:val="en-US" w:eastAsia="zh-CN"/>
        </w:rPr>
      </w:pPr>
      <w:bookmarkStart w:id="27" w:name="_Toc27079"/>
      <w:r>
        <w:rPr>
          <w:rFonts w:hint="default" w:ascii="Times New Roman" w:hAnsi="Times New Roman" w:cs="Times New Roman"/>
          <w:color w:val="auto"/>
          <w:highlight w:val="none"/>
          <w:lang w:val="en-US" w:eastAsia="zh-CN"/>
        </w:rPr>
        <w:t>（一）基本支出情况</w:t>
      </w:r>
      <w:bookmarkEnd w:id="27"/>
    </w:p>
    <w:p w14:paraId="33DC2F23">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highlight w:val="none"/>
          <w:lang w:val="en-US" w:eastAsia="zh-CN"/>
        </w:rPr>
        <w:t>1.总体情况</w:t>
      </w:r>
      <w:r>
        <w:rPr>
          <w:rFonts w:hint="default" w:ascii="Times New Roman" w:hAnsi="Times New Roman" w:cs="Times New Roman"/>
          <w:b/>
          <w:bCs/>
          <w:color w:val="auto"/>
          <w:highlight w:val="none"/>
          <w:lang w:val="en-US" w:eastAsia="zh-CN"/>
        </w:rPr>
        <w:t>。</w:t>
      </w:r>
      <w:r>
        <w:rPr>
          <w:rFonts w:hint="default" w:ascii="Times New Roman" w:hAnsi="Times New Roman" w:cs="Times New Roman"/>
          <w:color w:val="auto"/>
          <w:highlight w:val="none"/>
          <w:lang w:val="en-US" w:eastAsia="zh-CN"/>
        </w:rPr>
        <w:t>2025年度，一般公共预算财政拨款基本支出总额34,062.31万元，其中：工资福利支出28,299.50万元，商品和服务支出2,621.44万元，对个人和家庭的补助3,137.12万元，资本性支出4.24万元</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详见下图</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w:t>
      </w:r>
    </w:p>
    <w:p w14:paraId="74B287B5">
      <w:pPr>
        <w:pStyle w:val="11"/>
        <w:keepNext w:val="0"/>
        <w:keepLines w:val="0"/>
        <w:pageBreakBefore w:val="0"/>
        <w:widowControl w:val="0"/>
        <w:kinsoku/>
        <w:wordWrap/>
        <w:overflowPunct/>
        <w:topLinePunct w:val="0"/>
        <w:autoSpaceDE/>
        <w:autoSpaceDN/>
        <w:bidi w:val="0"/>
        <w:adjustRightInd/>
        <w:snapToGrid/>
        <w:spacing w:before="0" w:beforeAutospacing="0" w:after="0" w:line="240" w:lineRule="auto"/>
        <w:jc w:val="center"/>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rPr>
        <w:drawing>
          <wp:inline distT="0" distB="0" distL="114300" distR="114300">
            <wp:extent cx="3807460" cy="2100580"/>
            <wp:effectExtent l="5080" t="4445" r="6985" b="9525"/>
            <wp:docPr id="2" name="图表 5" descr="7b0a202020202263686172745265734964223a202232303436383535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59885F0">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b/>
          <w:bCs/>
          <w:color w:val="auto"/>
          <w:szCs w:val="32"/>
          <w:highlight w:val="none"/>
          <w:lang w:val="en-US" w:eastAsia="zh-CN"/>
        </w:rPr>
      </w:pPr>
      <w:r>
        <w:rPr>
          <w:rFonts w:hint="default" w:ascii="Times New Roman" w:hAnsi="Times New Roman" w:cs="Times New Roman"/>
          <w:b/>
          <w:bCs/>
          <w:color w:val="auto"/>
          <w:szCs w:val="32"/>
          <w:highlight w:val="none"/>
          <w:lang w:val="en-US" w:eastAsia="zh-CN"/>
        </w:rPr>
        <w:t>2.“三公”经费</w:t>
      </w:r>
      <w:r>
        <w:rPr>
          <w:rFonts w:hint="default" w:ascii="Times New Roman" w:hAnsi="Times New Roman" w:eastAsia="仿宋_GB2312" w:cs="Times New Roman"/>
          <w:b/>
          <w:bCs/>
          <w:color w:val="auto"/>
          <w:sz w:val="32"/>
          <w:szCs w:val="32"/>
          <w:highlight w:val="none"/>
        </w:rPr>
        <w:t>支出使用和管理情况</w:t>
      </w:r>
    </w:p>
    <w:p w14:paraId="2F8B3C74">
      <w:pPr>
        <w:keepNext w:val="0"/>
        <w:keepLines w:val="0"/>
        <w:pageBreakBefore w:val="0"/>
        <w:widowControl/>
        <w:kinsoku/>
        <w:wordWrap/>
        <w:overflowPunct/>
        <w:topLinePunct w:val="0"/>
        <w:autoSpaceDE/>
        <w:autoSpaceDN/>
        <w:bidi w:val="0"/>
        <w:adjustRightInd/>
        <w:snapToGrid/>
        <w:spacing w:line="560" w:lineRule="exac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sz w:val="32"/>
          <w:szCs w:val="32"/>
          <w:highlight w:val="none"/>
          <w:lang w:val="en-US" w:eastAsia="zh-CN"/>
        </w:rPr>
        <w:t>我厅</w:t>
      </w:r>
      <w:r>
        <w:rPr>
          <w:rFonts w:hint="default" w:ascii="Times New Roman" w:hAnsi="Times New Roman" w:eastAsia="仿宋_GB2312" w:cs="Times New Roman"/>
          <w:color w:val="auto"/>
          <w:sz w:val="32"/>
          <w:szCs w:val="32"/>
          <w:highlight w:val="none"/>
        </w:rPr>
        <w:t>认真贯彻落实中央厉行节约的有关规定，严格执行《党政机关厉行节约反对浪费条例》和《湖南省党政机关公务接待管理办法》，严控“三公”经费支出，压减因公出国（境）费、公务用车购置及运行维护费及公务接待费。</w:t>
      </w:r>
    </w:p>
    <w:p w14:paraId="226D80DE">
      <w:pPr>
        <w:keepNext w:val="0"/>
        <w:keepLines w:val="0"/>
        <w:pageBreakBefore w:val="0"/>
        <w:widowControl/>
        <w:kinsoku/>
        <w:wordWrap/>
        <w:overflowPunct/>
        <w:topLinePunct w:val="0"/>
        <w:autoSpaceDE/>
        <w:autoSpaceDN/>
        <w:bidi w:val="0"/>
        <w:adjustRightInd/>
        <w:snapToGrid/>
        <w:spacing w:line="560" w:lineRule="exact"/>
        <w:ind w:firstLine="64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三公”经费全年预算数310.45万元，其中：因公出国（境）费用163.3万元；公务接待费51.50万元；公务用车购置及运行维护费95.56万元。“三公”经费决算支出数为281.64万元，其中：因公出国（境）费用160.20万元；公务接待费34.80万元；公务用车运行维护费86.64万元。“三公”经费决算支出数较预算支出数节约28.81万元，结余率为9.28%。</w:t>
      </w:r>
    </w:p>
    <w:p w14:paraId="199010FA">
      <w:pPr>
        <w:pStyle w:val="8"/>
        <w:jc w:val="right"/>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单位：万元</w:t>
      </w:r>
    </w:p>
    <w:tbl>
      <w:tblPr>
        <w:tblStyle w:val="24"/>
        <w:tblW w:w="880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284"/>
        <w:gridCol w:w="1267"/>
        <w:gridCol w:w="1008"/>
        <w:gridCol w:w="1040"/>
        <w:gridCol w:w="980"/>
        <w:gridCol w:w="2228"/>
      </w:tblGrid>
      <w:tr w14:paraId="0BB391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4"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8C902E">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rPr>
            </w:pPr>
            <w:r>
              <w:rPr>
                <w:rFonts w:hint="default" w:ascii="Times New Roman" w:hAnsi="Times New Roman" w:eastAsia="仿宋" w:cs="Times New Roman"/>
                <w:b/>
                <w:bCs/>
                <w:i w:val="0"/>
                <w:iCs w:val="0"/>
                <w:color w:val="auto"/>
                <w:kern w:val="0"/>
                <w:sz w:val="20"/>
                <w:szCs w:val="20"/>
                <w:highlight w:val="none"/>
                <w:u w:val="none"/>
                <w:lang w:val="en-US" w:eastAsia="zh-CN" w:bidi="ar"/>
              </w:rPr>
              <w:t>项目</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0F5D">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2025年</w:t>
            </w:r>
          </w:p>
          <w:p w14:paraId="1BEB54CA">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全年预算数</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54BD3">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2025年</w:t>
            </w:r>
          </w:p>
          <w:p w14:paraId="1CFBDC72">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rPr>
            </w:pPr>
            <w:r>
              <w:rPr>
                <w:rFonts w:hint="default" w:ascii="Times New Roman" w:hAnsi="Times New Roman" w:eastAsia="仿宋" w:cs="Times New Roman"/>
                <w:b/>
                <w:bCs/>
                <w:i w:val="0"/>
                <w:iCs w:val="0"/>
                <w:color w:val="auto"/>
                <w:kern w:val="0"/>
                <w:sz w:val="20"/>
                <w:szCs w:val="20"/>
                <w:highlight w:val="none"/>
                <w:u w:val="none"/>
                <w:lang w:val="en-US" w:eastAsia="zh-CN" w:bidi="ar"/>
              </w:rPr>
              <w:t>决算数</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4E4F1">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2024年</w:t>
            </w:r>
          </w:p>
          <w:p w14:paraId="6FD15047">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color w:val="auto"/>
                <w:kern w:val="2"/>
                <w:sz w:val="32"/>
                <w:szCs w:val="24"/>
                <w:highlight w:val="none"/>
                <w:lang w:val="en-US" w:eastAsia="zh-CN" w:bidi="ar-SA"/>
              </w:rPr>
            </w:pPr>
            <w:r>
              <w:rPr>
                <w:rFonts w:hint="default" w:ascii="Times New Roman" w:hAnsi="Times New Roman" w:eastAsia="仿宋" w:cs="Times New Roman"/>
                <w:b/>
                <w:bCs/>
                <w:i w:val="0"/>
                <w:iCs w:val="0"/>
                <w:color w:val="auto"/>
                <w:kern w:val="0"/>
                <w:sz w:val="20"/>
                <w:szCs w:val="20"/>
                <w:highlight w:val="none"/>
                <w:u w:val="none"/>
                <w:lang w:val="en-US" w:eastAsia="zh-CN" w:bidi="ar"/>
              </w:rPr>
              <w:t>决算数</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6BB61">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2025年</w:t>
            </w:r>
          </w:p>
          <w:p w14:paraId="7FC773C3">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结余数</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B7C8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kern w:val="0"/>
                <w:sz w:val="20"/>
                <w:szCs w:val="20"/>
                <w:highlight w:val="none"/>
                <w:u w:val="none"/>
                <w:lang w:val="en-US" w:eastAsia="zh-CN" w:bidi="ar"/>
              </w:rPr>
            </w:pPr>
            <w:r>
              <w:rPr>
                <w:rFonts w:hint="default" w:ascii="Times New Roman" w:hAnsi="Times New Roman" w:eastAsia="仿宋" w:cs="Times New Roman"/>
                <w:b/>
                <w:bCs/>
                <w:i w:val="0"/>
                <w:iCs w:val="0"/>
                <w:color w:val="auto"/>
                <w:kern w:val="0"/>
                <w:sz w:val="20"/>
                <w:szCs w:val="20"/>
                <w:highlight w:val="none"/>
                <w:u w:val="none"/>
                <w:lang w:val="en-US" w:eastAsia="zh-CN" w:bidi="ar"/>
              </w:rPr>
              <w:t>2025年决算较2024年决算增减额</w:t>
            </w:r>
          </w:p>
        </w:tc>
      </w:tr>
      <w:tr w14:paraId="5D0D0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DEA79">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仿宋" w:cs="Times New Roman"/>
                <w:i w:val="0"/>
                <w:iCs w:val="0"/>
                <w:color w:val="auto"/>
                <w:kern w:val="0"/>
                <w:sz w:val="20"/>
                <w:szCs w:val="20"/>
                <w:highlight w:val="none"/>
                <w:u w:val="none"/>
                <w:lang w:val="en-US" w:eastAsia="zh-CN" w:bidi="ar"/>
              </w:rPr>
              <w:t>因公出国（境）费用</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A966B">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163.39</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770F3">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160.20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48ACA1">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56.89</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078EE">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3.19</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11502">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103.31</w:t>
            </w:r>
          </w:p>
        </w:tc>
      </w:tr>
      <w:tr w14:paraId="358B2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1"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DACE">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仿宋" w:cs="Times New Roman"/>
                <w:i w:val="0"/>
                <w:iCs w:val="0"/>
                <w:color w:val="auto"/>
                <w:kern w:val="0"/>
                <w:sz w:val="20"/>
                <w:szCs w:val="20"/>
                <w:highlight w:val="none"/>
                <w:u w:val="none"/>
                <w:lang w:val="en-US" w:eastAsia="zh-CN" w:bidi="ar"/>
              </w:rPr>
              <w:t>公务接待费</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A89BB">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51.50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958230">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34.80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3F2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15.93</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E981C">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16.70</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FCB4A">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18.87</w:t>
            </w:r>
          </w:p>
        </w:tc>
      </w:tr>
      <w:tr w14:paraId="34149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A4B8">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default" w:ascii="Times New Roman" w:hAnsi="Times New Roman" w:eastAsia="仿宋" w:cs="Times New Roman"/>
                <w:i w:val="0"/>
                <w:iCs w:val="0"/>
                <w:color w:val="auto"/>
                <w:sz w:val="20"/>
                <w:szCs w:val="20"/>
                <w:highlight w:val="none"/>
                <w:u w:val="none"/>
              </w:rPr>
            </w:pPr>
            <w:r>
              <w:rPr>
                <w:rFonts w:hint="default" w:ascii="Times New Roman" w:hAnsi="Times New Roman" w:eastAsia="仿宋" w:cs="Times New Roman"/>
                <w:i w:val="0"/>
                <w:iCs w:val="0"/>
                <w:color w:val="auto"/>
                <w:kern w:val="0"/>
                <w:sz w:val="20"/>
                <w:szCs w:val="20"/>
                <w:highlight w:val="none"/>
                <w:u w:val="none"/>
                <w:lang w:val="en-US" w:eastAsia="zh-CN" w:bidi="ar"/>
              </w:rPr>
              <w:t>公务用车购置及运行维护费</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33F3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95.56</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9DE7EA">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86.64</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3D2C3">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75.87</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F638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8.92</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1C0D">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10.77</w:t>
            </w:r>
          </w:p>
        </w:tc>
      </w:tr>
      <w:tr w14:paraId="109FED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9C2BA">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left"/>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其中：</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7DBE43">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509E8">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F9118">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B51F">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81D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r>
      <w:tr w14:paraId="6F48F3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26245E">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200" w:firstLineChars="100"/>
              <w:jc w:val="left"/>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公务用车购置费</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FA6E">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18.00</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C711C">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17.90</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C8A35">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80B7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0.1</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356E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17.9</w:t>
            </w:r>
          </w:p>
        </w:tc>
      </w:tr>
      <w:tr w14:paraId="14444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9925F">
            <w:pPr>
              <w:keepNext w:val="0"/>
              <w:keepLines w:val="0"/>
              <w:pageBreakBefore w:val="0"/>
              <w:widowControl/>
              <w:suppressLineNumbers w:val="0"/>
              <w:kinsoku/>
              <w:wordWrap/>
              <w:overflowPunct/>
              <w:topLinePunct w:val="0"/>
              <w:autoSpaceDE/>
              <w:autoSpaceDN/>
              <w:bidi w:val="0"/>
              <w:adjustRightInd/>
              <w:snapToGrid/>
              <w:spacing w:line="240" w:lineRule="exact"/>
              <w:ind w:left="0" w:leftChars="0" w:firstLine="200" w:firstLineChars="100"/>
              <w:jc w:val="left"/>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公务用车运行维护费</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32C630">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77.56</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57DE2">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68.74</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C351A">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75.87</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4ADF34">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8.82</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EFF39">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i w:val="0"/>
                <w:iCs w:val="0"/>
                <w:color w:val="auto"/>
                <w:kern w:val="0"/>
                <w:sz w:val="20"/>
                <w:szCs w:val="20"/>
                <w:highlight w:val="none"/>
                <w:u w:val="none"/>
                <w:lang w:val="en-US" w:eastAsia="zh-CN" w:bidi="ar"/>
              </w:rPr>
            </w:pPr>
            <w:r>
              <w:rPr>
                <w:rFonts w:hint="default" w:ascii="Times New Roman" w:hAnsi="Times New Roman" w:eastAsia="仿宋" w:cs="Times New Roman"/>
                <w:i w:val="0"/>
                <w:iCs w:val="0"/>
                <w:color w:val="auto"/>
                <w:kern w:val="0"/>
                <w:sz w:val="20"/>
                <w:szCs w:val="20"/>
                <w:highlight w:val="none"/>
                <w:u w:val="none"/>
                <w:lang w:val="en-US" w:eastAsia="zh-CN" w:bidi="ar"/>
              </w:rPr>
              <w:t>-7.13</w:t>
            </w:r>
          </w:p>
        </w:tc>
      </w:tr>
      <w:tr w14:paraId="6E1E82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3" w:hRule="atLeast"/>
          <w:jc w:val="center"/>
        </w:trPr>
        <w:tc>
          <w:tcPr>
            <w:tcW w:w="22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DA4D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rPr>
            </w:pPr>
            <w:r>
              <w:rPr>
                <w:rFonts w:hint="default" w:ascii="Times New Roman" w:hAnsi="Times New Roman" w:eastAsia="仿宋" w:cs="Times New Roman"/>
                <w:b/>
                <w:bCs/>
                <w:i w:val="0"/>
                <w:iCs w:val="0"/>
                <w:color w:val="auto"/>
                <w:kern w:val="0"/>
                <w:sz w:val="20"/>
                <w:szCs w:val="20"/>
                <w:highlight w:val="none"/>
                <w:u w:val="none"/>
                <w:lang w:val="en-US" w:eastAsia="zh-CN" w:bidi="ar"/>
              </w:rPr>
              <w:t>合计</w:t>
            </w:r>
          </w:p>
        </w:tc>
        <w:tc>
          <w:tcPr>
            <w:tcW w:w="12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32424">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lang w:val="en-US" w:eastAsia="zh-CN"/>
              </w:rPr>
            </w:pPr>
            <w:r>
              <w:rPr>
                <w:rFonts w:hint="default" w:ascii="Times New Roman" w:hAnsi="Times New Roman" w:eastAsia="仿宋" w:cs="Times New Roman"/>
                <w:b/>
                <w:bCs/>
                <w:i w:val="0"/>
                <w:iCs w:val="0"/>
                <w:color w:val="auto"/>
                <w:sz w:val="20"/>
                <w:szCs w:val="20"/>
                <w:highlight w:val="none"/>
                <w:u w:val="none"/>
                <w:lang w:val="en-US" w:eastAsia="zh-CN"/>
              </w:rPr>
              <w:t>310.45</w:t>
            </w:r>
          </w:p>
        </w:tc>
        <w:tc>
          <w:tcPr>
            <w:tcW w:w="100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5B8AD">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lang w:val="en-US" w:eastAsia="zh-CN"/>
              </w:rPr>
            </w:pPr>
            <w:r>
              <w:rPr>
                <w:rFonts w:hint="default" w:ascii="Times New Roman" w:hAnsi="Times New Roman" w:eastAsia="仿宋" w:cs="Times New Roman"/>
                <w:b/>
                <w:bCs/>
                <w:i w:val="0"/>
                <w:iCs w:val="0"/>
                <w:color w:val="auto"/>
                <w:sz w:val="20"/>
                <w:szCs w:val="20"/>
                <w:highlight w:val="none"/>
                <w:u w:val="none"/>
                <w:lang w:val="en-US" w:eastAsia="zh-CN"/>
              </w:rPr>
              <w:t>281.64</w:t>
            </w:r>
          </w:p>
        </w:tc>
        <w:tc>
          <w:tcPr>
            <w:tcW w:w="10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A999CD">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lang w:val="en-US" w:eastAsia="zh-CN"/>
              </w:rPr>
            </w:pPr>
            <w:r>
              <w:rPr>
                <w:rFonts w:hint="default" w:ascii="Times New Roman" w:hAnsi="Times New Roman" w:eastAsia="仿宋" w:cs="Times New Roman"/>
                <w:b/>
                <w:bCs/>
                <w:i w:val="0"/>
                <w:iCs w:val="0"/>
                <w:color w:val="auto"/>
                <w:sz w:val="20"/>
                <w:szCs w:val="20"/>
                <w:highlight w:val="none"/>
                <w:u w:val="none"/>
                <w:lang w:val="en-US" w:eastAsia="zh-CN"/>
              </w:rPr>
              <w:t>148.69</w:t>
            </w:r>
          </w:p>
        </w:tc>
        <w:tc>
          <w:tcPr>
            <w:tcW w:w="9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7B815">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lang w:val="en-US" w:eastAsia="zh-CN"/>
              </w:rPr>
            </w:pPr>
            <w:r>
              <w:rPr>
                <w:rFonts w:hint="default" w:ascii="Times New Roman" w:hAnsi="Times New Roman" w:eastAsia="仿宋" w:cs="Times New Roman"/>
                <w:b/>
                <w:bCs/>
                <w:i w:val="0"/>
                <w:iCs w:val="0"/>
                <w:color w:val="auto"/>
                <w:sz w:val="20"/>
                <w:szCs w:val="20"/>
                <w:highlight w:val="none"/>
                <w:u w:val="none"/>
                <w:lang w:val="en-US" w:eastAsia="zh-CN"/>
              </w:rPr>
              <w:t>37.73</w:t>
            </w:r>
          </w:p>
        </w:tc>
        <w:tc>
          <w:tcPr>
            <w:tcW w:w="2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1CB26">
            <w:pPr>
              <w:keepNext w:val="0"/>
              <w:keepLines w:val="0"/>
              <w:pageBreakBefore w:val="0"/>
              <w:widowControl/>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 w:cs="Times New Roman"/>
                <w:b/>
                <w:bCs/>
                <w:i w:val="0"/>
                <w:iCs w:val="0"/>
                <w:color w:val="auto"/>
                <w:sz w:val="20"/>
                <w:szCs w:val="20"/>
                <w:highlight w:val="none"/>
                <w:u w:val="none"/>
                <w:lang w:val="en-US" w:eastAsia="zh-CN"/>
              </w:rPr>
            </w:pPr>
            <w:r>
              <w:rPr>
                <w:rFonts w:hint="default" w:ascii="Times New Roman" w:hAnsi="Times New Roman" w:eastAsia="仿宋" w:cs="Times New Roman"/>
                <w:b/>
                <w:bCs/>
                <w:i w:val="0"/>
                <w:iCs w:val="0"/>
                <w:color w:val="auto"/>
                <w:sz w:val="20"/>
                <w:szCs w:val="20"/>
                <w:highlight w:val="none"/>
                <w:u w:val="none"/>
                <w:lang w:val="en-US" w:eastAsia="zh-CN"/>
              </w:rPr>
              <w:t>132.95</w:t>
            </w:r>
          </w:p>
        </w:tc>
      </w:tr>
    </w:tbl>
    <w:p w14:paraId="0B58B262">
      <w:pPr>
        <w:widowControl/>
        <w:spacing w:line="560" w:lineRule="exact"/>
        <w:ind w:firstLine="640" w:firstLineChars="0"/>
        <w:rPr>
          <w:rFonts w:hint="default" w:ascii="Times New Roman" w:hAnsi="Times New Roman" w:eastAsia="仿宋_GB2312" w:cs="Times New Roman"/>
          <w:color w:val="auto"/>
          <w:sz w:val="32"/>
          <w:szCs w:val="24"/>
          <w:highlight w:val="none"/>
          <w:lang w:val="en-US" w:eastAsia="zh-CN"/>
        </w:rPr>
      </w:pPr>
      <w:r>
        <w:rPr>
          <w:rFonts w:hint="default" w:ascii="Times New Roman" w:hAnsi="Times New Roman" w:cs="Times New Roman"/>
          <w:color w:val="auto"/>
          <w:sz w:val="32"/>
          <w:szCs w:val="24"/>
          <w:highlight w:val="none"/>
          <w:lang w:val="en-US" w:eastAsia="zh-CN"/>
        </w:rPr>
        <w:t>1.本年度因公出国（境）费用较上年增加</w:t>
      </w:r>
      <w:r>
        <w:rPr>
          <w:rFonts w:hint="default" w:ascii="Times New Roman" w:hAnsi="Times New Roman" w:eastAsia="仿宋_GB2312" w:cs="Times New Roman"/>
          <w:color w:val="auto"/>
          <w:sz w:val="32"/>
          <w:szCs w:val="24"/>
          <w:highlight w:val="none"/>
          <w:lang w:val="en-US" w:eastAsia="zh-CN"/>
        </w:rPr>
        <w:t>，原因是</w:t>
      </w:r>
      <w:r>
        <w:rPr>
          <w:rFonts w:hint="default" w:ascii="Times New Roman" w:hAnsi="Times New Roman" w:cs="Times New Roman"/>
          <w:color w:val="auto"/>
          <w:sz w:val="32"/>
          <w:szCs w:val="24"/>
          <w:highlight w:val="none"/>
          <w:lang w:val="en-US" w:eastAsia="zh-CN"/>
        </w:rPr>
        <w:t>根据年度工作计划安排，</w:t>
      </w:r>
      <w:r>
        <w:rPr>
          <w:rFonts w:hint="default" w:ascii="Times New Roman" w:hAnsi="Times New Roman" w:eastAsia="仿宋_GB2312" w:cs="Times New Roman"/>
          <w:color w:val="auto"/>
          <w:sz w:val="32"/>
          <w:szCs w:val="24"/>
          <w:highlight w:val="none"/>
          <w:lang w:val="en-US" w:eastAsia="zh-CN"/>
        </w:rPr>
        <w:t>2025年度我厅对外交流活动较上年有所增加</w:t>
      </w:r>
      <w:r>
        <w:rPr>
          <w:rFonts w:hint="default" w:ascii="Times New Roman" w:hAnsi="Times New Roman" w:cs="Times New Roman"/>
          <w:color w:val="auto"/>
          <w:sz w:val="32"/>
          <w:szCs w:val="24"/>
          <w:highlight w:val="none"/>
          <w:lang w:val="en-US" w:eastAsia="zh-CN"/>
        </w:rPr>
        <w:t>。</w:t>
      </w:r>
    </w:p>
    <w:p w14:paraId="16F1432B">
      <w:pPr>
        <w:widowControl/>
        <w:spacing w:line="560" w:lineRule="exact"/>
        <w:ind w:firstLine="640" w:firstLineChars="0"/>
        <w:rPr>
          <w:rFonts w:hint="default" w:ascii="Times New Roman" w:hAnsi="Times New Roman" w:cs="Times New Roman"/>
          <w:color w:val="auto"/>
          <w:sz w:val="32"/>
          <w:szCs w:val="24"/>
          <w:highlight w:val="none"/>
          <w:lang w:val="en-US" w:eastAsia="zh-CN"/>
        </w:rPr>
      </w:pPr>
      <w:r>
        <w:rPr>
          <w:rFonts w:hint="default" w:ascii="Times New Roman" w:hAnsi="Times New Roman" w:cs="Times New Roman"/>
          <w:color w:val="auto"/>
          <w:sz w:val="32"/>
          <w:szCs w:val="24"/>
          <w:highlight w:val="none"/>
          <w:lang w:val="en-US" w:eastAsia="zh-CN"/>
        </w:rPr>
        <w:t>2.本年</w:t>
      </w:r>
      <w:r>
        <w:rPr>
          <w:rFonts w:hint="default" w:ascii="Times New Roman" w:hAnsi="Times New Roman" w:eastAsia="仿宋_GB2312" w:cs="Times New Roman"/>
          <w:color w:val="auto"/>
          <w:sz w:val="32"/>
          <w:szCs w:val="24"/>
          <w:highlight w:val="none"/>
          <w:lang w:val="en-US" w:eastAsia="zh-CN"/>
        </w:rPr>
        <w:t>度</w:t>
      </w:r>
      <w:r>
        <w:rPr>
          <w:rFonts w:hint="default" w:ascii="Times New Roman" w:hAnsi="Times New Roman" w:eastAsia="仿宋_GB2312" w:cs="Times New Roman"/>
          <w:color w:val="auto"/>
          <w:sz w:val="32"/>
          <w:szCs w:val="24"/>
          <w:highlight w:val="none"/>
          <w:lang w:val="en-US" w:eastAsia="zh-CN"/>
        </w:rPr>
        <w:t>公务接待费</w:t>
      </w:r>
      <w:r>
        <w:rPr>
          <w:rFonts w:hint="default" w:ascii="Times New Roman" w:hAnsi="Times New Roman" w:eastAsia="仿宋_GB2312" w:cs="Times New Roman"/>
          <w:color w:val="auto"/>
          <w:sz w:val="32"/>
          <w:szCs w:val="24"/>
          <w:highlight w:val="none"/>
          <w:lang w:val="en-US" w:eastAsia="zh-CN"/>
        </w:rPr>
        <w:t>较上年增加，原因是</w:t>
      </w:r>
      <w:r>
        <w:rPr>
          <w:rFonts w:hint="default" w:ascii="Times New Roman" w:hAnsi="Times New Roman" w:cs="Times New Roman"/>
          <w:color w:val="auto"/>
          <w:sz w:val="32"/>
          <w:szCs w:val="24"/>
          <w:highlight w:val="none"/>
          <w:lang w:val="en-US" w:eastAsia="zh-CN"/>
        </w:rPr>
        <w:t>根据年度工作计划安排，2025年度较上年增加两批次外事接待费用。</w:t>
      </w:r>
    </w:p>
    <w:p w14:paraId="77C2C03F">
      <w:pPr>
        <w:widowControl/>
        <w:spacing w:line="560" w:lineRule="exact"/>
        <w:ind w:firstLine="640" w:firstLineChars="0"/>
        <w:rPr>
          <w:rFonts w:hint="default" w:ascii="Times New Roman" w:hAnsi="Times New Roman" w:cs="Times New Roman"/>
          <w:color w:val="auto"/>
          <w:sz w:val="32"/>
          <w:szCs w:val="24"/>
          <w:highlight w:val="none"/>
          <w:lang w:val="en-US" w:eastAsia="zh-CN"/>
        </w:rPr>
      </w:pPr>
      <w:r>
        <w:rPr>
          <w:rFonts w:hint="default" w:ascii="Times New Roman" w:hAnsi="Times New Roman" w:cs="Times New Roman"/>
          <w:color w:val="auto"/>
          <w:sz w:val="32"/>
          <w:szCs w:val="24"/>
          <w:highlight w:val="none"/>
          <w:lang w:val="en-US" w:eastAsia="zh-CN"/>
        </w:rPr>
        <w:t>3.本年度公务用车购置及运行维护费较上年增加10.77万元，原因是2025年度较上年新增公务用车购置费用。</w:t>
      </w:r>
    </w:p>
    <w:p w14:paraId="4828A00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32"/>
          <w:szCs w:val="24"/>
          <w:highlight w:val="none"/>
          <w:lang w:val="en-US" w:eastAsia="zh-CN"/>
        </w:rPr>
        <w:t>4.</w:t>
      </w:r>
      <w:r>
        <w:rPr>
          <w:rFonts w:hint="default" w:ascii="Times New Roman" w:hAnsi="Times New Roman" w:eastAsia="仿宋_GB2312" w:cs="Times New Roman"/>
          <w:color w:val="auto"/>
          <w:sz w:val="32"/>
          <w:szCs w:val="24"/>
          <w:highlight w:val="none"/>
        </w:rPr>
        <w:t>本年度</w:t>
      </w:r>
      <w:r>
        <w:rPr>
          <w:rFonts w:hint="default" w:ascii="Times New Roman" w:hAnsi="Times New Roman" w:cs="Times New Roman"/>
          <w:color w:val="auto"/>
          <w:sz w:val="32"/>
          <w:szCs w:val="24"/>
          <w:highlight w:val="none"/>
          <w:lang w:val="en-US" w:eastAsia="zh-CN"/>
        </w:rPr>
        <w:t>公务接待费、公务用车运行维护费结余较多，主要</w:t>
      </w:r>
      <w:r>
        <w:rPr>
          <w:rFonts w:hint="default" w:ascii="Times New Roman" w:hAnsi="Times New Roman" w:eastAsia="仿宋_GB2312" w:cs="Times New Roman"/>
          <w:color w:val="auto"/>
          <w:sz w:val="32"/>
          <w:szCs w:val="24"/>
          <w:highlight w:val="none"/>
        </w:rPr>
        <w:t>原因</w:t>
      </w:r>
      <w:r>
        <w:rPr>
          <w:rFonts w:hint="default" w:ascii="Times New Roman" w:hAnsi="Times New Roman" w:cs="Times New Roman"/>
          <w:color w:val="auto"/>
          <w:sz w:val="32"/>
          <w:szCs w:val="24"/>
          <w:highlight w:val="none"/>
          <w:lang w:val="en-US" w:eastAsia="zh-CN"/>
        </w:rPr>
        <w:t>是严格遵守相关制度，秉承厉行节约原则，细化预算，严控支出，</w:t>
      </w:r>
      <w:r>
        <w:rPr>
          <w:rFonts w:hint="eastAsia" w:ascii="Times New Roman" w:hAnsi="Times New Roman" w:cs="Times New Roman"/>
          <w:color w:val="auto"/>
          <w:sz w:val="32"/>
          <w:szCs w:val="24"/>
          <w:highlight w:val="none"/>
          <w:lang w:val="en-US" w:eastAsia="zh-CN"/>
        </w:rPr>
        <w:t>压减</w:t>
      </w:r>
      <w:r>
        <w:rPr>
          <w:rFonts w:hint="default" w:ascii="Times New Roman" w:hAnsi="Times New Roman" w:cs="Times New Roman"/>
          <w:color w:val="auto"/>
          <w:sz w:val="32"/>
          <w:szCs w:val="24"/>
          <w:highlight w:val="none"/>
          <w:lang w:val="en-US" w:eastAsia="zh-CN"/>
        </w:rPr>
        <w:t>“三公”经费</w:t>
      </w:r>
      <w:r>
        <w:rPr>
          <w:rFonts w:hint="default" w:ascii="Times New Roman" w:hAnsi="Times New Roman" w:eastAsia="仿宋_GB2312" w:cs="Times New Roman"/>
          <w:color w:val="auto"/>
          <w:sz w:val="32"/>
          <w:szCs w:val="24"/>
          <w:highlight w:val="none"/>
        </w:rPr>
        <w:t>。</w:t>
      </w:r>
    </w:p>
    <w:p w14:paraId="1B637D13">
      <w:pPr>
        <w:pStyle w:val="4"/>
        <w:bidi w:val="0"/>
        <w:rPr>
          <w:rFonts w:hint="default" w:ascii="Times New Roman" w:hAnsi="Times New Roman" w:cs="Times New Roman"/>
          <w:color w:val="auto"/>
          <w:highlight w:val="none"/>
          <w:lang w:val="en-US" w:eastAsia="zh-CN"/>
        </w:rPr>
      </w:pPr>
      <w:bookmarkStart w:id="28" w:name="_Toc31209"/>
      <w:r>
        <w:rPr>
          <w:rFonts w:hint="default" w:ascii="Times New Roman" w:hAnsi="Times New Roman" w:cs="Times New Roman"/>
          <w:color w:val="auto"/>
          <w:highlight w:val="none"/>
          <w:lang w:val="en-US" w:eastAsia="zh-CN"/>
        </w:rPr>
        <w:t>（二）项目支出情况</w:t>
      </w:r>
      <w:bookmarkEnd w:id="28"/>
    </w:p>
    <w:p w14:paraId="0FE257B0">
      <w:pPr>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2025年度一般公共预算财政拨款项目支出金额78,675.58万元，其中：工资福利支出1,388.04万元，占比1.76%；商品和服务支出45,355.59万元，占比57.65%；对个人和家庭的补助68.32万元，占比0.09%；资本性支出</w:t>
      </w:r>
      <w:r>
        <w:rPr>
          <w:rFonts w:hint="default" w:ascii="Times New Roman" w:hAnsi="Times New Roman" w:cs="Times New Roman"/>
          <w:color w:val="auto"/>
          <w:highlight w:val="none"/>
          <w:lang w:val="en-US" w:eastAsia="zh-CN"/>
        </w:rPr>
        <w:tab/>
      </w:r>
      <w:r>
        <w:rPr>
          <w:rFonts w:hint="default" w:ascii="Times New Roman" w:hAnsi="Times New Roman" w:cs="Times New Roman"/>
          <w:color w:val="auto"/>
          <w:highlight w:val="none"/>
          <w:lang w:val="en-US" w:eastAsia="zh-CN"/>
        </w:rPr>
        <w:t>31,833.63万元，占比40.46%；对企业补助30.00万元，占比0.04%。</w:t>
      </w:r>
    </w:p>
    <w:p w14:paraId="4C9943E2">
      <w:pPr>
        <w:pStyle w:val="4"/>
        <w:widowControl/>
        <w:ind w:firstLine="0"/>
        <w:rPr>
          <w:rFonts w:hint="default" w:ascii="Times New Roman" w:hAnsi="Times New Roman" w:cs="Times New Roman"/>
          <w:color w:val="auto"/>
          <w:highlight w:val="none"/>
          <w:lang w:val="en-US" w:eastAsia="zh-CN" w:bidi="ar"/>
        </w:rPr>
      </w:pPr>
      <w:bookmarkStart w:id="29" w:name="_Toc29597"/>
      <w:r>
        <w:rPr>
          <w:rFonts w:hint="default" w:ascii="Times New Roman" w:hAnsi="Times New Roman" w:cs="Times New Roman"/>
          <w:color w:val="auto"/>
          <w:highlight w:val="none"/>
          <w:lang w:val="en-US" w:eastAsia="zh-CN" w:bidi="ar"/>
        </w:rPr>
        <w:t>（三）省级专项资金分配安排和使用管理情况</w:t>
      </w:r>
      <w:bookmarkEnd w:id="29"/>
    </w:p>
    <w:p w14:paraId="21B22850">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我厅主管文化旅游发展专项、文物保护专项两个省级专项资金，2025年度省级专项资金的分配和使用情况具体如下：</w:t>
      </w:r>
    </w:p>
    <w:p w14:paraId="20541E29">
      <w:pPr>
        <w:pageBreakBefore w:val="0"/>
        <w:widowControl w:val="0"/>
        <w:kinsoku/>
        <w:wordWrap/>
        <w:topLinePunct w:val="0"/>
        <w:autoSpaceDE/>
        <w:autoSpaceDN/>
        <w:bidi w:val="0"/>
        <w:spacing w:line="560" w:lineRule="exact"/>
        <w:ind w:firstLine="640"/>
        <w:jc w:val="both"/>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1.</w:t>
      </w:r>
      <w:r>
        <w:rPr>
          <w:rFonts w:hint="default" w:ascii="Times New Roman" w:hAnsi="Times New Roman" w:cs="Times New Roman"/>
          <w:b/>
          <w:bCs/>
          <w:color w:val="auto"/>
          <w:highlight w:val="none"/>
          <w:lang w:val="en-US" w:eastAsia="zh-CN"/>
        </w:rPr>
        <w:t>省级</w:t>
      </w:r>
      <w:r>
        <w:rPr>
          <w:rFonts w:hint="default" w:ascii="Times New Roman" w:hAnsi="Times New Roman" w:cs="Times New Roman"/>
          <w:b/>
          <w:bCs/>
          <w:color w:val="auto"/>
          <w:highlight w:val="none"/>
          <w:lang w:val="en-US" w:eastAsia="zh-CN"/>
        </w:rPr>
        <w:t>文化旅游发展专项</w:t>
      </w:r>
    </w:p>
    <w:p w14:paraId="769C8DD2">
      <w:pPr>
        <w:spacing w:line="579" w:lineRule="exact"/>
        <w:ind w:firstLine="640" w:firstLineChars="200"/>
        <w:jc w:val="left"/>
        <w:rPr>
          <w:rFonts w:hint="default" w:ascii="Times New Roman" w:hAnsi="Times New Roman" w:cs="Times New Roman"/>
          <w:lang w:val="en-US" w:eastAsia="zh-CN"/>
        </w:rPr>
      </w:pPr>
      <w:r>
        <w:rPr>
          <w:rFonts w:hint="default" w:ascii="Times New Roman" w:hAnsi="Times New Roman" w:cs="Times New Roman"/>
          <w:color w:val="auto"/>
          <w:szCs w:val="32"/>
          <w:highlight w:val="none"/>
          <w:lang w:eastAsia="zh-CN"/>
        </w:rPr>
        <w:t>2025年度</w:t>
      </w:r>
      <w:r>
        <w:rPr>
          <w:rFonts w:hint="default" w:ascii="Times New Roman" w:hAnsi="Times New Roman" w:cs="Times New Roman"/>
          <w:color w:val="auto"/>
          <w:szCs w:val="32"/>
          <w:highlight w:val="none"/>
          <w:lang w:val="en-US" w:eastAsia="zh-CN"/>
        </w:rPr>
        <w:t>省级文化旅游发展专项</w:t>
      </w:r>
      <w:r>
        <w:rPr>
          <w:rFonts w:hint="default" w:ascii="Times New Roman" w:hAnsi="Times New Roman" w:cs="Times New Roman"/>
          <w:color w:val="auto"/>
          <w:szCs w:val="32"/>
          <w:highlight w:val="none"/>
          <w:lang w:eastAsia="zh-CN"/>
        </w:rPr>
        <w:t>资金合计52,637.00万元，重点投向湖南旅游发展大会、文旅活动与行业管理、申报项目、省委省政府部署项目、文物保护利用等领域，同时覆盖非遗保护传承、艺术人才培养、演艺惠民、基础设施建设等方面，资金投向重点突出、领域覆盖广泛，为全省文旅事业发展提供了有力支撑（</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p>
    <w:tbl>
      <w:tblPr>
        <w:tblStyle w:val="24"/>
        <w:tblW w:w="894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397"/>
        <w:gridCol w:w="2497"/>
        <w:gridCol w:w="1049"/>
      </w:tblGrid>
      <w:tr w14:paraId="762AF0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B171DE">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i w:val="0"/>
                <w:iCs w:val="0"/>
                <w:color w:val="auto"/>
                <w:kern w:val="0"/>
                <w:sz w:val="22"/>
                <w:szCs w:val="22"/>
                <w:highlight w:val="none"/>
                <w:u w:val="none"/>
                <w:lang w:val="en-US" w:eastAsia="zh-CN" w:bidi="ar"/>
              </w:rPr>
            </w:pPr>
            <w:r>
              <w:rPr>
                <w:rFonts w:hint="default" w:ascii="Times New Roman" w:hAnsi="Times New Roman" w:eastAsia="仿宋_GB2312" w:cs="Times New Roman"/>
                <w:b/>
                <w:i w:val="0"/>
                <w:iCs w:val="0"/>
                <w:color w:val="auto"/>
                <w:kern w:val="0"/>
                <w:sz w:val="22"/>
                <w:szCs w:val="22"/>
                <w:highlight w:val="none"/>
                <w:u w:val="none"/>
                <w:lang w:val="en-US" w:eastAsia="zh-CN" w:bidi="ar"/>
              </w:rPr>
              <w:t>项目类型</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D60D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i w:val="0"/>
                <w:iCs w:val="0"/>
                <w:color w:val="auto"/>
                <w:kern w:val="0"/>
                <w:sz w:val="22"/>
                <w:szCs w:val="22"/>
                <w:highlight w:val="none"/>
                <w:u w:val="none"/>
                <w:lang w:val="en-US" w:eastAsia="zh-CN" w:bidi="ar"/>
              </w:rPr>
            </w:pPr>
            <w:r>
              <w:rPr>
                <w:rFonts w:hint="default" w:ascii="Times New Roman" w:hAnsi="Times New Roman" w:eastAsia="仿宋_GB2312" w:cs="Times New Roman"/>
                <w:b/>
                <w:i w:val="0"/>
                <w:iCs w:val="0"/>
                <w:color w:val="auto"/>
                <w:kern w:val="0"/>
                <w:sz w:val="22"/>
                <w:szCs w:val="22"/>
                <w:highlight w:val="none"/>
                <w:u w:val="none"/>
                <w:lang w:val="en-US" w:eastAsia="zh-CN" w:bidi="ar"/>
              </w:rPr>
              <w:t>金额（万元）</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DCE6A">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i w:val="0"/>
                <w:iCs w:val="0"/>
                <w:color w:val="auto"/>
                <w:kern w:val="0"/>
                <w:sz w:val="22"/>
                <w:szCs w:val="22"/>
                <w:highlight w:val="none"/>
                <w:u w:val="none"/>
                <w:lang w:val="en-US" w:eastAsia="zh-CN" w:bidi="ar"/>
              </w:rPr>
            </w:pPr>
            <w:r>
              <w:rPr>
                <w:rFonts w:hint="default" w:ascii="Times New Roman" w:hAnsi="Times New Roman" w:eastAsia="仿宋_GB2312" w:cs="Times New Roman"/>
                <w:b/>
                <w:i w:val="0"/>
                <w:iCs w:val="0"/>
                <w:color w:val="auto"/>
                <w:kern w:val="0"/>
                <w:sz w:val="22"/>
                <w:szCs w:val="22"/>
                <w:highlight w:val="none"/>
                <w:u w:val="none"/>
                <w:lang w:val="en-US" w:eastAsia="zh-CN" w:bidi="ar"/>
              </w:rPr>
              <w:t>数量</w:t>
            </w:r>
          </w:p>
        </w:tc>
      </w:tr>
      <w:tr w14:paraId="6C71A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D0C8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2025年艺术人才培养</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DF7B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1,000.00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A9D8C">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18</w:t>
            </w:r>
          </w:p>
        </w:tc>
      </w:tr>
      <w:tr w14:paraId="2E9725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2F10B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非遗传承人补助</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2BB9C">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568.00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BA21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25</w:t>
            </w:r>
          </w:p>
        </w:tc>
      </w:tr>
      <w:tr w14:paraId="2AACB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DB848">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湖南旅游发展大会</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DB95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21,700.00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F6FAE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w:t>
            </w:r>
          </w:p>
        </w:tc>
      </w:tr>
      <w:tr w14:paraId="4A7BE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08253">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申报项目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F79DE2">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5,934.00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EC0E5">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w:t>
            </w:r>
            <w:r>
              <w:rPr>
                <w:rFonts w:hint="eastAsia" w:ascii="Times New Roman" w:hAnsi="Times New Roman" w:cs="Times New Roman"/>
                <w:i w:val="0"/>
                <w:iCs w:val="0"/>
                <w:color w:val="auto"/>
                <w:kern w:val="0"/>
                <w:sz w:val="22"/>
                <w:szCs w:val="22"/>
                <w:highlight w:val="none"/>
                <w:u w:val="none"/>
                <w:lang w:val="en-US" w:eastAsia="zh-CN" w:bidi="ar"/>
              </w:rPr>
              <w:t>4</w:t>
            </w:r>
            <w:r>
              <w:rPr>
                <w:rFonts w:hint="default" w:ascii="Times New Roman" w:hAnsi="Times New Roman" w:eastAsia="仿宋_GB2312" w:cs="Times New Roman"/>
                <w:i w:val="0"/>
                <w:iCs w:val="0"/>
                <w:color w:val="auto"/>
                <w:kern w:val="0"/>
                <w:sz w:val="22"/>
                <w:szCs w:val="22"/>
                <w:highlight w:val="none"/>
                <w:u w:val="none"/>
                <w:lang w:val="en-US" w:eastAsia="zh-CN" w:bidi="ar"/>
              </w:rPr>
              <w:t>2</w:t>
            </w:r>
          </w:p>
        </w:tc>
      </w:tr>
      <w:tr w14:paraId="1E8022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E6D8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省级非物质文化遗产保护传承</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7D5CCB">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1,072.00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1A2E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16</w:t>
            </w:r>
          </w:p>
        </w:tc>
      </w:tr>
      <w:tr w14:paraId="6848A2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05DC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省委省政府部署项目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6F2962">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5,790.00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0BB08">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54</w:t>
            </w:r>
          </w:p>
        </w:tc>
      </w:tr>
      <w:tr w14:paraId="75865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452DB">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文旅活动和行业管理项目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10E80">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7,598.00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D51F8">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87</w:t>
            </w:r>
          </w:p>
        </w:tc>
      </w:tr>
      <w:tr w14:paraId="2108C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272E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文旅基础设施建设</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3D50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400.00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DADE5">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7</w:t>
            </w:r>
          </w:p>
        </w:tc>
      </w:tr>
      <w:tr w14:paraId="488FC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6321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文物保护利用项目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2F676">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3,750.00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A7333">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47</w:t>
            </w:r>
          </w:p>
        </w:tc>
      </w:tr>
      <w:tr w14:paraId="7817ED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EBEA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演艺惠民及演出活动经费</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D7CE6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1,345.00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4D65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44</w:t>
            </w:r>
          </w:p>
        </w:tc>
      </w:tr>
      <w:tr w14:paraId="0DD13C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9BED5">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重点项目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6BC7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3,480.00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2462">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22</w:t>
            </w:r>
          </w:p>
        </w:tc>
      </w:tr>
      <w:tr w14:paraId="4FFE4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3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0D54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合计</w:t>
            </w:r>
          </w:p>
        </w:tc>
        <w:tc>
          <w:tcPr>
            <w:tcW w:w="24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54D6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i w:val="0"/>
                <w:iCs w:val="0"/>
                <w:color w:val="auto"/>
                <w:kern w:val="0"/>
                <w:sz w:val="22"/>
                <w:szCs w:val="22"/>
                <w:highlight w:val="none"/>
                <w:u w:val="none"/>
                <w:lang w:val="en-US" w:eastAsia="zh-CN" w:bidi="ar"/>
              </w:rPr>
            </w:pPr>
            <w:r>
              <w:rPr>
                <w:rFonts w:hint="default" w:ascii="Times New Roman" w:hAnsi="Times New Roman" w:eastAsia="仿宋_GB2312" w:cs="Times New Roman"/>
                <w:b/>
                <w:i w:val="0"/>
                <w:iCs w:val="0"/>
                <w:color w:val="auto"/>
                <w:kern w:val="0"/>
                <w:sz w:val="22"/>
                <w:szCs w:val="22"/>
                <w:highlight w:val="none"/>
                <w:u w:val="none"/>
                <w:lang w:val="en-US" w:eastAsia="zh-CN" w:bidi="ar"/>
              </w:rPr>
              <w:t>52,637.00</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6699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i w:val="0"/>
                <w:iCs w:val="0"/>
                <w:color w:val="auto"/>
                <w:kern w:val="0"/>
                <w:sz w:val="22"/>
                <w:szCs w:val="22"/>
                <w:highlight w:val="none"/>
                <w:u w:val="none"/>
                <w:lang w:val="en-US" w:eastAsia="zh-CN" w:bidi="ar"/>
              </w:rPr>
            </w:pPr>
            <w:r>
              <w:rPr>
                <w:rFonts w:hint="default" w:ascii="Times New Roman" w:hAnsi="Times New Roman" w:eastAsia="仿宋_GB2312" w:cs="Times New Roman"/>
                <w:b/>
                <w:i w:val="0"/>
                <w:iCs w:val="0"/>
                <w:color w:val="auto"/>
                <w:kern w:val="0"/>
                <w:sz w:val="22"/>
                <w:szCs w:val="22"/>
                <w:highlight w:val="none"/>
                <w:u w:val="none"/>
                <w:lang w:val="en-US" w:eastAsia="zh-CN" w:bidi="ar"/>
              </w:rPr>
              <w:t>5</w:t>
            </w:r>
            <w:r>
              <w:rPr>
                <w:rFonts w:hint="eastAsia" w:ascii="Times New Roman" w:hAnsi="Times New Roman" w:cs="Times New Roman"/>
                <w:b/>
                <w:i w:val="0"/>
                <w:iCs w:val="0"/>
                <w:color w:val="auto"/>
                <w:kern w:val="0"/>
                <w:sz w:val="22"/>
                <w:szCs w:val="22"/>
                <w:highlight w:val="none"/>
                <w:u w:val="none"/>
                <w:lang w:val="en-US" w:eastAsia="zh-CN" w:bidi="ar"/>
              </w:rPr>
              <w:t>6</w:t>
            </w:r>
            <w:r>
              <w:rPr>
                <w:rFonts w:hint="default" w:ascii="Times New Roman" w:hAnsi="Times New Roman" w:eastAsia="仿宋_GB2312" w:cs="Times New Roman"/>
                <w:b/>
                <w:i w:val="0"/>
                <w:iCs w:val="0"/>
                <w:color w:val="auto"/>
                <w:kern w:val="0"/>
                <w:sz w:val="22"/>
                <w:szCs w:val="22"/>
                <w:highlight w:val="none"/>
                <w:u w:val="none"/>
                <w:lang w:val="en-US" w:eastAsia="zh-CN" w:bidi="ar"/>
              </w:rPr>
              <w:t>6</w:t>
            </w:r>
          </w:p>
        </w:tc>
      </w:tr>
    </w:tbl>
    <w:p w14:paraId="4B791750">
      <w:pPr>
        <w:spacing w:line="600" w:lineRule="exact"/>
        <w:ind w:firstLine="643" w:firstLineChars="200"/>
        <w:rPr>
          <w:rFonts w:hint="default" w:ascii="Times New Roman" w:hAnsi="Times New Roman" w:cs="Times New Roman"/>
          <w:b/>
          <w:bCs/>
          <w:color w:val="auto"/>
          <w:highlight w:val="none"/>
          <w:lang w:val="en-US" w:eastAsia="zh-CN"/>
        </w:rPr>
      </w:pPr>
      <w:r>
        <w:rPr>
          <w:rFonts w:hint="default" w:ascii="Times New Roman" w:hAnsi="Times New Roman" w:cs="Times New Roman"/>
          <w:b/>
          <w:bCs/>
          <w:color w:val="auto"/>
          <w:highlight w:val="none"/>
          <w:lang w:val="en-US" w:eastAsia="zh-CN"/>
        </w:rPr>
        <w:t>2.</w:t>
      </w:r>
      <w:r>
        <w:rPr>
          <w:rFonts w:hint="default" w:ascii="Times New Roman" w:hAnsi="Times New Roman" w:cs="Times New Roman"/>
          <w:b/>
          <w:bCs/>
          <w:color w:val="auto"/>
          <w:highlight w:val="none"/>
          <w:lang w:val="en-US" w:eastAsia="zh-CN"/>
        </w:rPr>
        <w:t>省级</w:t>
      </w:r>
      <w:r>
        <w:rPr>
          <w:rFonts w:hint="default" w:ascii="Times New Roman" w:hAnsi="Times New Roman" w:cs="Times New Roman"/>
          <w:b/>
          <w:bCs/>
          <w:color w:val="auto"/>
          <w:highlight w:val="none"/>
          <w:lang w:val="en-US" w:eastAsia="zh-CN"/>
        </w:rPr>
        <w:t>文物保护专项</w:t>
      </w:r>
    </w:p>
    <w:p w14:paraId="2083552B">
      <w:pPr>
        <w:spacing w:line="579" w:lineRule="exact"/>
        <w:ind w:firstLine="640" w:firstLineChars="200"/>
        <w:jc w:val="left"/>
        <w:rPr>
          <w:rFonts w:hint="default" w:ascii="Times New Roman" w:hAnsi="Times New Roman" w:eastAsia="仿宋_GB2312" w:cs="Times New Roman"/>
          <w:color w:val="auto"/>
          <w:szCs w:val="32"/>
          <w:highlight w:val="none"/>
          <w:lang w:eastAsia="zh-CN"/>
        </w:rPr>
      </w:pPr>
      <w:r>
        <w:rPr>
          <w:rFonts w:hint="default" w:ascii="Times New Roman" w:hAnsi="Times New Roman" w:cs="Times New Roman"/>
          <w:color w:val="auto"/>
          <w:szCs w:val="32"/>
          <w:highlight w:val="none"/>
          <w:lang w:val="en-US" w:eastAsia="zh-CN"/>
        </w:rPr>
        <w:t>2025年度，省级</w:t>
      </w:r>
      <w:r>
        <w:rPr>
          <w:rFonts w:hint="default" w:ascii="Times New Roman" w:hAnsi="Times New Roman" w:eastAsia="仿宋_GB2312" w:cs="Times New Roman"/>
          <w:color w:val="auto"/>
          <w:szCs w:val="32"/>
          <w:highlight w:val="none"/>
          <w:lang w:eastAsia="zh-CN"/>
        </w:rPr>
        <w:t>文物保护</w:t>
      </w:r>
      <w:r>
        <w:rPr>
          <w:rFonts w:hint="default" w:ascii="Times New Roman" w:hAnsi="Times New Roman" w:cs="Times New Roman"/>
          <w:color w:val="auto"/>
          <w:szCs w:val="32"/>
          <w:highlight w:val="none"/>
          <w:lang w:val="en-US" w:eastAsia="zh-CN"/>
        </w:rPr>
        <w:t>专项资金</w:t>
      </w:r>
      <w:r>
        <w:rPr>
          <w:rFonts w:hint="default" w:ascii="Times New Roman" w:hAnsi="Times New Roman" w:eastAsia="仿宋_GB2312" w:cs="Times New Roman"/>
          <w:color w:val="auto"/>
          <w:szCs w:val="32"/>
          <w:highlight w:val="none"/>
          <w:lang w:eastAsia="zh-CN"/>
        </w:rPr>
        <w:t>合计10,750万元，涉及项目134个，主要投向近现代文物（含革命文物）保护、古迹遗址保护、文物安防消防设施改造、可移动文物保护及考古调查等领域，其中以近现代文物和古迹遗址保护为重点投入方向</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r>
        <w:rPr>
          <w:rFonts w:hint="default" w:ascii="Times New Roman" w:hAnsi="Times New Roman" w:eastAsia="仿宋_GB2312" w:cs="Times New Roman"/>
          <w:color w:val="auto"/>
          <w:szCs w:val="32"/>
          <w:highlight w:val="none"/>
          <w:lang w:eastAsia="zh-CN"/>
        </w:rPr>
        <w:t>。</w:t>
      </w:r>
    </w:p>
    <w:tbl>
      <w:tblPr>
        <w:tblStyle w:val="24"/>
        <w:tblW w:w="8944" w:type="dxa"/>
        <w:jc w:val="center"/>
        <w:tblLayout w:type="autofit"/>
        <w:tblCellMar>
          <w:top w:w="0" w:type="dxa"/>
          <w:left w:w="108" w:type="dxa"/>
          <w:bottom w:w="0" w:type="dxa"/>
          <w:right w:w="108" w:type="dxa"/>
        </w:tblCellMar>
      </w:tblPr>
      <w:tblGrid>
        <w:gridCol w:w="5681"/>
        <w:gridCol w:w="1991"/>
        <w:gridCol w:w="1272"/>
      </w:tblGrid>
      <w:tr w14:paraId="566D22BC">
        <w:tblPrEx>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shd w:val="clear" w:color="000000" w:fill="FFFFFF"/>
            <w:noWrap/>
            <w:vAlign w:val="center"/>
          </w:tcPr>
          <w:p w14:paraId="5CAA3F6F">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eastAsia="仿宋_GB2312" w:cs="Times New Roman"/>
                <w:b/>
                <w:color w:val="auto"/>
                <w:kern w:val="0"/>
                <w:sz w:val="22"/>
                <w:szCs w:val="21"/>
                <w:highlight w:val="none"/>
                <w:lang w:val="en-US" w:eastAsia="zh-CN"/>
              </w:rPr>
              <w:t>项目内容</w:t>
            </w:r>
          </w:p>
        </w:tc>
        <w:tc>
          <w:tcPr>
            <w:tcW w:w="0" w:type="auto"/>
            <w:tcBorders>
              <w:top w:val="single" w:color="auto" w:sz="4" w:space="0"/>
              <w:left w:val="nil"/>
              <w:bottom w:val="single" w:color="auto" w:sz="4" w:space="0"/>
              <w:right w:val="single" w:color="auto" w:sz="4" w:space="0"/>
            </w:tcBorders>
            <w:shd w:val="clear" w:color="auto" w:fill="auto"/>
            <w:noWrap/>
            <w:vAlign w:val="center"/>
          </w:tcPr>
          <w:p w14:paraId="58C358CA">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eastAsia="仿宋_GB2312" w:cs="Times New Roman"/>
                <w:b/>
                <w:i w:val="0"/>
                <w:iCs w:val="0"/>
                <w:color w:val="auto"/>
                <w:kern w:val="0"/>
                <w:sz w:val="22"/>
                <w:szCs w:val="22"/>
                <w:highlight w:val="none"/>
                <w:u w:val="none"/>
                <w:lang w:val="en-US" w:eastAsia="zh-CN" w:bidi="ar"/>
              </w:rPr>
              <w:t>金额（万元）</w:t>
            </w:r>
          </w:p>
        </w:tc>
        <w:tc>
          <w:tcPr>
            <w:tcW w:w="1272" w:type="dxa"/>
            <w:tcBorders>
              <w:top w:val="single" w:color="auto" w:sz="4" w:space="0"/>
              <w:left w:val="nil"/>
              <w:bottom w:val="single" w:color="auto" w:sz="4" w:space="0"/>
              <w:right w:val="single" w:color="auto" w:sz="4" w:space="0"/>
            </w:tcBorders>
            <w:shd w:val="clear" w:color="auto" w:fill="auto"/>
            <w:noWrap/>
            <w:vAlign w:val="center"/>
          </w:tcPr>
          <w:p w14:paraId="65162EDA">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eastAsia="仿宋_GB2312" w:cs="Times New Roman"/>
                <w:b/>
                <w:i w:val="0"/>
                <w:iCs w:val="0"/>
                <w:color w:val="auto"/>
                <w:kern w:val="0"/>
                <w:sz w:val="22"/>
                <w:szCs w:val="22"/>
                <w:highlight w:val="none"/>
                <w:u w:val="none"/>
                <w:lang w:val="en-US" w:eastAsia="zh-CN" w:bidi="ar"/>
              </w:rPr>
              <w:t>数量</w:t>
            </w:r>
          </w:p>
        </w:tc>
      </w:tr>
      <w:tr w14:paraId="2CF07255">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vAlign w:val="bottom"/>
          </w:tcPr>
          <w:p w14:paraId="0638C374">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古迹遗址类文物保护</w:t>
            </w:r>
          </w:p>
        </w:tc>
        <w:tc>
          <w:tcPr>
            <w:tcW w:w="1991" w:type="dxa"/>
            <w:tcBorders>
              <w:top w:val="nil"/>
              <w:left w:val="nil"/>
              <w:bottom w:val="single" w:color="auto" w:sz="4" w:space="0"/>
              <w:right w:val="single" w:color="auto" w:sz="4" w:space="0"/>
            </w:tcBorders>
            <w:shd w:val="clear" w:color="auto" w:fill="auto"/>
            <w:noWrap/>
            <w:vAlign w:val="bottom"/>
          </w:tcPr>
          <w:p w14:paraId="7B774E6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4204</w:t>
            </w:r>
          </w:p>
        </w:tc>
        <w:tc>
          <w:tcPr>
            <w:tcW w:w="1272" w:type="dxa"/>
            <w:tcBorders>
              <w:top w:val="nil"/>
              <w:left w:val="nil"/>
              <w:bottom w:val="single" w:color="auto" w:sz="4" w:space="0"/>
              <w:right w:val="single" w:color="auto" w:sz="4" w:space="0"/>
            </w:tcBorders>
            <w:shd w:val="clear" w:color="auto" w:fill="auto"/>
            <w:noWrap/>
            <w:vAlign w:val="bottom"/>
          </w:tcPr>
          <w:p w14:paraId="134750C8">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39</w:t>
            </w:r>
          </w:p>
        </w:tc>
      </w:tr>
      <w:tr w14:paraId="40B5E956">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vAlign w:val="bottom"/>
          </w:tcPr>
          <w:p w14:paraId="612AFD3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近现代文物类（重点含革命文物）保护</w:t>
            </w:r>
          </w:p>
        </w:tc>
        <w:tc>
          <w:tcPr>
            <w:tcW w:w="1991" w:type="dxa"/>
            <w:tcBorders>
              <w:top w:val="nil"/>
              <w:left w:val="nil"/>
              <w:bottom w:val="single" w:color="auto" w:sz="4" w:space="0"/>
              <w:right w:val="single" w:color="auto" w:sz="4" w:space="0"/>
            </w:tcBorders>
            <w:shd w:val="clear" w:color="auto" w:fill="auto"/>
            <w:noWrap/>
            <w:vAlign w:val="bottom"/>
          </w:tcPr>
          <w:p w14:paraId="06170B40">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4440</w:t>
            </w:r>
          </w:p>
        </w:tc>
        <w:tc>
          <w:tcPr>
            <w:tcW w:w="1272" w:type="dxa"/>
            <w:tcBorders>
              <w:top w:val="nil"/>
              <w:left w:val="nil"/>
              <w:bottom w:val="single" w:color="auto" w:sz="4" w:space="0"/>
              <w:right w:val="single" w:color="auto" w:sz="4" w:space="0"/>
            </w:tcBorders>
            <w:shd w:val="clear" w:color="auto" w:fill="auto"/>
            <w:noWrap/>
            <w:vAlign w:val="bottom"/>
          </w:tcPr>
          <w:p w14:paraId="52D9739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51</w:t>
            </w:r>
          </w:p>
        </w:tc>
      </w:tr>
      <w:tr w14:paraId="6C607FC2">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vAlign w:val="bottom"/>
          </w:tcPr>
          <w:p w14:paraId="08A3D3D7">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文物安防、消防、防雷设施建设及提质提升改造</w:t>
            </w:r>
          </w:p>
        </w:tc>
        <w:tc>
          <w:tcPr>
            <w:tcW w:w="1991" w:type="dxa"/>
            <w:tcBorders>
              <w:top w:val="nil"/>
              <w:left w:val="nil"/>
              <w:bottom w:val="single" w:color="auto" w:sz="4" w:space="0"/>
              <w:right w:val="single" w:color="auto" w:sz="4" w:space="0"/>
            </w:tcBorders>
            <w:shd w:val="clear" w:color="auto" w:fill="auto"/>
            <w:noWrap/>
            <w:vAlign w:val="bottom"/>
          </w:tcPr>
          <w:p w14:paraId="6C22A8D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1079</w:t>
            </w:r>
          </w:p>
        </w:tc>
        <w:tc>
          <w:tcPr>
            <w:tcW w:w="1272" w:type="dxa"/>
            <w:tcBorders>
              <w:top w:val="nil"/>
              <w:left w:val="nil"/>
              <w:bottom w:val="single" w:color="auto" w:sz="4" w:space="0"/>
              <w:right w:val="single" w:color="auto" w:sz="4" w:space="0"/>
            </w:tcBorders>
            <w:shd w:val="clear" w:color="auto" w:fill="auto"/>
            <w:noWrap/>
            <w:vAlign w:val="bottom"/>
          </w:tcPr>
          <w:p w14:paraId="2374B58F">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25</w:t>
            </w:r>
          </w:p>
        </w:tc>
      </w:tr>
      <w:tr w14:paraId="03446108">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vAlign w:val="bottom"/>
          </w:tcPr>
          <w:p w14:paraId="66BFDF8E">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考古调查、勘探、发掘</w:t>
            </w:r>
          </w:p>
        </w:tc>
        <w:tc>
          <w:tcPr>
            <w:tcW w:w="1991" w:type="dxa"/>
            <w:tcBorders>
              <w:top w:val="nil"/>
              <w:left w:val="nil"/>
              <w:bottom w:val="single" w:color="auto" w:sz="4" w:space="0"/>
              <w:right w:val="single" w:color="auto" w:sz="4" w:space="0"/>
            </w:tcBorders>
            <w:shd w:val="clear" w:color="auto" w:fill="auto"/>
            <w:noWrap/>
            <w:vAlign w:val="bottom"/>
          </w:tcPr>
          <w:p w14:paraId="24E366A1">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407</w:t>
            </w:r>
          </w:p>
        </w:tc>
        <w:tc>
          <w:tcPr>
            <w:tcW w:w="1272" w:type="dxa"/>
            <w:tcBorders>
              <w:top w:val="nil"/>
              <w:left w:val="nil"/>
              <w:bottom w:val="single" w:color="auto" w:sz="4" w:space="0"/>
              <w:right w:val="single" w:color="auto" w:sz="4" w:space="0"/>
            </w:tcBorders>
            <w:shd w:val="clear" w:color="auto" w:fill="auto"/>
            <w:noWrap/>
            <w:vAlign w:val="bottom"/>
          </w:tcPr>
          <w:p w14:paraId="6B6593DD">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5</w:t>
            </w:r>
          </w:p>
        </w:tc>
      </w:tr>
      <w:tr w14:paraId="6C88B679">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vAlign w:val="bottom"/>
          </w:tcPr>
          <w:p w14:paraId="110F3203">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可移动文物保护</w:t>
            </w:r>
          </w:p>
        </w:tc>
        <w:tc>
          <w:tcPr>
            <w:tcW w:w="1991" w:type="dxa"/>
            <w:tcBorders>
              <w:top w:val="nil"/>
              <w:left w:val="nil"/>
              <w:bottom w:val="single" w:color="auto" w:sz="4" w:space="0"/>
              <w:right w:val="single" w:color="auto" w:sz="4" w:space="0"/>
            </w:tcBorders>
            <w:shd w:val="clear" w:color="auto" w:fill="auto"/>
            <w:noWrap/>
            <w:vAlign w:val="bottom"/>
          </w:tcPr>
          <w:p w14:paraId="2BD670E0">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620</w:t>
            </w:r>
          </w:p>
        </w:tc>
        <w:tc>
          <w:tcPr>
            <w:tcW w:w="1272" w:type="dxa"/>
            <w:tcBorders>
              <w:top w:val="nil"/>
              <w:left w:val="nil"/>
              <w:bottom w:val="single" w:color="auto" w:sz="4" w:space="0"/>
              <w:right w:val="single" w:color="auto" w:sz="4" w:space="0"/>
            </w:tcBorders>
            <w:shd w:val="clear" w:color="auto" w:fill="auto"/>
            <w:noWrap/>
            <w:vAlign w:val="bottom"/>
          </w:tcPr>
          <w:p w14:paraId="35C284C9">
            <w:pPr>
              <w:keepNext w:val="0"/>
              <w:keepLines w:val="0"/>
              <w:pageBreakBefore w:val="0"/>
              <w:widowControl w:val="0"/>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i w:val="0"/>
                <w:iCs w:val="0"/>
                <w:color w:val="auto"/>
                <w:kern w:val="0"/>
                <w:sz w:val="22"/>
                <w:szCs w:val="22"/>
                <w:highlight w:val="none"/>
                <w:u w:val="none"/>
                <w:lang w:val="en-US" w:eastAsia="zh-CN" w:bidi="ar"/>
              </w:rPr>
            </w:pPr>
            <w:r>
              <w:rPr>
                <w:rFonts w:hint="default" w:ascii="Times New Roman" w:hAnsi="Times New Roman" w:eastAsia="仿宋_GB2312" w:cs="Times New Roman"/>
                <w:i w:val="0"/>
                <w:iCs w:val="0"/>
                <w:color w:val="auto"/>
                <w:kern w:val="0"/>
                <w:sz w:val="22"/>
                <w:szCs w:val="22"/>
                <w:highlight w:val="none"/>
                <w:u w:val="none"/>
                <w:lang w:val="en-US" w:eastAsia="zh-CN" w:bidi="ar"/>
              </w:rPr>
              <w:t>14</w:t>
            </w:r>
          </w:p>
        </w:tc>
      </w:tr>
      <w:tr w14:paraId="5159ED92">
        <w:tblPrEx>
          <w:tblCellMar>
            <w:top w:w="0" w:type="dxa"/>
            <w:left w:w="108" w:type="dxa"/>
            <w:bottom w:w="0" w:type="dxa"/>
            <w:right w:w="108" w:type="dxa"/>
          </w:tblCellMar>
        </w:tblPrEx>
        <w:trPr>
          <w:trHeight w:val="0" w:hRule="atLeast"/>
          <w:jc w:val="center"/>
        </w:trPr>
        <w:tc>
          <w:tcPr>
            <w:tcW w:w="5681" w:type="dxa"/>
            <w:tcBorders>
              <w:top w:val="nil"/>
              <w:left w:val="single" w:color="auto" w:sz="4" w:space="0"/>
              <w:bottom w:val="single" w:color="auto" w:sz="4" w:space="0"/>
              <w:right w:val="single" w:color="auto" w:sz="4" w:space="0"/>
            </w:tcBorders>
            <w:shd w:val="clear" w:color="000000" w:fill="FFFFFF"/>
            <w:noWrap/>
            <w:vAlign w:val="center"/>
          </w:tcPr>
          <w:p w14:paraId="55B8DBC9">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eastAsia="仿宋_GB2312" w:cs="Times New Roman"/>
                <w:b/>
                <w:color w:val="auto"/>
                <w:kern w:val="0"/>
                <w:sz w:val="22"/>
                <w:szCs w:val="21"/>
                <w:highlight w:val="none"/>
                <w:lang w:val="en-US" w:eastAsia="zh-CN"/>
              </w:rPr>
              <w:t>合计</w:t>
            </w:r>
          </w:p>
        </w:tc>
        <w:tc>
          <w:tcPr>
            <w:tcW w:w="1991" w:type="dxa"/>
            <w:tcBorders>
              <w:top w:val="nil"/>
              <w:left w:val="nil"/>
              <w:bottom w:val="single" w:color="auto" w:sz="4" w:space="0"/>
              <w:right w:val="single" w:color="auto" w:sz="4" w:space="0"/>
            </w:tcBorders>
            <w:shd w:val="clear" w:color="auto" w:fill="auto"/>
            <w:noWrap/>
            <w:vAlign w:val="center"/>
          </w:tcPr>
          <w:p w14:paraId="447469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cs="Times New Roman"/>
                <w:b/>
                <w:color w:val="auto"/>
                <w:kern w:val="0"/>
                <w:sz w:val="22"/>
                <w:szCs w:val="21"/>
                <w:highlight w:val="none"/>
                <w:lang w:val="en-US" w:eastAsia="zh-CN"/>
              </w:rPr>
              <w:t>10750</w:t>
            </w:r>
          </w:p>
        </w:tc>
        <w:tc>
          <w:tcPr>
            <w:tcW w:w="1272" w:type="dxa"/>
            <w:tcBorders>
              <w:top w:val="nil"/>
              <w:left w:val="nil"/>
              <w:bottom w:val="single" w:color="auto" w:sz="4" w:space="0"/>
              <w:right w:val="single" w:color="auto" w:sz="4" w:space="0"/>
            </w:tcBorders>
            <w:shd w:val="clear" w:color="auto" w:fill="auto"/>
            <w:noWrap/>
            <w:vAlign w:val="center"/>
          </w:tcPr>
          <w:p w14:paraId="7368E90F">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color w:val="auto"/>
                <w:kern w:val="0"/>
                <w:sz w:val="22"/>
                <w:szCs w:val="21"/>
                <w:highlight w:val="none"/>
                <w:lang w:val="en-US" w:eastAsia="zh-CN"/>
              </w:rPr>
            </w:pPr>
            <w:r>
              <w:rPr>
                <w:rFonts w:hint="default" w:ascii="Times New Roman" w:hAnsi="Times New Roman" w:cs="Times New Roman"/>
                <w:b/>
                <w:color w:val="auto"/>
                <w:kern w:val="0"/>
                <w:sz w:val="22"/>
                <w:szCs w:val="21"/>
                <w:highlight w:val="none"/>
                <w:lang w:val="en-US" w:eastAsia="zh-CN"/>
              </w:rPr>
              <w:t>134</w:t>
            </w:r>
          </w:p>
        </w:tc>
      </w:tr>
    </w:tbl>
    <w:p w14:paraId="5B3C85E6">
      <w:pPr>
        <w:pStyle w:val="4"/>
        <w:bidi w:val="0"/>
        <w:rPr>
          <w:rFonts w:hint="default" w:ascii="Times New Roman" w:hAnsi="Times New Roman" w:cs="Times New Roman"/>
          <w:color w:val="auto"/>
          <w:highlight w:val="none"/>
          <w:lang w:val="en-US" w:eastAsia="zh-CN"/>
        </w:rPr>
      </w:pPr>
      <w:bookmarkStart w:id="30" w:name="_Toc4644"/>
      <w:r>
        <w:rPr>
          <w:rFonts w:hint="default" w:ascii="Times New Roman" w:hAnsi="Times New Roman" w:cs="Times New Roman"/>
          <w:color w:val="auto"/>
          <w:highlight w:val="none"/>
          <w:lang w:val="en-US" w:eastAsia="zh-CN"/>
        </w:rPr>
        <w:t>（四）厅系统项目资金预算执行情况</w:t>
      </w:r>
      <w:bookmarkEnd w:id="30"/>
    </w:p>
    <w:p w14:paraId="122D5238">
      <w:pPr>
        <w:widowControl/>
        <w:spacing w:line="560" w:lineRule="exact"/>
        <w:ind w:firstLine="640"/>
        <w:rPr>
          <w:rFonts w:hint="default" w:ascii="Times New Roman" w:hAnsi="Times New Roman" w:eastAsia="仿宋_GB2312" w:cs="Times New Roman"/>
          <w:color w:val="auto"/>
          <w:sz w:val="32"/>
          <w:szCs w:val="32"/>
          <w:highlight w:val="none"/>
        </w:rPr>
      </w:pPr>
      <w:r>
        <w:rPr>
          <w:rFonts w:hint="default" w:ascii="Times New Roman" w:hAnsi="Times New Roman" w:cs="Times New Roman"/>
          <w:color w:val="auto"/>
          <w:highlight w:val="none"/>
          <w:lang w:val="en-US" w:eastAsia="zh-CN"/>
        </w:rPr>
        <w:t>2025</w:t>
      </w:r>
      <w:r>
        <w:rPr>
          <w:rFonts w:hint="default" w:ascii="Times New Roman" w:hAnsi="Times New Roman" w:eastAsia="仿宋_GB2312" w:cs="Times New Roman"/>
          <w:color w:val="auto"/>
          <w:sz w:val="32"/>
          <w:szCs w:val="32"/>
          <w:highlight w:val="none"/>
        </w:rPr>
        <w:t>年</w:t>
      </w:r>
      <w:r>
        <w:rPr>
          <w:rFonts w:hint="default" w:ascii="Times New Roman" w:hAnsi="Times New Roman" w:cs="Times New Roman"/>
          <w:color w:val="auto"/>
          <w:sz w:val="32"/>
          <w:szCs w:val="32"/>
          <w:highlight w:val="none"/>
          <w:lang w:val="en-US" w:eastAsia="zh-CN"/>
        </w:rPr>
        <w:t>度我厅部门整体项目支出全年预算数114,051.51万元，其中当年拨款83,618.88万元，上年结转30,432.63万元，</w:t>
      </w:r>
      <w:r>
        <w:rPr>
          <w:rFonts w:hint="default" w:ascii="Times New Roman" w:hAnsi="Times New Roman" w:eastAsia="仿宋_GB2312" w:cs="Times New Roman"/>
          <w:color w:val="auto"/>
          <w:sz w:val="32"/>
          <w:szCs w:val="32"/>
          <w:highlight w:val="none"/>
        </w:rPr>
        <w:t>决算支出87,972.60万元</w:t>
      </w:r>
      <w:r>
        <w:rPr>
          <w:rFonts w:hint="default" w:ascii="Times New Roman" w:hAnsi="Times New Roman" w:cs="Times New Roman"/>
          <w:color w:val="auto"/>
          <w:sz w:val="32"/>
          <w:szCs w:val="32"/>
          <w:highlight w:val="none"/>
          <w:lang w:eastAsia="zh-CN"/>
        </w:rPr>
        <w:t>，</w:t>
      </w:r>
      <w:r>
        <w:rPr>
          <w:rFonts w:hint="default" w:ascii="Times New Roman" w:hAnsi="Times New Roman" w:cs="Times New Roman"/>
          <w:color w:val="auto"/>
          <w:sz w:val="32"/>
          <w:szCs w:val="32"/>
          <w:highlight w:val="none"/>
          <w:lang w:val="en-US" w:eastAsia="zh-CN"/>
        </w:rPr>
        <w:t>预算执行率为77.13</w:t>
      </w:r>
      <w:r>
        <w:rPr>
          <w:rFonts w:hint="default" w:ascii="Times New Roman" w:hAnsi="Times New Roman" w:cs="Times New Roman"/>
          <w:color w:val="auto"/>
          <w:highlight w:val="none"/>
          <w:lang w:val="en-US" w:eastAsia="zh-CN"/>
        </w:rPr>
        <w:t>%</w:t>
      </w:r>
      <w:r>
        <w:rPr>
          <w:rFonts w:hint="default" w:ascii="Times New Roman" w:hAnsi="Times New Roman" w:eastAsia="仿宋_GB2312" w:cs="Times New Roman"/>
          <w:color w:val="auto"/>
          <w:sz w:val="32"/>
          <w:szCs w:val="32"/>
          <w:highlight w:val="none"/>
        </w:rPr>
        <w:t>。</w:t>
      </w:r>
    </w:p>
    <w:p w14:paraId="382925A3">
      <w:pPr>
        <w:pStyle w:val="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1.业务工作经费支出情况</w:t>
      </w:r>
    </w:p>
    <w:p w14:paraId="4AE93A5B">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w:t>
      </w:r>
      <w:r>
        <w:rPr>
          <w:rFonts w:hint="default" w:ascii="Times New Roman" w:hAnsi="Times New Roman" w:cs="Times New Roman"/>
          <w:color w:val="auto"/>
          <w:highlight w:val="none"/>
          <w:lang w:val="en-US" w:eastAsia="zh-CN"/>
        </w:rPr>
        <w:t>厅系统</w:t>
      </w:r>
      <w:r>
        <w:rPr>
          <w:rFonts w:hint="default" w:ascii="Times New Roman" w:hAnsi="Times New Roman" w:cs="Times New Roman"/>
          <w:color w:val="auto"/>
          <w:highlight w:val="none"/>
          <w:lang w:val="en-US" w:eastAsia="zh-CN"/>
        </w:rPr>
        <w:t>业务工作专项支出经费全年预算数10,196.98万元，其中当年拨款6,547.40万元，上年结转3,649.58万元，实际支出7,515.32万元，预算执行率73.70%</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highlight w:val="none"/>
          <w:lang w:val="en-US" w:eastAsia="zh-CN"/>
        </w:rPr>
        <w:t>。</w:t>
      </w:r>
    </w:p>
    <w:p w14:paraId="1E134C5D">
      <w:pPr>
        <w:pStyle w:val="59"/>
        <w:jc w:val="right"/>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单位：万元</w:t>
      </w:r>
    </w:p>
    <w:tbl>
      <w:tblPr>
        <w:tblStyle w:val="24"/>
        <w:tblW w:w="89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16"/>
        <w:gridCol w:w="4029"/>
        <w:gridCol w:w="1401"/>
        <w:gridCol w:w="1401"/>
        <w:gridCol w:w="1401"/>
      </w:tblGrid>
      <w:tr w14:paraId="15FB2D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4910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sz w:val="22"/>
                <w:szCs w:val="22"/>
                <w:highlight w:val="none"/>
                <w:u w:val="none"/>
                <w:lang w:val="en-US" w:eastAsia="zh-CN"/>
              </w:rPr>
            </w:pPr>
            <w:r>
              <w:rPr>
                <w:rFonts w:hint="default" w:ascii="Times New Roman" w:hAnsi="Times New Roman" w:eastAsia="仿宋" w:cs="Times New Roman"/>
                <w:b/>
                <w:bCs/>
                <w:i w:val="0"/>
                <w:iCs w:val="0"/>
                <w:color w:val="auto"/>
                <w:sz w:val="22"/>
                <w:szCs w:val="22"/>
                <w:highlight w:val="none"/>
                <w:u w:val="none"/>
                <w:lang w:val="en-US" w:eastAsia="zh-CN"/>
              </w:rPr>
              <w:t>序号</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B08F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sz w:val="22"/>
                <w:szCs w:val="22"/>
                <w:highlight w:val="none"/>
                <w:u w:val="none"/>
              </w:rPr>
            </w:pPr>
            <w:r>
              <w:rPr>
                <w:rFonts w:hint="default" w:ascii="Times New Roman" w:hAnsi="Times New Roman" w:eastAsia="仿宋" w:cs="Times New Roman"/>
                <w:b/>
                <w:bCs/>
                <w:i w:val="0"/>
                <w:iCs w:val="0"/>
                <w:color w:val="auto"/>
                <w:kern w:val="0"/>
                <w:sz w:val="22"/>
                <w:szCs w:val="22"/>
                <w:highlight w:val="none"/>
                <w:u w:val="none"/>
                <w:lang w:val="en-US" w:eastAsia="zh-CN" w:bidi="ar"/>
              </w:rPr>
              <w:t>单位名称</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BC396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2"/>
                <w:sz w:val="22"/>
                <w:szCs w:val="22"/>
                <w:highlight w:val="none"/>
                <w:u w:val="none"/>
                <w:lang w:val="en-US" w:eastAsia="zh-CN" w:bidi="ar-SA"/>
              </w:rPr>
            </w:pPr>
            <w:r>
              <w:rPr>
                <w:rFonts w:hint="default" w:ascii="Times New Roman" w:hAnsi="Times New Roman" w:eastAsia="仿宋" w:cs="Times New Roman"/>
                <w:b/>
                <w:bCs/>
                <w:i w:val="0"/>
                <w:iCs w:val="0"/>
                <w:color w:val="auto"/>
                <w:kern w:val="0"/>
                <w:sz w:val="22"/>
                <w:szCs w:val="22"/>
                <w:highlight w:val="none"/>
                <w:u w:val="none"/>
                <w:lang w:val="en-US" w:eastAsia="zh-CN" w:bidi="ar"/>
              </w:rPr>
              <w:t>全年预算数</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F0DA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2"/>
                <w:sz w:val="22"/>
                <w:szCs w:val="22"/>
                <w:highlight w:val="none"/>
                <w:u w:val="none"/>
                <w:lang w:val="en-US" w:eastAsia="zh-CN" w:bidi="ar-SA"/>
              </w:rPr>
            </w:pPr>
            <w:r>
              <w:rPr>
                <w:rFonts w:hint="default" w:ascii="Times New Roman" w:hAnsi="Times New Roman" w:eastAsia="仿宋" w:cs="Times New Roman"/>
                <w:b/>
                <w:bCs/>
                <w:i w:val="0"/>
                <w:iCs w:val="0"/>
                <w:color w:val="auto"/>
                <w:kern w:val="0"/>
                <w:sz w:val="22"/>
                <w:szCs w:val="22"/>
                <w:highlight w:val="none"/>
                <w:u w:val="none"/>
                <w:lang w:val="en-US" w:eastAsia="zh-CN" w:bidi="ar"/>
              </w:rPr>
              <w:t>全年执行数</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448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0"/>
                <w:sz w:val="22"/>
                <w:szCs w:val="22"/>
                <w:highlight w:val="none"/>
                <w:u w:val="none"/>
                <w:lang w:val="en-US" w:eastAsia="zh-CN" w:bidi="ar"/>
              </w:rPr>
            </w:pPr>
            <w:r>
              <w:rPr>
                <w:rFonts w:hint="default" w:ascii="Times New Roman" w:hAnsi="Times New Roman" w:eastAsia="仿宋" w:cs="Times New Roman"/>
                <w:b/>
                <w:bCs/>
                <w:i w:val="0"/>
                <w:iCs w:val="0"/>
                <w:color w:val="auto"/>
                <w:kern w:val="0"/>
                <w:sz w:val="22"/>
                <w:szCs w:val="22"/>
                <w:highlight w:val="none"/>
                <w:u w:val="none"/>
                <w:lang w:val="en-US" w:eastAsia="zh-CN" w:bidi="ar"/>
              </w:rPr>
              <w:t>预算执行率</w:t>
            </w:r>
          </w:p>
        </w:tc>
      </w:tr>
      <w:tr w14:paraId="02058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F18C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6CB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湖南省文化和旅游厅本级行政</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5CE83">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396.19</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FE0637">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196.18</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04150">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49.52%</w:t>
            </w:r>
          </w:p>
        </w:tc>
      </w:tr>
      <w:tr w14:paraId="6482C6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F74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2</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C9D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湖南省文物局</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DDEA5">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79.50</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A44C4">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46.65</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3AFCF">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58.68%</w:t>
            </w:r>
          </w:p>
        </w:tc>
      </w:tr>
      <w:tr w14:paraId="0DE683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4D78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3</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D2E55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湖南图书馆</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8F17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733.95</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53B79">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728.92</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07164">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99.31%</w:t>
            </w:r>
          </w:p>
        </w:tc>
      </w:tr>
      <w:tr w14:paraId="2CC0F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810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4</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F2A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湖南省文化馆（湖南省非物质文化遗产保护中心）</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E49CB0">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478.08</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372C0">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425.66</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2FB24">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89.04%</w:t>
            </w:r>
          </w:p>
        </w:tc>
      </w:tr>
      <w:tr w14:paraId="21E3B0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BD4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5</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E473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湖南省少年儿童图书馆</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49A1E">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280.68</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6F32">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254.13</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62BBBA">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90.54%</w:t>
            </w:r>
          </w:p>
        </w:tc>
      </w:tr>
      <w:tr w14:paraId="5DE2B86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314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6</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AEE1C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湖南省艺术研究院</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79FF8">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189.00</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459E45">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185.86</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A7BF2">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98.34%</w:t>
            </w:r>
          </w:p>
        </w:tc>
      </w:tr>
      <w:tr w14:paraId="76676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DBE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7</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D967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湖南博物院（湖南省文物鉴定中心）</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6697">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613.60</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AA882">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405.97</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F7127">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66.16%</w:t>
            </w:r>
          </w:p>
        </w:tc>
      </w:tr>
      <w:tr w14:paraId="78A02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C9F1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8</w:t>
            </w:r>
          </w:p>
        </w:tc>
        <w:tc>
          <w:tcPr>
            <w:tcW w:w="40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9A8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湖南省文物考古研究院</w:t>
            </w:r>
            <w:r>
              <w:rPr>
                <w:rFonts w:hint="default" w:ascii="Times New Roman" w:hAnsi="Times New Roman" w:cs="Times New Roman"/>
                <w:b w:val="0"/>
                <w:bCs w:val="0"/>
                <w:i w:val="0"/>
                <w:iCs w:val="0"/>
                <w:color w:val="auto"/>
                <w:kern w:val="0"/>
                <w:sz w:val="22"/>
                <w:szCs w:val="22"/>
                <w:highlight w:val="none"/>
                <w:u w:val="none"/>
                <w:lang w:val="en-US" w:eastAsia="zh-CN" w:bidi="ar"/>
              </w:rPr>
              <w:t>（</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湖南省文物保护利用中心</w:t>
            </w:r>
            <w:r>
              <w:rPr>
                <w:rFonts w:hint="default" w:ascii="Times New Roman" w:hAnsi="Times New Roman" w:cs="Times New Roman"/>
                <w:b w:val="0"/>
                <w:bCs w:val="0"/>
                <w:i w:val="0"/>
                <w:iCs w:val="0"/>
                <w:color w:val="auto"/>
                <w:kern w:val="0"/>
                <w:sz w:val="22"/>
                <w:szCs w:val="22"/>
                <w:highlight w:val="none"/>
                <w:u w:val="none"/>
                <w:lang w:val="en-US" w:eastAsia="zh-CN" w:bidi="ar"/>
              </w:rPr>
              <w:t>）</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D11C4">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7,425.99</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6227">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5,271.96</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52E0C">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color w:val="auto"/>
                <w:kern w:val="0"/>
                <w:sz w:val="22"/>
                <w:szCs w:val="22"/>
                <w:highlight w:val="none"/>
                <w:lang w:val="en-US" w:eastAsia="zh-CN"/>
              </w:rPr>
            </w:pPr>
            <w:r>
              <w:rPr>
                <w:rFonts w:hint="default" w:ascii="Times New Roman" w:hAnsi="Times New Roman" w:eastAsia="仿宋_GB2312" w:cs="Times New Roman"/>
                <w:color w:val="auto"/>
                <w:kern w:val="0"/>
                <w:sz w:val="22"/>
                <w:szCs w:val="22"/>
                <w:highlight w:val="none"/>
                <w:lang w:val="en-US" w:eastAsia="zh-CN"/>
              </w:rPr>
              <w:t>70.99%</w:t>
            </w:r>
          </w:p>
        </w:tc>
      </w:tr>
      <w:tr w14:paraId="5B44C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4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63291">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合计</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3923A">
            <w:pPr>
              <w:keepNext w:val="0"/>
              <w:keepLines w:val="0"/>
              <w:widowControl/>
              <w:suppressLineNumbers w:val="0"/>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color w:val="auto"/>
                <w:kern w:val="0"/>
                <w:sz w:val="22"/>
                <w:szCs w:val="22"/>
                <w:highlight w:val="none"/>
                <w:lang w:val="en-US" w:eastAsia="zh-CN"/>
              </w:rPr>
            </w:pPr>
            <w:r>
              <w:rPr>
                <w:rFonts w:hint="default" w:ascii="Times New Roman" w:hAnsi="Times New Roman" w:eastAsia="仿宋_GB2312" w:cs="Times New Roman"/>
                <w:b/>
                <w:color w:val="auto"/>
                <w:kern w:val="0"/>
                <w:sz w:val="22"/>
                <w:szCs w:val="22"/>
                <w:highlight w:val="none"/>
                <w:lang w:val="en-US" w:eastAsia="zh-CN"/>
              </w:rPr>
              <w:t>10,196.98</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C5F86">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color w:val="auto"/>
                <w:kern w:val="0"/>
                <w:sz w:val="22"/>
                <w:szCs w:val="22"/>
                <w:highlight w:val="none"/>
                <w:lang w:val="en-US" w:eastAsia="zh-CN"/>
              </w:rPr>
            </w:pPr>
            <w:r>
              <w:rPr>
                <w:rFonts w:hint="default" w:ascii="Times New Roman" w:hAnsi="Times New Roman" w:eastAsia="仿宋_GB2312" w:cs="Times New Roman"/>
                <w:b/>
                <w:color w:val="auto"/>
                <w:kern w:val="0"/>
                <w:sz w:val="22"/>
                <w:szCs w:val="22"/>
                <w:highlight w:val="none"/>
                <w:lang w:val="en-US" w:eastAsia="zh-CN"/>
              </w:rPr>
              <w:t>7,515.32</w:t>
            </w:r>
          </w:p>
        </w:tc>
        <w:tc>
          <w:tcPr>
            <w:tcW w:w="14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013B9">
            <w:pPr>
              <w:keepNext w:val="0"/>
              <w:keepLines w:val="0"/>
              <w:widowControl/>
              <w:suppressLineNumbers w:val="0"/>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color w:val="auto"/>
                <w:kern w:val="0"/>
                <w:sz w:val="22"/>
                <w:szCs w:val="22"/>
                <w:highlight w:val="none"/>
                <w:lang w:val="en-US" w:eastAsia="zh-CN"/>
              </w:rPr>
            </w:pPr>
            <w:r>
              <w:rPr>
                <w:rFonts w:hint="default" w:ascii="Times New Roman" w:hAnsi="Times New Roman" w:eastAsia="仿宋_GB2312" w:cs="Times New Roman"/>
                <w:b/>
                <w:color w:val="auto"/>
                <w:kern w:val="0"/>
                <w:sz w:val="22"/>
                <w:szCs w:val="22"/>
                <w:highlight w:val="none"/>
                <w:lang w:val="en-US" w:eastAsia="zh-CN"/>
              </w:rPr>
              <w:t>73.70%</w:t>
            </w:r>
          </w:p>
        </w:tc>
      </w:tr>
    </w:tbl>
    <w:p w14:paraId="0CDBD830">
      <w:pPr>
        <w:pStyle w:val="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2.运行维护专项支出情况</w:t>
      </w:r>
    </w:p>
    <w:p w14:paraId="0DE5786C">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w:t>
      </w:r>
      <w:r>
        <w:rPr>
          <w:rFonts w:hint="default" w:ascii="Times New Roman" w:hAnsi="Times New Roman" w:cs="Times New Roman"/>
          <w:color w:val="auto"/>
          <w:highlight w:val="none"/>
          <w:lang w:val="en-US" w:eastAsia="zh-CN"/>
        </w:rPr>
        <w:t>厅系统</w:t>
      </w:r>
      <w:r>
        <w:rPr>
          <w:rFonts w:hint="default" w:ascii="Times New Roman" w:hAnsi="Times New Roman" w:cs="Times New Roman"/>
          <w:color w:val="auto"/>
          <w:highlight w:val="none"/>
          <w:lang w:val="en-US" w:eastAsia="zh-CN"/>
        </w:rPr>
        <w:t>运行维护专项支出经费全年预算数6,032.06万元，其中当年拨款3,349.99万元，上年结转2,682.07万元，实际支出3,724.29万元，预算执行率61.74%</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highlight w:val="none"/>
          <w:lang w:val="en-US" w:eastAsia="zh-CN"/>
        </w:rPr>
        <w:t>。</w:t>
      </w:r>
    </w:p>
    <w:p w14:paraId="109BE22D">
      <w:pPr>
        <w:pStyle w:val="59"/>
        <w:jc w:val="right"/>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单位：万元</w:t>
      </w:r>
    </w:p>
    <w:tbl>
      <w:tblPr>
        <w:tblStyle w:val="24"/>
        <w:tblW w:w="8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4200"/>
        <w:gridCol w:w="1362"/>
        <w:gridCol w:w="1362"/>
        <w:gridCol w:w="1362"/>
      </w:tblGrid>
      <w:tr w14:paraId="0202AB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1AA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sz w:val="22"/>
                <w:szCs w:val="22"/>
                <w:highlight w:val="none"/>
                <w:u w:val="none"/>
                <w:lang w:val="en-US" w:eastAsia="zh-CN"/>
              </w:rPr>
            </w:pPr>
            <w:r>
              <w:rPr>
                <w:rFonts w:hint="default" w:ascii="Times New Roman" w:hAnsi="Times New Roman" w:eastAsia="仿宋" w:cs="Times New Roman"/>
                <w:b/>
                <w:bCs/>
                <w:i w:val="0"/>
                <w:iCs w:val="0"/>
                <w:color w:val="auto"/>
                <w:sz w:val="22"/>
                <w:szCs w:val="22"/>
                <w:highlight w:val="none"/>
                <w:u w:val="none"/>
                <w:lang w:val="en-US" w:eastAsia="zh-CN"/>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E240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sz w:val="22"/>
                <w:szCs w:val="22"/>
                <w:highlight w:val="none"/>
                <w:u w:val="none"/>
              </w:rPr>
            </w:pPr>
            <w:r>
              <w:rPr>
                <w:rFonts w:hint="default" w:ascii="Times New Roman" w:hAnsi="Times New Roman" w:eastAsia="仿宋" w:cs="Times New Roman"/>
                <w:b/>
                <w:bCs/>
                <w:i w:val="0"/>
                <w:iCs w:val="0"/>
                <w:color w:val="auto"/>
                <w:kern w:val="0"/>
                <w:sz w:val="22"/>
                <w:szCs w:val="22"/>
                <w:highlight w:val="none"/>
                <w:u w:val="none"/>
                <w:lang w:val="en-US" w:eastAsia="zh-CN" w:bidi="ar"/>
              </w:rPr>
              <w:t>单位名称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7B8A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2"/>
                <w:sz w:val="22"/>
                <w:szCs w:val="22"/>
                <w:highlight w:val="none"/>
                <w:u w:val="none"/>
                <w:lang w:val="en-US" w:eastAsia="zh-CN" w:bidi="ar-SA"/>
              </w:rPr>
            </w:pPr>
            <w:r>
              <w:rPr>
                <w:rFonts w:hint="default" w:ascii="Times New Roman" w:hAnsi="Times New Roman" w:eastAsia="仿宋" w:cs="Times New Roman"/>
                <w:b/>
                <w:bCs/>
                <w:i w:val="0"/>
                <w:iCs w:val="0"/>
                <w:color w:val="auto"/>
                <w:kern w:val="0"/>
                <w:sz w:val="22"/>
                <w:szCs w:val="22"/>
                <w:highlight w:val="none"/>
                <w:u w:val="none"/>
                <w:lang w:val="en-US" w:eastAsia="zh-CN" w:bidi="ar"/>
              </w:rPr>
              <w:t>全年预算数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54A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2"/>
                <w:sz w:val="22"/>
                <w:szCs w:val="22"/>
                <w:highlight w:val="none"/>
                <w:u w:val="none"/>
                <w:lang w:val="en-US" w:eastAsia="zh-CN" w:bidi="ar-SA"/>
              </w:rPr>
            </w:pPr>
            <w:r>
              <w:rPr>
                <w:rFonts w:hint="default" w:ascii="Times New Roman" w:hAnsi="Times New Roman" w:eastAsia="仿宋" w:cs="Times New Roman"/>
                <w:b/>
                <w:bCs/>
                <w:i w:val="0"/>
                <w:iCs w:val="0"/>
                <w:color w:val="auto"/>
                <w:kern w:val="0"/>
                <w:sz w:val="22"/>
                <w:szCs w:val="22"/>
                <w:highlight w:val="none"/>
                <w:u w:val="none"/>
                <w:lang w:val="en-US" w:eastAsia="zh-CN" w:bidi="ar"/>
              </w:rPr>
              <w:t>全年执行数</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D204A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i w:val="0"/>
                <w:iCs w:val="0"/>
                <w:color w:val="auto"/>
                <w:kern w:val="0"/>
                <w:sz w:val="22"/>
                <w:szCs w:val="22"/>
                <w:highlight w:val="none"/>
                <w:u w:val="none"/>
                <w:lang w:val="en-US" w:eastAsia="zh-CN" w:bidi="ar"/>
              </w:rPr>
            </w:pPr>
            <w:r>
              <w:rPr>
                <w:rFonts w:hint="default" w:ascii="Times New Roman" w:hAnsi="Times New Roman" w:eastAsia="仿宋" w:cs="Times New Roman"/>
                <w:b/>
                <w:bCs/>
                <w:i w:val="0"/>
                <w:iCs w:val="0"/>
                <w:color w:val="auto"/>
                <w:kern w:val="0"/>
                <w:sz w:val="22"/>
                <w:szCs w:val="22"/>
                <w:highlight w:val="none"/>
                <w:u w:val="none"/>
                <w:lang w:val="en-US" w:eastAsia="zh-CN" w:bidi="ar"/>
              </w:rPr>
              <w:t>预算执行率</w:t>
            </w:r>
          </w:p>
        </w:tc>
      </w:tr>
      <w:tr w14:paraId="10373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B0DD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1</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1AE8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湖南省文化和旅游厅本级行政</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B0971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109.46</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2391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98.32</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11D6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89.82%</w:t>
            </w:r>
          </w:p>
        </w:tc>
      </w:tr>
      <w:tr w14:paraId="195D08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51CD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2</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681B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湖南图书馆</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3CA4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718.62</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617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714.62</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7FB1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99.44%</w:t>
            </w:r>
          </w:p>
        </w:tc>
      </w:tr>
      <w:tr w14:paraId="46B30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FDBFB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3</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2FB6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湖南省艺术研究院</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428A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0.06</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327F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C20F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0.00%</w:t>
            </w:r>
          </w:p>
        </w:tc>
      </w:tr>
      <w:tr w14:paraId="21C21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57451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0A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湖南省少年儿童图书馆</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EDE4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48.86</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CD66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33.13</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5739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67.81%</w:t>
            </w:r>
          </w:p>
        </w:tc>
      </w:tr>
      <w:tr w14:paraId="286B7C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FB10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FB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湖南博物院（湖南省文物鉴定中心）</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4D1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4,997.95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BBA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2,803.59</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DC92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56.09%</w:t>
            </w:r>
          </w:p>
        </w:tc>
      </w:tr>
      <w:tr w14:paraId="75D7A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E2F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w:t>
            </w:r>
          </w:p>
        </w:tc>
        <w:tc>
          <w:tcPr>
            <w:tcW w:w="4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B1C8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湖南省文化和旅游厅信息中心</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D90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99.11</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0AD86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74.63</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766B9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75.30%</w:t>
            </w:r>
          </w:p>
        </w:tc>
      </w:tr>
      <w:tr w14:paraId="5D1BA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B648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6F2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湖南省湘剧院</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D253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58.00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BEE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144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0.00%</w:t>
            </w:r>
          </w:p>
        </w:tc>
      </w:tr>
      <w:tr w14:paraId="1B08F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858"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7302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bCs w:val="0"/>
                <w:i w:val="0"/>
                <w:iCs w:val="0"/>
                <w:color w:val="auto"/>
                <w:kern w:val="0"/>
                <w:sz w:val="22"/>
                <w:szCs w:val="22"/>
                <w:highlight w:val="none"/>
                <w:u w:val="none"/>
                <w:lang w:val="en-US" w:eastAsia="zh-CN" w:bidi="ar"/>
              </w:rPr>
            </w:pPr>
            <w:r>
              <w:rPr>
                <w:rFonts w:hint="default" w:ascii="Times New Roman" w:hAnsi="Times New Roman" w:eastAsia="仿宋" w:cs="Times New Roman"/>
                <w:b/>
                <w:bCs w:val="0"/>
                <w:i w:val="0"/>
                <w:iCs w:val="0"/>
                <w:color w:val="auto"/>
                <w:kern w:val="0"/>
                <w:sz w:val="22"/>
                <w:szCs w:val="22"/>
                <w:highlight w:val="none"/>
                <w:u w:val="none"/>
                <w:lang w:val="en-US" w:eastAsia="zh-CN" w:bidi="ar"/>
              </w:rPr>
              <w:t>合计</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353F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 w:cs="Times New Roman"/>
                <w:b/>
                <w:bCs w:val="0"/>
                <w:i w:val="0"/>
                <w:iCs w:val="0"/>
                <w:color w:val="auto"/>
                <w:kern w:val="0"/>
                <w:sz w:val="22"/>
                <w:szCs w:val="22"/>
                <w:highlight w:val="none"/>
                <w:u w:val="none"/>
                <w:lang w:val="en-US" w:eastAsia="zh-CN" w:bidi="ar"/>
              </w:rPr>
            </w:pPr>
            <w:r>
              <w:rPr>
                <w:rFonts w:hint="default" w:ascii="Times New Roman" w:hAnsi="Times New Roman" w:eastAsia="仿宋" w:cs="Times New Roman"/>
                <w:b/>
                <w:bCs w:val="0"/>
                <w:i w:val="0"/>
                <w:iCs w:val="0"/>
                <w:color w:val="auto"/>
                <w:kern w:val="0"/>
                <w:sz w:val="22"/>
                <w:szCs w:val="22"/>
                <w:highlight w:val="none"/>
                <w:u w:val="none"/>
                <w:lang w:val="en-US" w:eastAsia="zh-CN" w:bidi="ar"/>
              </w:rPr>
              <w:t>6,032.06</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DC6C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bCs w:val="0"/>
                <w:i w:val="0"/>
                <w:iCs w:val="0"/>
                <w:color w:val="auto"/>
                <w:kern w:val="0"/>
                <w:sz w:val="22"/>
                <w:szCs w:val="22"/>
                <w:highlight w:val="none"/>
                <w:u w:val="none"/>
                <w:lang w:val="en-US" w:eastAsia="zh-CN" w:bidi="ar"/>
              </w:rPr>
            </w:pPr>
            <w:r>
              <w:rPr>
                <w:rFonts w:hint="default" w:ascii="Times New Roman" w:hAnsi="Times New Roman" w:eastAsia="仿宋" w:cs="Times New Roman"/>
                <w:b/>
                <w:bCs w:val="0"/>
                <w:i w:val="0"/>
                <w:iCs w:val="0"/>
                <w:color w:val="auto"/>
                <w:kern w:val="0"/>
                <w:sz w:val="22"/>
                <w:szCs w:val="22"/>
                <w:highlight w:val="none"/>
                <w:u w:val="none"/>
                <w:lang w:val="en-US" w:eastAsia="zh-CN" w:bidi="ar"/>
              </w:rPr>
              <w:t>3,724.29</w:t>
            </w:r>
          </w:p>
        </w:tc>
        <w:tc>
          <w:tcPr>
            <w:tcW w:w="13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A9EF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 w:cs="Times New Roman"/>
                <w:b/>
                <w:bCs w:val="0"/>
                <w:i w:val="0"/>
                <w:iCs w:val="0"/>
                <w:color w:val="auto"/>
                <w:kern w:val="0"/>
                <w:sz w:val="22"/>
                <w:szCs w:val="22"/>
                <w:highlight w:val="none"/>
                <w:u w:val="none"/>
                <w:lang w:val="en-US" w:eastAsia="zh-CN" w:bidi="ar"/>
              </w:rPr>
            </w:pPr>
            <w:r>
              <w:rPr>
                <w:rFonts w:hint="default" w:ascii="Times New Roman" w:hAnsi="Times New Roman" w:eastAsia="仿宋" w:cs="Times New Roman"/>
                <w:b/>
                <w:bCs w:val="0"/>
                <w:i w:val="0"/>
                <w:iCs w:val="0"/>
                <w:color w:val="auto"/>
                <w:kern w:val="0"/>
                <w:sz w:val="22"/>
                <w:szCs w:val="22"/>
                <w:highlight w:val="none"/>
                <w:u w:val="none"/>
                <w:lang w:val="en-US" w:eastAsia="zh-CN" w:bidi="ar"/>
              </w:rPr>
              <w:t>61.74%</w:t>
            </w:r>
          </w:p>
        </w:tc>
      </w:tr>
    </w:tbl>
    <w:p w14:paraId="775C7205">
      <w:pPr>
        <w:pStyle w:val="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3.省级专项资金支出情况</w:t>
      </w:r>
    </w:p>
    <w:p w14:paraId="074172C1">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2025年度，厅系统省级专项资金全年预算数19,231.35万元，其中当年财政拨款14,520.26万元，结转资金4,711.09万元，实际支出12,983.70万元，预算执行率为67.51%</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highlight w:val="none"/>
          <w:lang w:val="en-US" w:eastAsia="zh-CN"/>
        </w:rPr>
        <w:t>。</w:t>
      </w:r>
    </w:p>
    <w:p w14:paraId="688CF438">
      <w:pPr>
        <w:pStyle w:val="59"/>
        <w:jc w:val="right"/>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单位：万元</w:t>
      </w:r>
    </w:p>
    <w:tbl>
      <w:tblPr>
        <w:tblStyle w:val="24"/>
        <w:tblW w:w="894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3107"/>
        <w:gridCol w:w="2217"/>
        <w:gridCol w:w="1481"/>
        <w:gridCol w:w="1481"/>
      </w:tblGrid>
      <w:tr w14:paraId="61C3C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0767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bCs w:val="0"/>
                <w:i w:val="0"/>
                <w:iCs w:val="0"/>
                <w:color w:val="auto"/>
                <w:kern w:val="0"/>
                <w:sz w:val="22"/>
                <w:szCs w:val="22"/>
                <w:highlight w:val="none"/>
                <w:u w:val="none"/>
                <w:lang w:val="en-US" w:eastAsia="zh-CN" w:bidi="ar"/>
              </w:rPr>
              <w:t>序号</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3AE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bCs w:val="0"/>
                <w:i w:val="0"/>
                <w:iCs w:val="0"/>
                <w:color w:val="auto"/>
                <w:kern w:val="0"/>
                <w:sz w:val="22"/>
                <w:szCs w:val="22"/>
                <w:highlight w:val="none"/>
                <w:u w:val="none"/>
                <w:lang w:val="en-US" w:eastAsia="zh-CN" w:bidi="ar"/>
              </w:rPr>
              <w:t>单位名称</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F688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bCs w:val="0"/>
                <w:i w:val="0"/>
                <w:iCs w:val="0"/>
                <w:color w:val="auto"/>
                <w:kern w:val="0"/>
                <w:sz w:val="22"/>
                <w:szCs w:val="22"/>
                <w:highlight w:val="none"/>
                <w:u w:val="none"/>
                <w:lang w:val="en-US" w:eastAsia="zh-CN" w:bidi="ar"/>
              </w:rPr>
              <w:t>全年预算数</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1BDA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bCs w:val="0"/>
                <w:i w:val="0"/>
                <w:iCs w:val="0"/>
                <w:color w:val="auto"/>
                <w:kern w:val="0"/>
                <w:sz w:val="22"/>
                <w:szCs w:val="22"/>
                <w:highlight w:val="none"/>
                <w:u w:val="none"/>
                <w:lang w:val="en-US" w:eastAsia="zh-CN" w:bidi="ar"/>
              </w:rPr>
              <w:t>全年执行数</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405B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bCs w:val="0"/>
                <w:i w:val="0"/>
                <w:iCs w:val="0"/>
                <w:color w:val="auto"/>
                <w:kern w:val="0"/>
                <w:sz w:val="22"/>
                <w:szCs w:val="22"/>
                <w:highlight w:val="none"/>
                <w:u w:val="none"/>
                <w:lang w:val="en-US" w:eastAsia="zh-CN" w:bidi="ar"/>
              </w:rPr>
              <w:t>预算执行率</w:t>
            </w:r>
          </w:p>
        </w:tc>
      </w:tr>
      <w:tr w14:paraId="28BC3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13F6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FCBED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湖南博物院（湖南省文物鉴定中心）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75D7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2,044.09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D7CD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1,428.73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245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69.90%</w:t>
            </w:r>
          </w:p>
        </w:tc>
      </w:tr>
      <w:tr w14:paraId="72C5B4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7A8F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2CE9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湖南省花鼓戏保护传承中心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3FD2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2,079.60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97A55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883.32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2286C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42.48%</w:t>
            </w:r>
          </w:p>
        </w:tc>
      </w:tr>
      <w:tr w14:paraId="2A9E4E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B6778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C71E5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湖南省京剧保护传承中心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2675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996.52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78C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623.26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956B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62.54%</w:t>
            </w:r>
          </w:p>
        </w:tc>
      </w:tr>
      <w:tr w14:paraId="2AC4F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92078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6842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湖南省木偶皮影艺术保护传承中心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539A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820.90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7F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304.09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A15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37.04%</w:t>
            </w:r>
          </w:p>
        </w:tc>
      </w:tr>
      <w:tr w14:paraId="2CB205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319A3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7EFB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湖南省少年儿童图书馆</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3612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450.08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603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244.93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E4B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54.42%</w:t>
            </w:r>
          </w:p>
        </w:tc>
      </w:tr>
      <w:tr w14:paraId="3B937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809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025B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湖南省文化馆（湖南省非物质文化遗产保护中心）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D7D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778.92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46B5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459.47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BB45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58.99%</w:t>
            </w:r>
          </w:p>
        </w:tc>
      </w:tr>
      <w:tr w14:paraId="4610B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28BE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7</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9E33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湖南省文化和旅游厅本级行政</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C7FE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5,306.21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C04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3,942.80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E3B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74.31%</w:t>
            </w:r>
          </w:p>
        </w:tc>
      </w:tr>
      <w:tr w14:paraId="7E12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CF2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B2963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湖南省文化和旅游厅导游服务中心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F72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191.48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A05E8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93.64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0809B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48.90%</w:t>
            </w:r>
          </w:p>
        </w:tc>
      </w:tr>
      <w:tr w14:paraId="297046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8D99D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9</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F847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湖南省文化和旅游厅信息中心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5F96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49.00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96C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33.91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21BA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69.21%</w:t>
            </w:r>
          </w:p>
        </w:tc>
      </w:tr>
      <w:tr w14:paraId="0F7C0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7029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10</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4CE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湖南省文化和旅游厅幼儿院</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7EF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60.00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D049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60.00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51E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100.00%</w:t>
            </w:r>
          </w:p>
        </w:tc>
      </w:tr>
      <w:tr w14:paraId="05EC76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B532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11</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B0A5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湖南省文物局</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51D5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464.99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33FBC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374.41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F4F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80.52%</w:t>
            </w:r>
          </w:p>
        </w:tc>
      </w:tr>
      <w:tr w14:paraId="591E6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BD27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12</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75B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湖南省文物考古研究院(湖南省文物保护利用中心)</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351E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3,920.63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C538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3,312.76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054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84.50%</w:t>
            </w:r>
          </w:p>
        </w:tc>
      </w:tr>
      <w:tr w14:paraId="6152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8A2FF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13</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7A742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湖南省湘剧院</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22F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1,364.20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6D7C7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811.67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156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59.50%</w:t>
            </w:r>
          </w:p>
        </w:tc>
      </w:tr>
      <w:tr w14:paraId="647A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8482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C22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湖南省艺术研究院</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E87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439.73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2D76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295.48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38AF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67.20%</w:t>
            </w:r>
          </w:p>
        </w:tc>
      </w:tr>
      <w:tr w14:paraId="322BA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F386C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w:t>
            </w:r>
          </w:p>
        </w:tc>
        <w:tc>
          <w:tcPr>
            <w:tcW w:w="3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C30C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湖南图书馆</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B6A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265.00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2E30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 xml:space="preserve"> 115.24 </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D37A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 w:cs="Times New Roman"/>
                <w:b w:val="0"/>
                <w:bCs w:val="0"/>
                <w:i w:val="0"/>
                <w:iCs w:val="0"/>
                <w:color w:val="auto"/>
                <w:kern w:val="0"/>
                <w:sz w:val="22"/>
                <w:szCs w:val="22"/>
                <w:highlight w:val="none"/>
                <w:u w:val="none"/>
                <w:lang w:val="en-US" w:eastAsia="zh-CN" w:bidi="ar"/>
              </w:rPr>
            </w:pPr>
            <w:r>
              <w:rPr>
                <w:rFonts w:hint="default" w:ascii="Times New Roman" w:hAnsi="Times New Roman" w:eastAsia="仿宋" w:cs="Times New Roman"/>
                <w:b w:val="0"/>
                <w:bCs w:val="0"/>
                <w:i w:val="0"/>
                <w:iCs w:val="0"/>
                <w:color w:val="auto"/>
                <w:kern w:val="0"/>
                <w:sz w:val="22"/>
                <w:szCs w:val="22"/>
                <w:highlight w:val="none"/>
                <w:u w:val="none"/>
                <w:lang w:val="en-US" w:eastAsia="zh-CN" w:bidi="ar"/>
              </w:rPr>
              <w:t>43.49%</w:t>
            </w:r>
          </w:p>
        </w:tc>
      </w:tr>
      <w:tr w14:paraId="79226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76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43087">
            <w:pPr>
              <w:keepNext w:val="0"/>
              <w:keepLines w:val="0"/>
              <w:widowControl/>
              <w:suppressLineNumbers w:val="0"/>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2"/>
                <w:szCs w:val="20"/>
                <w:highlight w:val="none"/>
                <w:u w:val="none"/>
                <w:lang w:val="en-US" w:eastAsia="zh-CN" w:bidi="ar"/>
              </w:rPr>
            </w:pPr>
            <w:r>
              <w:rPr>
                <w:rFonts w:hint="default" w:ascii="Times New Roman" w:hAnsi="Times New Roman" w:eastAsia="仿宋_GB2312" w:cs="Times New Roman"/>
                <w:b/>
                <w:bCs/>
                <w:i w:val="0"/>
                <w:iCs w:val="0"/>
                <w:color w:val="auto"/>
                <w:kern w:val="0"/>
                <w:sz w:val="22"/>
                <w:szCs w:val="20"/>
                <w:highlight w:val="none"/>
                <w:u w:val="none"/>
                <w:lang w:val="en-US" w:eastAsia="zh-CN" w:bidi="ar"/>
              </w:rPr>
              <w:t>合计</w:t>
            </w:r>
          </w:p>
        </w:tc>
        <w:tc>
          <w:tcPr>
            <w:tcW w:w="22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82DD5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bCs/>
                <w:i w:val="0"/>
                <w:iCs w:val="0"/>
                <w:color w:val="auto"/>
                <w:kern w:val="0"/>
                <w:sz w:val="22"/>
                <w:szCs w:val="20"/>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19,231.35</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E4E4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bCs/>
                <w:i w:val="0"/>
                <w:iCs w:val="0"/>
                <w:color w:val="auto"/>
                <w:kern w:val="0"/>
                <w:sz w:val="22"/>
                <w:szCs w:val="20"/>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12,983.70</w:t>
            </w:r>
          </w:p>
        </w:tc>
        <w:tc>
          <w:tcPr>
            <w:tcW w:w="148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DDDE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bCs/>
                <w:i w:val="0"/>
                <w:iCs w:val="0"/>
                <w:color w:val="auto"/>
                <w:kern w:val="0"/>
                <w:sz w:val="22"/>
                <w:szCs w:val="20"/>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67.51%</w:t>
            </w:r>
          </w:p>
        </w:tc>
      </w:tr>
    </w:tbl>
    <w:p w14:paraId="45837140">
      <w:pPr>
        <w:pStyle w:val="6"/>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4.其他事业类发展资金支出情况</w:t>
      </w:r>
    </w:p>
    <w:p w14:paraId="1A09D3F5">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w:t>
      </w:r>
      <w:r>
        <w:rPr>
          <w:rFonts w:hint="default" w:ascii="Times New Roman" w:hAnsi="Times New Roman" w:cs="Times New Roman"/>
          <w:color w:val="auto"/>
          <w:highlight w:val="none"/>
          <w:lang w:val="en-US" w:eastAsia="zh-CN"/>
        </w:rPr>
        <w:t>厅系统</w:t>
      </w:r>
      <w:r>
        <w:rPr>
          <w:rFonts w:hint="default" w:ascii="Times New Roman" w:hAnsi="Times New Roman" w:cs="Times New Roman"/>
          <w:color w:val="auto"/>
          <w:highlight w:val="none"/>
          <w:lang w:val="en-US" w:eastAsia="zh-CN"/>
        </w:rPr>
        <w:t>其他事业类发展资金全年预算数76,591.12万元，其中当年财政拨款57,201.23万元，结转资金19,389.89万元，实际支出15,984.42万元，预算执行率82.44%</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szCs w:val="32"/>
          <w:highlight w:val="none"/>
          <w:lang w:val="en-US" w:eastAsia="zh-CN"/>
        </w:rPr>
        <w:t>详见下表</w:t>
      </w:r>
      <w:r>
        <w:rPr>
          <w:rFonts w:hint="default" w:ascii="Times New Roman" w:hAnsi="Times New Roman" w:cs="Times New Roman"/>
          <w:color w:val="auto"/>
          <w:szCs w:val="32"/>
          <w:highlight w:val="none"/>
          <w:lang w:eastAsia="zh-CN"/>
        </w:rPr>
        <w:t>）</w:t>
      </w:r>
      <w:r>
        <w:rPr>
          <w:rFonts w:hint="default" w:ascii="Times New Roman" w:hAnsi="Times New Roman" w:cs="Times New Roman"/>
          <w:color w:val="auto"/>
          <w:highlight w:val="none"/>
          <w:lang w:val="en-US" w:eastAsia="zh-CN"/>
        </w:rPr>
        <w:t>。</w:t>
      </w:r>
    </w:p>
    <w:p w14:paraId="72226E5E">
      <w:pPr>
        <w:pStyle w:val="59"/>
        <w:jc w:val="right"/>
        <w:rPr>
          <w:rFonts w:hint="default" w:ascii="Times New Roman" w:hAnsi="Times New Roman" w:eastAsia="宋体" w:cs="Times New Roman"/>
          <w:i w:val="0"/>
          <w:iCs w:val="0"/>
          <w:color w:val="auto"/>
          <w:kern w:val="0"/>
          <w:sz w:val="20"/>
          <w:szCs w:val="20"/>
          <w:highlight w:val="none"/>
          <w:u w:val="none"/>
          <w:lang w:val="en-US" w:eastAsia="zh-CN" w:bidi="ar"/>
        </w:rPr>
      </w:pPr>
      <w:r>
        <w:rPr>
          <w:rFonts w:hint="default" w:ascii="Times New Roman" w:hAnsi="Times New Roman" w:eastAsia="宋体" w:cs="Times New Roman"/>
          <w:i w:val="0"/>
          <w:iCs w:val="0"/>
          <w:color w:val="auto"/>
          <w:kern w:val="0"/>
          <w:sz w:val="20"/>
          <w:szCs w:val="20"/>
          <w:highlight w:val="none"/>
          <w:u w:val="none"/>
          <w:lang w:val="en-US" w:eastAsia="zh-CN" w:bidi="ar"/>
        </w:rPr>
        <w:t>单位：万元</w:t>
      </w:r>
    </w:p>
    <w:tbl>
      <w:tblPr>
        <w:tblStyle w:val="24"/>
        <w:tblW w:w="894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18"/>
        <w:gridCol w:w="4136"/>
        <w:gridCol w:w="1398"/>
        <w:gridCol w:w="1398"/>
        <w:gridCol w:w="1398"/>
      </w:tblGrid>
      <w:tr w14:paraId="7CEE8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blHeader/>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2A3B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0"/>
                <w:szCs w:val="20"/>
                <w:highlight w:val="none"/>
                <w:u w:val="none"/>
                <w:lang w:val="en-US" w:eastAsia="zh-CN"/>
              </w:rPr>
            </w:pPr>
            <w:r>
              <w:rPr>
                <w:rFonts w:hint="default" w:ascii="Times New Roman" w:hAnsi="Times New Roman" w:eastAsia="仿宋_GB2312" w:cs="Times New Roman"/>
                <w:b/>
                <w:bCs/>
                <w:i w:val="0"/>
                <w:iCs w:val="0"/>
                <w:color w:val="auto"/>
                <w:sz w:val="20"/>
                <w:szCs w:val="20"/>
                <w:highlight w:val="none"/>
                <w:u w:val="none"/>
                <w:lang w:val="en-US" w:eastAsia="zh-CN"/>
              </w:rPr>
              <w:t>序号</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8A8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sz w:val="20"/>
                <w:szCs w:val="20"/>
                <w:highlight w:val="none"/>
                <w:u w:val="none"/>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单位名称</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BC4A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全年预算数</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ED5C2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2"/>
                <w:sz w:val="20"/>
                <w:szCs w:val="20"/>
                <w:highlight w:val="none"/>
                <w:u w:val="none"/>
                <w:lang w:val="en-US" w:eastAsia="zh-CN" w:bidi="ar-SA"/>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全年执行数</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856CC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0"/>
                <w:szCs w:val="20"/>
                <w:highlight w:val="none"/>
                <w:u w:val="none"/>
                <w:lang w:val="en-US" w:eastAsia="zh-CN" w:bidi="ar"/>
              </w:rPr>
            </w:pPr>
            <w:r>
              <w:rPr>
                <w:rFonts w:hint="default" w:ascii="Times New Roman" w:hAnsi="Times New Roman" w:eastAsia="仿宋_GB2312" w:cs="Times New Roman"/>
                <w:b/>
                <w:bCs/>
                <w:i w:val="0"/>
                <w:iCs w:val="0"/>
                <w:color w:val="auto"/>
                <w:kern w:val="0"/>
                <w:sz w:val="20"/>
                <w:szCs w:val="20"/>
                <w:highlight w:val="none"/>
                <w:u w:val="none"/>
                <w:lang w:val="en-US" w:eastAsia="zh-CN" w:bidi="ar"/>
              </w:rPr>
              <w:t>预算执行率</w:t>
            </w:r>
          </w:p>
        </w:tc>
      </w:tr>
      <w:tr w14:paraId="147FB3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22F09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80B0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湖南省文化和旅游厅本级行政</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634D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6,820.89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CB1D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5,765.13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01C66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84.52%</w:t>
            </w:r>
          </w:p>
        </w:tc>
      </w:tr>
      <w:tr w14:paraId="59D8E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CFED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2</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2DB08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湖南省文物局</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EA7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875.05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21BB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383.10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29C4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43.78%</w:t>
            </w:r>
          </w:p>
        </w:tc>
      </w:tr>
      <w:tr w14:paraId="6E1C91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931E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3</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406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湖南图书馆</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6D2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2,420.26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664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1,669.32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872E4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68.97%</w:t>
            </w:r>
          </w:p>
        </w:tc>
      </w:tr>
      <w:tr w14:paraId="6A013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EBE63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4</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E1E3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湖南省文化馆（湖南省非物质文化遗产保护中心）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C553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1,948.15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F8E6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1,457.95</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C830B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74.84%</w:t>
            </w:r>
          </w:p>
        </w:tc>
      </w:tr>
      <w:tr w14:paraId="24DB85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2353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5</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EBE4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湖南省少年儿童图书馆</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B73C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1,154.24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EC4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886.13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35B7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76.77%</w:t>
            </w:r>
          </w:p>
        </w:tc>
      </w:tr>
      <w:tr w14:paraId="05D375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3732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6</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1CFB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湖南省艺术研究院</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A3338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430.44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D1DA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400.20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C1A8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92.98%</w:t>
            </w:r>
          </w:p>
        </w:tc>
      </w:tr>
      <w:tr w14:paraId="74B328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C3A41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7</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2DB6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湖南博物院（湖南省文物鉴定中心）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DBD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43,796.62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AD26E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40,654.87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BD6FD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92.83%</w:t>
            </w:r>
          </w:p>
        </w:tc>
      </w:tr>
      <w:tr w14:paraId="55D312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E038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8</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476AD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湖南省文物考古研究院</w:t>
            </w:r>
            <w:r>
              <w:rPr>
                <w:rFonts w:hint="default" w:ascii="Times New Roman" w:hAnsi="Times New Roman" w:cs="Times New Roman"/>
                <w:b w:val="0"/>
                <w:bCs w:val="0"/>
                <w:i w:val="0"/>
                <w:iCs w:val="0"/>
                <w:color w:val="auto"/>
                <w:kern w:val="0"/>
                <w:sz w:val="22"/>
                <w:szCs w:val="22"/>
                <w:highlight w:val="none"/>
                <w:u w:val="none"/>
                <w:lang w:val="en-US" w:eastAsia="zh-CN" w:bidi="ar"/>
              </w:rPr>
              <w:t>（</w:t>
            </w: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湖南省文物保护利用中心</w:t>
            </w:r>
            <w:r>
              <w:rPr>
                <w:rFonts w:hint="default" w:ascii="Times New Roman" w:hAnsi="Times New Roman" w:cs="Times New Roman"/>
                <w:b w:val="0"/>
                <w:bCs w:val="0"/>
                <w:i w:val="0"/>
                <w:iCs w:val="0"/>
                <w:color w:val="auto"/>
                <w:kern w:val="0"/>
                <w:sz w:val="22"/>
                <w:szCs w:val="22"/>
                <w:highlight w:val="none"/>
                <w:u w:val="none"/>
                <w:lang w:val="en-US" w:eastAsia="zh-CN" w:bidi="ar"/>
              </w:rPr>
              <w:t>）</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D13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14,158.12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9C67EC">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7,833.68</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219C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55.33%</w:t>
            </w:r>
          </w:p>
        </w:tc>
      </w:tr>
      <w:tr w14:paraId="43D0F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FB49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9</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D7D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湖南省文化和旅游厅信息中心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EB2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41.56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F0529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41.16</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AAC269">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99.02%</w:t>
            </w:r>
          </w:p>
        </w:tc>
      </w:tr>
      <w:tr w14:paraId="3A02D2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29673">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10</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80A0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湖南省文化和旅游厅导游服务中心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7885C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229.03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9197F">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188.14</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6F33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82.15%</w:t>
            </w:r>
          </w:p>
        </w:tc>
      </w:tr>
      <w:tr w14:paraId="7233C3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8C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11</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E8BD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湖南省湘剧院</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94E0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976.43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99106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686.17</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FB30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70.27%</w:t>
            </w:r>
          </w:p>
        </w:tc>
      </w:tr>
      <w:tr w14:paraId="534F0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9F44C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12</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4A5EB8">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湖南省花鼓戏保护传承中心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DAD9A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1,320.59</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77B9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839.83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52D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63.60%</w:t>
            </w:r>
          </w:p>
        </w:tc>
      </w:tr>
      <w:tr w14:paraId="32EE4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E37F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13</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89E0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湖南省京剧保护传承中心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3337E">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537.93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FD51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369.11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10D57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68.62%</w:t>
            </w:r>
          </w:p>
        </w:tc>
      </w:tr>
      <w:tr w14:paraId="46764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496C4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14</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FE0832">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湖南省木偶皮影艺术保护传承中心</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CF57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1,032.81</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85E54">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686.42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23C5A">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66.46%</w:t>
            </w:r>
          </w:p>
        </w:tc>
      </w:tr>
      <w:tr w14:paraId="295B2B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C3D00">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cs="Times New Roman"/>
                <w:b w:val="0"/>
                <w:bCs w:val="0"/>
                <w:i w:val="0"/>
                <w:iCs w:val="0"/>
                <w:color w:val="auto"/>
                <w:kern w:val="0"/>
                <w:sz w:val="22"/>
                <w:szCs w:val="22"/>
                <w:highlight w:val="none"/>
                <w:u w:val="none"/>
                <w:lang w:val="en-US" w:eastAsia="zh-CN" w:bidi="ar"/>
              </w:rPr>
              <w:t>15</w:t>
            </w:r>
          </w:p>
        </w:tc>
        <w:tc>
          <w:tcPr>
            <w:tcW w:w="41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6810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湖南省文化和旅游厅幼儿院</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63BA2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849.00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DE0511">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461.00</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093F2B">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pPr>
            <w:r>
              <w:rPr>
                <w:rFonts w:hint="default" w:ascii="Times New Roman" w:hAnsi="Times New Roman" w:eastAsia="仿宋_GB2312" w:cs="Times New Roman"/>
                <w:b w:val="0"/>
                <w:bCs w:val="0"/>
                <w:i w:val="0"/>
                <w:iCs w:val="0"/>
                <w:color w:val="auto"/>
                <w:kern w:val="0"/>
                <w:sz w:val="22"/>
                <w:szCs w:val="22"/>
                <w:highlight w:val="none"/>
                <w:u w:val="none"/>
                <w:lang w:val="en-US" w:eastAsia="zh-CN" w:bidi="ar"/>
              </w:rPr>
              <w:t>54.30%</w:t>
            </w:r>
          </w:p>
        </w:tc>
      </w:tr>
      <w:tr w14:paraId="41EA2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47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29886">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center"/>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合计</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DBF477">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left"/>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76,591.12</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58315">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62,322.23</w:t>
            </w:r>
          </w:p>
        </w:tc>
        <w:tc>
          <w:tcPr>
            <w:tcW w:w="139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01D30D">
            <w:pPr>
              <w:keepNext w:val="0"/>
              <w:keepLines w:val="0"/>
              <w:pageBreakBefore w:val="0"/>
              <w:widowControl/>
              <w:suppressLineNumbers w:val="0"/>
              <w:kinsoku/>
              <w:wordWrap/>
              <w:overflowPunct/>
              <w:topLinePunct w:val="0"/>
              <w:autoSpaceDE/>
              <w:autoSpaceDN/>
              <w:bidi w:val="0"/>
              <w:adjustRightInd/>
              <w:snapToGrid w:val="0"/>
              <w:spacing w:line="240" w:lineRule="auto"/>
              <w:ind w:left="0" w:leftChars="0" w:right="0" w:rightChars="0" w:firstLine="0" w:firstLineChars="0"/>
              <w:jc w:val="right"/>
              <w:textAlignment w:val="center"/>
              <w:rPr>
                <w:rFonts w:hint="default" w:ascii="Times New Roman" w:hAnsi="Times New Roman" w:eastAsia="仿宋_GB2312" w:cs="Times New Roman"/>
                <w:b/>
                <w:bCs/>
                <w:i w:val="0"/>
                <w:iCs w:val="0"/>
                <w:color w:val="auto"/>
                <w:kern w:val="0"/>
                <w:sz w:val="22"/>
                <w:szCs w:val="22"/>
                <w:highlight w:val="none"/>
                <w:u w:val="none"/>
                <w:lang w:val="en-US" w:eastAsia="zh-CN" w:bidi="ar"/>
              </w:rPr>
            </w:pPr>
            <w:r>
              <w:rPr>
                <w:rFonts w:hint="default" w:ascii="Times New Roman" w:hAnsi="Times New Roman" w:eastAsia="仿宋_GB2312" w:cs="Times New Roman"/>
                <w:b/>
                <w:bCs/>
                <w:i w:val="0"/>
                <w:iCs w:val="0"/>
                <w:color w:val="auto"/>
                <w:kern w:val="0"/>
                <w:sz w:val="22"/>
                <w:szCs w:val="22"/>
                <w:highlight w:val="none"/>
                <w:u w:val="none"/>
                <w:lang w:val="en-US" w:eastAsia="zh-CN" w:bidi="ar"/>
              </w:rPr>
              <w:t>81.37%</w:t>
            </w:r>
          </w:p>
        </w:tc>
      </w:tr>
    </w:tbl>
    <w:p w14:paraId="1042F79A">
      <w:pPr>
        <w:pStyle w:val="4"/>
        <w:bidi w:val="0"/>
        <w:rPr>
          <w:rFonts w:hint="default" w:ascii="Times New Roman" w:hAnsi="Times New Roman" w:eastAsia="楷体_GB2312" w:cs="Times New Roman"/>
          <w:color w:val="auto"/>
          <w:highlight w:val="none"/>
          <w:lang w:val="en-US" w:eastAsia="zh-CN"/>
        </w:rPr>
      </w:pPr>
      <w:bookmarkStart w:id="31" w:name="_Toc13784"/>
      <w:r>
        <w:rPr>
          <w:rFonts w:hint="default" w:ascii="Times New Roman" w:hAnsi="Times New Roman" w:eastAsia="楷体_GB2312" w:cs="Times New Roman"/>
          <w:b/>
          <w:bCs/>
          <w:color w:val="auto"/>
          <w:highlight w:val="none"/>
          <w:lang w:val="en-US" w:eastAsia="zh-CN"/>
        </w:rPr>
        <w:t>（五）管理制度建立与执行管理情况</w:t>
      </w:r>
      <w:bookmarkEnd w:id="31"/>
    </w:p>
    <w:p w14:paraId="3967D958">
      <w:pPr>
        <w:numPr>
          <w:ilvl w:val="0"/>
          <w:numId w:val="0"/>
        </w:numPr>
        <w:tabs>
          <w:tab w:val="center" w:pos="4422"/>
        </w:tabs>
        <w:spacing w:line="580" w:lineRule="exact"/>
        <w:ind w:firstLine="640" w:firstLineChars="200"/>
        <w:rPr>
          <w:rFonts w:hint="default" w:ascii="Times New Roman" w:hAnsi="Times New Roman" w:eastAsia="仿宋_GB2312" w:cs="Times New Roman"/>
          <w:color w:val="auto"/>
          <w:sz w:val="32"/>
          <w:szCs w:val="32"/>
          <w:highlight w:val="none"/>
          <w:lang w:eastAsia="zh-CN"/>
        </w:rPr>
      </w:pPr>
      <w:r>
        <w:rPr>
          <w:rFonts w:hint="default" w:ascii="Times New Roman" w:hAnsi="Times New Roman" w:cs="Times New Roman"/>
          <w:color w:val="auto"/>
          <w:highlight w:val="none"/>
          <w:lang w:eastAsia="zh-CN"/>
        </w:rPr>
        <w:t>为了进一步提高单位内部管理水平，规范内部控制，加强廉政风险防控机制建设，根据《中华人民共和国会计法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中华人民共和国预算法</w:t>
      </w:r>
      <w:r>
        <w:rPr>
          <w:rFonts w:hint="default" w:ascii="Times New Roman" w:hAnsi="Times New Roman" w:cs="Times New Roman"/>
          <w:color w:val="auto"/>
          <w:highlight w:val="none"/>
          <w:lang w:eastAsia="zh-CN"/>
        </w:rPr>
        <w:t>》《</w:t>
      </w:r>
      <w:r>
        <w:rPr>
          <w:rFonts w:hint="default" w:ascii="Times New Roman" w:hAnsi="Times New Roman" w:cs="Times New Roman"/>
          <w:color w:val="auto"/>
          <w:highlight w:val="none"/>
          <w:lang w:eastAsia="zh-CN"/>
        </w:rPr>
        <w:t>行政事业单位内部控制规范（试行）》（财会〔2012〕21号）和《财政部关于全面推进行政事业单位内部控制建设的指导意见》（财会〔2015〕24号）等法律法规和相关规定，</w:t>
      </w:r>
      <w:r>
        <w:rPr>
          <w:rFonts w:hint="default" w:ascii="Times New Roman" w:hAnsi="Times New Roman" w:eastAsia="仿宋_GB2312" w:cs="Times New Roman"/>
          <w:color w:val="auto"/>
          <w:sz w:val="32"/>
          <w:szCs w:val="32"/>
          <w:highlight w:val="none"/>
          <w:lang w:eastAsia="zh-CN"/>
        </w:rPr>
        <w:t>通过</w:t>
      </w:r>
      <w:r>
        <w:rPr>
          <w:rFonts w:hint="default" w:ascii="Times New Roman" w:hAnsi="Times New Roman" w:eastAsia="仿宋_GB2312" w:cs="Times New Roman"/>
          <w:color w:val="auto"/>
          <w:sz w:val="32"/>
          <w:szCs w:val="32"/>
          <w:highlight w:val="none"/>
          <w:lang w:val="en-US" w:eastAsia="zh-CN"/>
        </w:rPr>
        <w:t>建章立制</w:t>
      </w:r>
      <w:r>
        <w:rPr>
          <w:rFonts w:hint="default" w:ascii="Times New Roman" w:hAnsi="Times New Roman" w:eastAsia="仿宋_GB2312" w:cs="Times New Roman"/>
          <w:color w:val="auto"/>
          <w:sz w:val="32"/>
          <w:szCs w:val="32"/>
          <w:highlight w:val="none"/>
          <w:lang w:eastAsia="zh-CN"/>
        </w:rPr>
        <w:t>坚持长期整改，制定</w:t>
      </w:r>
      <w:r>
        <w:rPr>
          <w:rFonts w:hint="default" w:ascii="Times New Roman" w:hAnsi="Times New Roman" w:eastAsia="仿宋_GB2312" w:cs="Times New Roman"/>
          <w:color w:val="auto"/>
          <w:sz w:val="32"/>
          <w:szCs w:val="32"/>
          <w:highlight w:val="none"/>
          <w:lang w:val="en-US" w:eastAsia="zh-CN"/>
        </w:rPr>
        <w:t>《湖南省文化和旅游厅政府采购工作管理办法》《湖南省文化和旅游厅劳务费管理有关问题的暂行规定》《湖南省文化和旅游厅专项资金申报项目评审管理办法》《湖南省博物馆藏品及展品管理制度（试行）》《关于加强国有资产管理有关事项的通知》《关于政府采购工作有关事项的通知》</w:t>
      </w:r>
      <w:r>
        <w:rPr>
          <w:rFonts w:hint="default" w:ascii="Times New Roman" w:hAnsi="Times New Roman" w:eastAsia="仿宋_GB2312" w:cs="Times New Roman"/>
          <w:color w:val="auto"/>
          <w:sz w:val="32"/>
          <w:szCs w:val="32"/>
          <w:highlight w:val="none"/>
          <w:lang w:eastAsia="zh-CN"/>
        </w:rPr>
        <w:t>等制度</w:t>
      </w:r>
      <w:r>
        <w:rPr>
          <w:rFonts w:hint="default" w:ascii="Times New Roman" w:hAnsi="Times New Roman" w:eastAsia="仿宋_GB2312" w:cs="Times New Roman"/>
          <w:color w:val="auto"/>
          <w:sz w:val="32"/>
          <w:szCs w:val="32"/>
          <w:highlight w:val="none"/>
          <w:lang w:val="en-US" w:eastAsia="zh-CN"/>
        </w:rPr>
        <w:t>文件。</w:t>
      </w:r>
    </w:p>
    <w:p w14:paraId="409C3177">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eastAsia="zh-CN"/>
        </w:rPr>
      </w:pPr>
      <w:r>
        <w:rPr>
          <w:rFonts w:hint="default" w:ascii="Times New Roman" w:hAnsi="Times New Roman" w:cs="Times New Roman"/>
          <w:color w:val="auto"/>
          <w:highlight w:val="none"/>
          <w:lang w:eastAsia="zh-CN"/>
        </w:rPr>
        <w:t>从实际执行情况看，上述制度规定基本得到了较好</w:t>
      </w:r>
      <w:r>
        <w:rPr>
          <w:rFonts w:hint="default" w:ascii="Times New Roman" w:hAnsi="Times New Roman" w:cs="Times New Roman"/>
          <w:color w:val="auto"/>
          <w:highlight w:val="none"/>
          <w:lang w:eastAsia="zh-CN"/>
        </w:rPr>
        <w:t>地</w:t>
      </w:r>
      <w:r>
        <w:rPr>
          <w:rFonts w:hint="default" w:ascii="Times New Roman" w:hAnsi="Times New Roman" w:cs="Times New Roman"/>
          <w:color w:val="auto"/>
          <w:highlight w:val="none"/>
          <w:lang w:eastAsia="zh-CN"/>
        </w:rPr>
        <w:t>执行，</w:t>
      </w:r>
      <w:r>
        <w:rPr>
          <w:rFonts w:hint="default" w:ascii="Times New Roman" w:hAnsi="Times New Roman" w:cs="Times New Roman"/>
          <w:color w:val="auto"/>
          <w:highlight w:val="none"/>
          <w:lang w:val="en-US" w:eastAsia="zh-CN"/>
        </w:rPr>
        <w:t>厅系统内</w:t>
      </w:r>
      <w:r>
        <w:rPr>
          <w:rFonts w:hint="default" w:ascii="Times New Roman" w:hAnsi="Times New Roman" w:cs="Times New Roman"/>
          <w:color w:val="auto"/>
          <w:highlight w:val="none"/>
          <w:lang w:eastAsia="zh-CN"/>
        </w:rPr>
        <w:t>预算管理、</w:t>
      </w:r>
      <w:r>
        <w:rPr>
          <w:rFonts w:hint="default" w:ascii="Times New Roman" w:hAnsi="Times New Roman" w:cs="Times New Roman"/>
          <w:color w:val="auto"/>
          <w:highlight w:val="none"/>
          <w:lang w:val="en-US" w:eastAsia="zh-CN"/>
        </w:rPr>
        <w:t>资产管理、采购管理、项目管理、支出管理等方面不断规范</w:t>
      </w:r>
      <w:r>
        <w:rPr>
          <w:rFonts w:hint="default" w:ascii="Times New Roman" w:hAnsi="Times New Roman" w:cs="Times New Roman"/>
          <w:color w:val="auto"/>
          <w:highlight w:val="none"/>
          <w:lang w:eastAsia="zh-CN"/>
        </w:rPr>
        <w:t>，管理效能得到了</w:t>
      </w:r>
      <w:r>
        <w:rPr>
          <w:rFonts w:hint="default" w:ascii="Times New Roman" w:hAnsi="Times New Roman" w:cs="Times New Roman"/>
          <w:color w:val="auto"/>
          <w:highlight w:val="none"/>
          <w:lang w:val="en-US" w:eastAsia="zh-CN"/>
        </w:rPr>
        <w:t>有效</w:t>
      </w:r>
      <w:r>
        <w:rPr>
          <w:rFonts w:hint="default" w:ascii="Times New Roman" w:hAnsi="Times New Roman" w:cs="Times New Roman"/>
          <w:color w:val="auto"/>
          <w:highlight w:val="none"/>
          <w:lang w:eastAsia="zh-CN"/>
        </w:rPr>
        <w:t>提升。</w:t>
      </w:r>
    </w:p>
    <w:p w14:paraId="5B728C33">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color w:val="auto"/>
          <w:highlight w:val="none"/>
          <w:lang w:val="en-US" w:eastAsia="zh-CN"/>
        </w:rPr>
      </w:pPr>
      <w:bookmarkStart w:id="32" w:name="_Toc9813"/>
      <w:r>
        <w:rPr>
          <w:rFonts w:hint="default" w:ascii="Times New Roman" w:hAnsi="Times New Roman" w:cs="Times New Roman"/>
          <w:b w:val="0"/>
          <w:bCs/>
          <w:color w:val="auto"/>
          <w:highlight w:val="none"/>
          <w:lang w:val="en-US" w:eastAsia="zh-CN"/>
        </w:rPr>
        <w:t>三、政府性基金预算支出情况</w:t>
      </w:r>
      <w:bookmarkEnd w:id="32"/>
    </w:p>
    <w:p w14:paraId="47CBB82A">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2025年度</w:t>
      </w:r>
      <w:r>
        <w:rPr>
          <w:rFonts w:hint="default" w:ascii="Times New Roman" w:hAnsi="Times New Roman" w:cs="Times New Roman"/>
          <w:color w:val="auto"/>
          <w:highlight w:val="none"/>
          <w:lang w:val="en-US" w:eastAsia="zh-CN"/>
        </w:rPr>
        <w:t>，厅系统</w:t>
      </w:r>
      <w:r>
        <w:rPr>
          <w:rFonts w:hint="default" w:ascii="Times New Roman" w:hAnsi="Times New Roman" w:cs="Times New Roman"/>
          <w:color w:val="auto"/>
          <w:highlight w:val="none"/>
          <w:lang w:val="en-US" w:eastAsia="zh-CN"/>
        </w:rPr>
        <w:t>政府性基金预算财政拨款年初结转和结余合计5,344.37万元，本年收入合计986.00万元，均为项目支出收入；本年支出合计5,025.15万元，全部为项目支出，其中“文化旅游体育与传媒支出（旅游发展基金</w:t>
      </w:r>
      <w:r>
        <w:rPr>
          <w:rFonts w:hint="default" w:ascii="Times New Roman" w:hAnsi="Times New Roman" w:cs="Times New Roman"/>
          <w:color w:val="auto"/>
          <w:highlight w:val="none"/>
          <w:lang w:val="en-US" w:eastAsia="zh-CN"/>
        </w:rPr>
        <w:t>－</w:t>
      </w:r>
      <w:r>
        <w:rPr>
          <w:rFonts w:hint="default" w:ascii="Times New Roman" w:hAnsi="Times New Roman" w:cs="Times New Roman"/>
          <w:color w:val="auto"/>
          <w:highlight w:val="none"/>
          <w:lang w:val="en-US" w:eastAsia="zh-CN"/>
        </w:rPr>
        <w:t>地方旅游开发项目补助）”支出300.77万元，其他支出（超长期特别国债安排的其他支出）支出4,724.37万元；年末结转和结余合计1,305.23万元，全部为项目支出结转和结余。</w:t>
      </w:r>
    </w:p>
    <w:p w14:paraId="138AA7E6">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color w:val="auto"/>
          <w:highlight w:val="none"/>
          <w:lang w:val="en-US" w:eastAsia="zh-CN"/>
        </w:rPr>
      </w:pPr>
      <w:bookmarkStart w:id="33" w:name="_Toc30145"/>
      <w:r>
        <w:rPr>
          <w:rFonts w:hint="default" w:ascii="Times New Roman" w:hAnsi="Times New Roman" w:cs="Times New Roman"/>
          <w:b w:val="0"/>
          <w:bCs/>
          <w:color w:val="auto"/>
          <w:highlight w:val="none"/>
          <w:lang w:val="en-US" w:eastAsia="zh-CN"/>
        </w:rPr>
        <w:t>四、国有资本经营预算支出情况</w:t>
      </w:r>
      <w:bookmarkEnd w:id="33"/>
    </w:p>
    <w:p w14:paraId="7778108D">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p w14:paraId="0677AC40">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color w:val="auto"/>
          <w:highlight w:val="none"/>
          <w:lang w:val="en-US" w:eastAsia="zh-CN"/>
        </w:rPr>
      </w:pPr>
      <w:bookmarkStart w:id="34" w:name="_Toc18880"/>
      <w:r>
        <w:rPr>
          <w:rFonts w:hint="default" w:ascii="Times New Roman" w:hAnsi="Times New Roman" w:cs="Times New Roman"/>
          <w:b w:val="0"/>
          <w:bCs/>
          <w:color w:val="auto"/>
          <w:highlight w:val="none"/>
          <w:lang w:val="en-US" w:eastAsia="zh-CN"/>
        </w:rPr>
        <w:t>五、社会保险基金预算支出情况</w:t>
      </w:r>
      <w:bookmarkEnd w:id="34"/>
    </w:p>
    <w:p w14:paraId="17148CAE">
      <w:pPr>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无。</w:t>
      </w:r>
    </w:p>
    <w:p w14:paraId="7F6354AB">
      <w:pPr>
        <w:pStyle w:val="3"/>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b w:val="0"/>
          <w:bCs/>
          <w:color w:val="auto"/>
          <w:highlight w:val="none"/>
          <w:lang w:val="en-US" w:eastAsia="zh-CN"/>
        </w:rPr>
      </w:pPr>
      <w:bookmarkStart w:id="35" w:name="_Toc22571"/>
      <w:r>
        <w:rPr>
          <w:rFonts w:hint="default" w:ascii="Times New Roman" w:hAnsi="Times New Roman" w:cs="Times New Roman"/>
          <w:b w:val="0"/>
          <w:bCs/>
          <w:color w:val="auto"/>
          <w:highlight w:val="none"/>
          <w:lang w:val="en-US" w:eastAsia="zh-CN"/>
        </w:rPr>
        <w:t>六、部门整体支出绩效自评工作情况</w:t>
      </w:r>
      <w:bookmarkEnd w:id="35"/>
    </w:p>
    <w:p w14:paraId="6A2C6C39">
      <w:pPr>
        <w:pStyle w:val="4"/>
        <w:keepNext w:val="0"/>
        <w:keepLines w:val="0"/>
        <w:widowControl w:val="0"/>
        <w:suppressLineNumbers w:val="0"/>
        <w:bidi w:val="0"/>
        <w:spacing w:before="0" w:beforeAutospacing="0" w:after="0" w:afterAutospacing="0"/>
        <w:ind w:left="0" w:right="0"/>
        <w:jc w:val="both"/>
        <w:rPr>
          <w:rFonts w:hint="default" w:ascii="Times New Roman" w:hAnsi="Times New Roman" w:eastAsia="楷体_GB2312" w:cs="Times New Roman"/>
          <w:b/>
          <w:bCs/>
          <w:color w:val="auto"/>
          <w:highlight w:val="none"/>
        </w:rPr>
      </w:pPr>
      <w:bookmarkStart w:id="36" w:name="_Toc23075"/>
      <w:r>
        <w:rPr>
          <w:rFonts w:hint="default" w:ascii="Times New Roman" w:hAnsi="Times New Roman" w:eastAsia="楷体_GB2312" w:cs="Times New Roman"/>
          <w:b/>
          <w:bCs/>
          <w:color w:val="auto"/>
          <w:highlight w:val="none"/>
        </w:rPr>
        <w:t>（一）</w:t>
      </w:r>
      <w:r>
        <w:rPr>
          <w:rFonts w:hint="default" w:ascii="Times New Roman" w:hAnsi="Times New Roman" w:cs="Times New Roman"/>
          <w:b/>
          <w:bCs/>
          <w:color w:val="auto"/>
          <w:highlight w:val="none"/>
          <w:lang w:val="en-US" w:eastAsia="zh-CN"/>
        </w:rPr>
        <w:t>自评</w:t>
      </w:r>
      <w:r>
        <w:rPr>
          <w:rFonts w:hint="default" w:ascii="Times New Roman" w:hAnsi="Times New Roman" w:eastAsia="楷体_GB2312" w:cs="Times New Roman"/>
          <w:b/>
          <w:bCs/>
          <w:color w:val="auto"/>
          <w:highlight w:val="none"/>
        </w:rPr>
        <w:t>依据</w:t>
      </w:r>
      <w:bookmarkEnd w:id="36"/>
    </w:p>
    <w:p w14:paraId="0D30FC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本次绩效评价的依据包括但不限于：</w:t>
      </w:r>
    </w:p>
    <w:p w14:paraId="37D08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1.《中华人民共和国预算法》、国家其他相关</w:t>
      </w:r>
      <w:r>
        <w:rPr>
          <w:rFonts w:hint="default" w:ascii="Times New Roman" w:hAnsi="Times New Roman" w:cs="Times New Roman"/>
          <w:color w:val="auto"/>
          <w:kern w:val="2"/>
          <w:sz w:val="32"/>
          <w:szCs w:val="32"/>
          <w:highlight w:val="none"/>
          <w:lang w:val="en-US" w:eastAsia="zh-CN" w:bidi="ar"/>
        </w:rPr>
        <w:t>法律法规</w:t>
      </w:r>
      <w:r>
        <w:rPr>
          <w:rFonts w:hint="default" w:ascii="Times New Roman" w:hAnsi="Times New Roman" w:eastAsia="仿宋_GB2312" w:cs="Times New Roman"/>
          <w:color w:val="auto"/>
          <w:kern w:val="2"/>
          <w:sz w:val="32"/>
          <w:szCs w:val="32"/>
          <w:highlight w:val="none"/>
          <w:lang w:val="en-US" w:eastAsia="zh-CN" w:bidi="ar"/>
        </w:rPr>
        <w:t>和规章制度；</w:t>
      </w:r>
    </w:p>
    <w:p w14:paraId="4F1CA3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
        </w:rPr>
      </w:pPr>
      <w:r>
        <w:rPr>
          <w:rFonts w:hint="default" w:ascii="Times New Roman" w:hAnsi="Times New Roman" w:eastAsia="仿宋_GB2312" w:cs="Times New Roman"/>
          <w:color w:val="auto"/>
          <w:kern w:val="2"/>
          <w:sz w:val="32"/>
          <w:szCs w:val="32"/>
          <w:highlight w:val="none"/>
          <w:lang w:val="en-US" w:eastAsia="zh-CN" w:bidi="ar"/>
        </w:rPr>
        <w:t>2.</w:t>
      </w:r>
      <w:r>
        <w:rPr>
          <w:rFonts w:hint="default" w:ascii="Times New Roman" w:hAnsi="Times New Roman" w:cs="Times New Roman"/>
          <w:color w:val="auto"/>
          <w:kern w:val="2"/>
          <w:sz w:val="32"/>
          <w:szCs w:val="32"/>
          <w:highlight w:val="none"/>
          <w:lang w:val="en-US" w:eastAsia="zh-CN" w:bidi="ar"/>
        </w:rPr>
        <w:t>《中共中央 国务院</w:t>
      </w:r>
      <w:r>
        <w:rPr>
          <w:rFonts w:hint="default" w:ascii="Times New Roman" w:hAnsi="Times New Roman" w:eastAsia="仿宋_GB2312" w:cs="Times New Roman"/>
          <w:color w:val="auto"/>
          <w:kern w:val="2"/>
          <w:sz w:val="32"/>
          <w:szCs w:val="32"/>
          <w:highlight w:val="none"/>
          <w:lang w:val="en-US" w:eastAsia="zh-CN" w:bidi="ar"/>
        </w:rPr>
        <w:t>关于全面实施预算绩效管理的意见》（中发〔2018〕34号）、《中共湖南省委办公厅湖南省人民政府办公厅关于全面实施预算绩效管理的实施意见》（湘办发〔2019〕10号）、《湖南省省级预算部门绩效自评操作规程》（湘财绩〔2020〕5号）；</w:t>
      </w:r>
    </w:p>
    <w:p w14:paraId="0647C1F0">
      <w:pPr>
        <w:bidi w:val="0"/>
        <w:rPr>
          <w:rFonts w:hint="default" w:ascii="Times New Roman" w:hAnsi="Times New Roman" w:eastAsia="仿宋_GB2312" w:cs="Times New Roman"/>
          <w:color w:val="auto"/>
          <w:highlight w:val="none"/>
          <w:lang w:val="en-US" w:eastAsia="zh-CN"/>
        </w:rPr>
      </w:pPr>
      <w:r>
        <w:rPr>
          <w:rFonts w:hint="default" w:ascii="Times New Roman" w:hAnsi="Times New Roman" w:cs="Times New Roman"/>
          <w:color w:val="auto"/>
          <w:highlight w:val="none"/>
          <w:lang w:val="en-US" w:eastAsia="zh-CN"/>
        </w:rPr>
        <w:t>3.</w:t>
      </w:r>
      <w:r>
        <w:rPr>
          <w:rFonts w:hint="default" w:ascii="Times New Roman" w:hAnsi="Times New Roman" w:eastAsia="仿宋_GB2312" w:cs="Times New Roman"/>
          <w:sz w:val="32"/>
          <w:szCs w:val="32"/>
          <w:highlight w:val="none"/>
        </w:rPr>
        <w:t>根据《湖南省财政厅关于开展2025年度省级预算部门绩效自评和部门评价的通知》（湘财绩〔202</w:t>
      </w:r>
      <w:r>
        <w:rPr>
          <w:rFonts w:hint="default" w:ascii="Times New Roman" w:hAnsi="Times New Roman" w:eastAsia="仿宋_GB2312" w:cs="Times New Roman"/>
          <w:sz w:val="32"/>
          <w:szCs w:val="32"/>
          <w:highlight w:val="none"/>
          <w:lang w:val="en-US" w:eastAsia="zh-CN"/>
        </w:rPr>
        <w:t>6</w:t>
      </w:r>
      <w:r>
        <w:rPr>
          <w:rFonts w:hint="default" w:ascii="Times New Roman" w:hAnsi="Times New Roman" w:eastAsia="仿宋_GB2312" w:cs="Times New Roman"/>
          <w:sz w:val="32"/>
          <w:szCs w:val="32"/>
          <w:highlight w:val="none"/>
        </w:rPr>
        <w:t>〕2号）</w:t>
      </w:r>
      <w:r>
        <w:rPr>
          <w:rFonts w:hint="default" w:ascii="Times New Roman" w:hAnsi="Times New Roman" w:eastAsia="仿宋_GB2312" w:cs="Times New Roman"/>
          <w:color w:val="auto"/>
          <w:sz w:val="32"/>
          <w:szCs w:val="32"/>
          <w:highlight w:val="none"/>
        </w:rPr>
        <w:t>文件</w:t>
      </w:r>
    </w:p>
    <w:p w14:paraId="7FC66D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4</w:t>
      </w:r>
      <w:r>
        <w:rPr>
          <w:rFonts w:hint="default" w:ascii="Times New Roman" w:hAnsi="Times New Roman" w:eastAsia="仿宋_GB2312" w:cs="Times New Roman"/>
          <w:color w:val="auto"/>
          <w:kern w:val="2"/>
          <w:sz w:val="32"/>
          <w:szCs w:val="32"/>
          <w:highlight w:val="none"/>
          <w:lang w:val="en-US" w:eastAsia="zh-CN" w:bidi="ar"/>
        </w:rPr>
        <w:t>.“三定”方案、中长期事业发展规划及年度工作计划</w:t>
      </w:r>
      <w:r>
        <w:rPr>
          <w:rFonts w:hint="default" w:ascii="Times New Roman" w:hAnsi="Times New Roman" w:cs="Times New Roman"/>
          <w:color w:val="auto"/>
          <w:kern w:val="2"/>
          <w:sz w:val="32"/>
          <w:szCs w:val="32"/>
          <w:highlight w:val="none"/>
          <w:lang w:val="en-US" w:eastAsia="zh-CN" w:bidi="ar"/>
        </w:rPr>
        <w:t>；</w:t>
      </w:r>
    </w:p>
    <w:p w14:paraId="3CB0D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5</w:t>
      </w:r>
      <w:r>
        <w:rPr>
          <w:rFonts w:hint="default" w:ascii="Times New Roman" w:hAnsi="Times New Roman" w:eastAsia="仿宋_GB2312" w:cs="Times New Roman"/>
          <w:color w:val="auto"/>
          <w:kern w:val="2"/>
          <w:sz w:val="32"/>
          <w:szCs w:val="32"/>
          <w:highlight w:val="none"/>
          <w:lang w:val="en-US" w:eastAsia="zh-CN" w:bidi="ar"/>
        </w:rPr>
        <w:t>.预算批复时确定的绩效目标及指标，预算部门年度预算执行情况，年度决算报告等相关材料</w:t>
      </w:r>
      <w:r>
        <w:rPr>
          <w:rFonts w:hint="default" w:ascii="Times New Roman" w:hAnsi="Times New Roman" w:cs="Times New Roman"/>
          <w:color w:val="auto"/>
          <w:kern w:val="2"/>
          <w:sz w:val="32"/>
          <w:szCs w:val="32"/>
          <w:highlight w:val="none"/>
          <w:lang w:val="en-US" w:eastAsia="zh-CN" w:bidi="ar"/>
        </w:rPr>
        <w:t>；</w:t>
      </w:r>
    </w:p>
    <w:p w14:paraId="1B6870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6</w:t>
      </w:r>
      <w:r>
        <w:rPr>
          <w:rFonts w:hint="default" w:ascii="Times New Roman" w:hAnsi="Times New Roman" w:eastAsia="仿宋_GB2312" w:cs="Times New Roman"/>
          <w:color w:val="auto"/>
          <w:kern w:val="2"/>
          <w:sz w:val="32"/>
          <w:szCs w:val="32"/>
          <w:highlight w:val="none"/>
          <w:lang w:val="en-US" w:eastAsia="zh-CN" w:bidi="ar"/>
        </w:rPr>
        <w:t>.项目</w:t>
      </w:r>
      <w:r>
        <w:rPr>
          <w:rFonts w:hint="eastAsia" w:ascii="Times New Roman" w:hAnsi="Times New Roman" w:cs="Times New Roman"/>
          <w:color w:val="auto"/>
          <w:kern w:val="2"/>
          <w:sz w:val="32"/>
          <w:szCs w:val="32"/>
          <w:highlight w:val="none"/>
          <w:lang w:val="en-US" w:eastAsia="zh-CN" w:bidi="ar"/>
        </w:rPr>
        <w:t>立项</w:t>
      </w:r>
      <w:r>
        <w:rPr>
          <w:rFonts w:hint="default" w:ascii="Times New Roman" w:hAnsi="Times New Roman" w:eastAsia="仿宋_GB2312" w:cs="Times New Roman"/>
          <w:color w:val="auto"/>
          <w:kern w:val="2"/>
          <w:sz w:val="32"/>
          <w:szCs w:val="32"/>
          <w:highlight w:val="none"/>
          <w:lang w:val="en-US" w:eastAsia="zh-CN" w:bidi="ar"/>
        </w:rPr>
        <w:t>背景和目标，项目及资金管理办法、财务资料；</w:t>
      </w:r>
    </w:p>
    <w:p w14:paraId="13446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7.</w:t>
      </w:r>
      <w:r>
        <w:rPr>
          <w:rFonts w:hint="default" w:ascii="Times New Roman" w:hAnsi="Times New Roman" w:eastAsia="仿宋_GB2312" w:cs="Times New Roman"/>
          <w:color w:val="auto"/>
          <w:kern w:val="2"/>
          <w:sz w:val="32"/>
          <w:szCs w:val="32"/>
          <w:highlight w:val="none"/>
          <w:lang w:val="en-US" w:eastAsia="zh-CN" w:bidi="ar"/>
        </w:rPr>
        <w:t>人大预决算审查报告、审计报告及决定、财政稽核监督报告等；</w:t>
      </w:r>
    </w:p>
    <w:p w14:paraId="7C148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8.</w:t>
      </w:r>
      <w:r>
        <w:rPr>
          <w:rFonts w:hint="default" w:ascii="Times New Roman" w:hAnsi="Times New Roman" w:eastAsia="仿宋_GB2312" w:cs="Times New Roman"/>
          <w:color w:val="auto"/>
          <w:kern w:val="2"/>
          <w:sz w:val="32"/>
          <w:szCs w:val="32"/>
          <w:highlight w:val="none"/>
          <w:lang w:val="en-US" w:eastAsia="zh-CN" w:bidi="ar"/>
        </w:rPr>
        <w:t>相关行业政策、行业标准及专业技术规范；</w:t>
      </w:r>
    </w:p>
    <w:p w14:paraId="5B437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cs="Times New Roman"/>
          <w:color w:val="auto"/>
          <w:kern w:val="2"/>
          <w:sz w:val="32"/>
          <w:szCs w:val="32"/>
          <w:highlight w:val="none"/>
          <w:lang w:val="en-US" w:eastAsia="zh-CN" w:bidi="ar"/>
        </w:rPr>
        <w:t>9</w:t>
      </w:r>
      <w:r>
        <w:rPr>
          <w:rFonts w:hint="default" w:ascii="Times New Roman" w:hAnsi="Times New Roman" w:eastAsia="仿宋_GB2312" w:cs="Times New Roman"/>
          <w:color w:val="auto"/>
          <w:kern w:val="2"/>
          <w:sz w:val="32"/>
          <w:szCs w:val="32"/>
          <w:highlight w:val="none"/>
          <w:lang w:val="en-US" w:eastAsia="zh-CN" w:bidi="ar"/>
        </w:rPr>
        <w:t>.其他相关资料。</w:t>
      </w:r>
    </w:p>
    <w:p w14:paraId="472E2139">
      <w:pPr>
        <w:pStyle w:val="4"/>
        <w:keepNext w:val="0"/>
        <w:keepLines w:val="0"/>
        <w:widowControl w:val="0"/>
        <w:suppressLineNumbers w:val="0"/>
        <w:bidi w:val="0"/>
        <w:spacing w:before="0" w:beforeAutospacing="0" w:after="0" w:afterAutospacing="0"/>
        <w:ind w:left="0" w:right="0"/>
        <w:jc w:val="both"/>
        <w:rPr>
          <w:rFonts w:hint="default" w:ascii="Times New Roman" w:hAnsi="Times New Roman" w:eastAsia="楷体_GB2312" w:cs="Times New Roman"/>
          <w:b/>
          <w:bCs/>
          <w:color w:val="auto"/>
          <w:highlight w:val="none"/>
        </w:rPr>
      </w:pPr>
      <w:bookmarkStart w:id="37" w:name="_Toc10053"/>
      <w:r>
        <w:rPr>
          <w:rFonts w:hint="default" w:ascii="Times New Roman" w:hAnsi="Times New Roman" w:eastAsia="楷体_GB2312" w:cs="Times New Roman"/>
          <w:b/>
          <w:bCs/>
          <w:color w:val="auto"/>
          <w:highlight w:val="none"/>
        </w:rPr>
        <w:t>（二）</w:t>
      </w:r>
      <w:r>
        <w:rPr>
          <w:rFonts w:hint="default" w:ascii="Times New Roman" w:hAnsi="Times New Roman" w:cs="Times New Roman"/>
          <w:b/>
          <w:bCs/>
          <w:color w:val="auto"/>
          <w:highlight w:val="none"/>
          <w:lang w:val="en-US" w:eastAsia="zh-CN"/>
        </w:rPr>
        <w:t>自评</w:t>
      </w:r>
      <w:r>
        <w:rPr>
          <w:rFonts w:hint="default" w:ascii="Times New Roman" w:hAnsi="Times New Roman" w:eastAsia="楷体_GB2312" w:cs="Times New Roman"/>
          <w:b/>
          <w:bCs/>
          <w:color w:val="auto"/>
          <w:highlight w:val="none"/>
        </w:rPr>
        <w:t>程序</w:t>
      </w:r>
      <w:bookmarkEnd w:id="37"/>
    </w:p>
    <w:p w14:paraId="58A6C0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default" w:ascii="Times New Roman" w:hAnsi="Times New Roman" w:eastAsia="仿宋_GB2312" w:cs="Times New Roman"/>
          <w:color w:val="auto"/>
          <w:kern w:val="2"/>
          <w:sz w:val="32"/>
          <w:szCs w:val="32"/>
          <w:highlight w:val="none"/>
          <w:lang w:val="en-US" w:eastAsia="zh-CN" w:bidi="ar"/>
        </w:rPr>
      </w:pPr>
      <w:r>
        <w:rPr>
          <w:rFonts w:hint="default" w:ascii="Times New Roman" w:hAnsi="Times New Roman" w:eastAsia="仿宋_GB2312" w:cs="Times New Roman"/>
          <w:color w:val="auto"/>
          <w:kern w:val="2"/>
          <w:sz w:val="32"/>
          <w:szCs w:val="32"/>
          <w:highlight w:val="none"/>
          <w:lang w:val="en-US" w:eastAsia="zh-CN" w:bidi="ar"/>
        </w:rPr>
        <w:t>本次部门整体支出绩效自评工作开展程序包括工作布置、直属单位自查、现场抽查评价、出具报告四个阶段。</w:t>
      </w:r>
    </w:p>
    <w:p w14:paraId="53C0FC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
        </w:rPr>
        <w:t>1.工作布置</w:t>
      </w:r>
      <w:r>
        <w:rPr>
          <w:rFonts w:hint="default" w:ascii="Times New Roman" w:hAnsi="Times New Roman" w:eastAsia="仿宋_GB2312" w:cs="Times New Roman"/>
          <w:b/>
          <w:bCs/>
          <w:color w:val="auto"/>
          <w:kern w:val="2"/>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成立以财务牵头、相关业务处室人员参加的绩效评价工作组，负责组织制定绩效自评工作方案、下达绩效自评通知书、组织厅本级及所属单位自评、审核自评材料、撰写自评报告等工作</w:t>
      </w:r>
      <w:r>
        <w:rPr>
          <w:rFonts w:hint="default" w:ascii="Times New Roman" w:hAnsi="Times New Roman" w:eastAsia="仿宋_GB2312" w:cs="Times New Roman"/>
          <w:color w:val="auto"/>
          <w:kern w:val="2"/>
          <w:sz w:val="32"/>
          <w:szCs w:val="32"/>
          <w:highlight w:val="none"/>
          <w:lang w:eastAsia="zh-CN" w:bidi="ar"/>
        </w:rPr>
        <w:t>。</w:t>
      </w:r>
    </w:p>
    <w:p w14:paraId="573406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
        </w:rPr>
        <w:t>2.直属单位自查</w:t>
      </w:r>
      <w:r>
        <w:rPr>
          <w:rFonts w:hint="default" w:ascii="Times New Roman" w:hAnsi="Times New Roman" w:eastAsia="仿宋_GB2312" w:cs="Times New Roman"/>
          <w:b/>
          <w:bCs/>
          <w:color w:val="auto"/>
          <w:kern w:val="2"/>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厅所属单位根据绩效评价通知要求进行自评，填报部门整体支出绩效评价基础数据表</w:t>
      </w:r>
      <w:r>
        <w:rPr>
          <w:rFonts w:hint="default" w:ascii="Times New Roman" w:hAnsi="Times New Roman" w:eastAsia="仿宋_GB2312" w:cs="Times New Roman"/>
          <w:color w:val="auto"/>
          <w:kern w:val="2"/>
          <w:sz w:val="32"/>
          <w:szCs w:val="32"/>
          <w:highlight w:val="none"/>
          <w:lang w:eastAsia="zh-CN" w:bidi="ar"/>
        </w:rPr>
        <w:t>、</w:t>
      </w:r>
      <w:r>
        <w:rPr>
          <w:rFonts w:hint="default" w:ascii="Times New Roman" w:hAnsi="Times New Roman" w:cs="Times New Roman"/>
          <w:color w:val="auto"/>
          <w:kern w:val="2"/>
          <w:sz w:val="32"/>
          <w:szCs w:val="32"/>
          <w:highlight w:val="none"/>
          <w:lang w:eastAsia="zh-CN" w:bidi="ar"/>
        </w:rPr>
        <w:t>绩效</w:t>
      </w:r>
      <w:r>
        <w:rPr>
          <w:rFonts w:hint="default" w:ascii="Times New Roman" w:hAnsi="Times New Roman" w:eastAsia="仿宋_GB2312" w:cs="Times New Roman"/>
          <w:color w:val="auto"/>
          <w:kern w:val="2"/>
          <w:sz w:val="32"/>
          <w:szCs w:val="32"/>
          <w:highlight w:val="none"/>
          <w:lang w:val="en-US" w:eastAsia="zh-CN" w:bidi="ar"/>
        </w:rPr>
        <w:t>自评表</w:t>
      </w:r>
      <w:r>
        <w:rPr>
          <w:rFonts w:hint="default" w:ascii="Times New Roman" w:hAnsi="Times New Roman" w:eastAsia="仿宋_GB2312" w:cs="Times New Roman"/>
          <w:color w:val="auto"/>
          <w:kern w:val="2"/>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项目支出绩效自评表，按照规定的文本格式和要求撰写单位整体支出绩效自评报告。</w:t>
      </w:r>
    </w:p>
    <w:p w14:paraId="607830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auto"/>
          <w:kern w:val="2"/>
          <w:sz w:val="32"/>
          <w:szCs w:val="32"/>
          <w:highlight w:val="none"/>
        </w:rPr>
      </w:pPr>
      <w:r>
        <w:rPr>
          <w:rFonts w:hint="default" w:ascii="Times New Roman" w:hAnsi="Times New Roman" w:eastAsia="仿宋_GB2312" w:cs="Times New Roman"/>
          <w:b/>
          <w:bCs/>
          <w:color w:val="auto"/>
          <w:kern w:val="2"/>
          <w:sz w:val="32"/>
          <w:szCs w:val="32"/>
          <w:highlight w:val="none"/>
          <w:lang w:val="en-US" w:eastAsia="zh-CN" w:bidi="ar"/>
        </w:rPr>
        <w:t>3.</w:t>
      </w:r>
      <w:r>
        <w:rPr>
          <w:rFonts w:hint="default" w:ascii="Times New Roman" w:hAnsi="Times New Roman" w:cs="Times New Roman"/>
          <w:b/>
          <w:bCs/>
          <w:color w:val="auto"/>
          <w:kern w:val="2"/>
          <w:sz w:val="32"/>
          <w:szCs w:val="32"/>
          <w:highlight w:val="none"/>
          <w:lang w:val="en-US" w:eastAsia="zh-CN" w:bidi="ar"/>
        </w:rPr>
        <w:t>绩效自评汇总</w:t>
      </w:r>
      <w:r>
        <w:rPr>
          <w:rFonts w:hint="default" w:ascii="Times New Roman" w:hAnsi="Times New Roman" w:eastAsia="仿宋_GB2312" w:cs="Times New Roman"/>
          <w:b/>
          <w:bCs/>
          <w:color w:val="auto"/>
          <w:kern w:val="2"/>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绩效评价工作组在自评结</w:t>
      </w:r>
      <w:r>
        <w:rPr>
          <w:rFonts w:hint="default" w:ascii="Times New Roman" w:hAnsi="Times New Roman" w:cs="Times New Roman"/>
          <w:color w:val="auto"/>
          <w:kern w:val="2"/>
          <w:sz w:val="32"/>
          <w:szCs w:val="32"/>
          <w:highlight w:val="none"/>
          <w:lang w:val="en-US" w:eastAsia="zh-CN" w:bidi="ar"/>
        </w:rPr>
        <w:t>束后</w:t>
      </w:r>
      <w:r>
        <w:rPr>
          <w:rFonts w:hint="default" w:ascii="Times New Roman" w:hAnsi="Times New Roman" w:eastAsia="仿宋_GB2312" w:cs="Times New Roman"/>
          <w:color w:val="auto"/>
          <w:kern w:val="2"/>
          <w:sz w:val="32"/>
          <w:szCs w:val="32"/>
          <w:highlight w:val="none"/>
          <w:lang w:eastAsia="zh-CN" w:bidi="ar"/>
        </w:rPr>
        <w:t>，</w:t>
      </w:r>
      <w:r>
        <w:rPr>
          <w:rFonts w:hint="default" w:ascii="Times New Roman" w:hAnsi="Times New Roman" w:eastAsia="仿宋_GB2312" w:cs="Times New Roman"/>
          <w:color w:val="auto"/>
          <w:kern w:val="2"/>
          <w:sz w:val="32"/>
          <w:szCs w:val="32"/>
          <w:highlight w:val="none"/>
          <w:lang w:val="en-US" w:eastAsia="zh-CN" w:bidi="ar"/>
        </w:rPr>
        <w:t>组织人员</w:t>
      </w:r>
      <w:r>
        <w:rPr>
          <w:rFonts w:hint="default" w:ascii="Times New Roman" w:hAnsi="Times New Roman" w:cs="Times New Roman"/>
          <w:color w:val="auto"/>
          <w:kern w:val="2"/>
          <w:sz w:val="32"/>
          <w:szCs w:val="32"/>
          <w:highlight w:val="none"/>
          <w:lang w:val="en-US" w:eastAsia="zh-CN" w:bidi="ar"/>
        </w:rPr>
        <w:t>对</w:t>
      </w:r>
      <w:r>
        <w:rPr>
          <w:rFonts w:hint="default" w:ascii="Times New Roman" w:hAnsi="Times New Roman" w:cs="Times New Roman"/>
          <w:color w:val="auto"/>
          <w:kern w:val="2"/>
          <w:sz w:val="32"/>
          <w:szCs w:val="32"/>
          <w:highlight w:val="none"/>
          <w:lang w:val="en-US" w:eastAsia="zh-CN" w:bidi="ar"/>
        </w:rPr>
        <w:t>二级预算单位绩效自评材料进行复核</w:t>
      </w:r>
      <w:r>
        <w:rPr>
          <w:rFonts w:hint="default" w:ascii="Times New Roman" w:hAnsi="Times New Roman" w:eastAsia="仿宋_GB2312" w:cs="Times New Roman"/>
          <w:color w:val="auto"/>
          <w:kern w:val="2"/>
          <w:sz w:val="32"/>
          <w:szCs w:val="32"/>
          <w:highlight w:val="none"/>
          <w:lang w:val="en-US" w:eastAsia="zh-CN" w:bidi="ar"/>
        </w:rPr>
        <w:t>，形成绩效评价底稿。综合前期资料审核和分析等情况，形成绩效评价总体结论，经过</w:t>
      </w:r>
      <w:r>
        <w:rPr>
          <w:rFonts w:hint="default" w:ascii="Times New Roman" w:hAnsi="Times New Roman" w:eastAsia="仿宋_GB2312" w:cs="Times New Roman"/>
          <w:color w:val="auto"/>
          <w:kern w:val="2"/>
          <w:sz w:val="32"/>
          <w:szCs w:val="32"/>
          <w:highlight w:val="none"/>
          <w:lang w:eastAsia="zh-CN" w:bidi="ar"/>
        </w:rPr>
        <w:t>审核后，</w:t>
      </w:r>
      <w:r>
        <w:rPr>
          <w:rFonts w:hint="default" w:ascii="Times New Roman" w:hAnsi="Times New Roman" w:eastAsia="仿宋_GB2312" w:cs="Times New Roman"/>
          <w:color w:val="auto"/>
          <w:kern w:val="2"/>
          <w:sz w:val="32"/>
          <w:szCs w:val="32"/>
          <w:highlight w:val="none"/>
          <w:lang w:val="en-US" w:eastAsia="zh-CN" w:bidi="ar"/>
        </w:rPr>
        <w:t>形成正式绩效评价报告。</w:t>
      </w:r>
    </w:p>
    <w:p w14:paraId="5A06F0E3">
      <w:pPr>
        <w:pStyle w:val="4"/>
        <w:keepNext/>
        <w:keepLines/>
        <w:widowControl w:val="0"/>
        <w:suppressLineNumbers w:val="0"/>
        <w:autoSpaceDE w:val="0"/>
        <w:autoSpaceDN/>
        <w:bidi w:val="0"/>
        <w:ind w:left="0" w:firstLine="643" w:firstLineChars="200"/>
        <w:rPr>
          <w:rFonts w:hint="default" w:ascii="Times New Roman" w:hAnsi="Times New Roman" w:eastAsia="楷体_GB2312" w:cs="Times New Roman"/>
          <w:b/>
          <w:bCs w:val="0"/>
          <w:color w:val="auto"/>
          <w:kern w:val="2"/>
          <w:sz w:val="32"/>
          <w:szCs w:val="32"/>
          <w:highlight w:val="none"/>
        </w:rPr>
      </w:pPr>
      <w:bookmarkStart w:id="38" w:name="_Toc30382"/>
      <w:r>
        <w:rPr>
          <w:rFonts w:hint="default" w:ascii="Times New Roman" w:hAnsi="Times New Roman" w:eastAsia="楷体_GB2312" w:cs="Times New Roman"/>
          <w:b/>
          <w:bCs w:val="0"/>
          <w:color w:val="auto"/>
          <w:kern w:val="2"/>
          <w:sz w:val="32"/>
          <w:szCs w:val="32"/>
          <w:highlight w:val="none"/>
        </w:rPr>
        <w:t>（三）自评结果</w:t>
      </w:r>
      <w:bookmarkEnd w:id="38"/>
    </w:p>
    <w:p w14:paraId="307F0E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560" w:lineRule="exact"/>
        <w:ind w:left="0" w:right="0" w:firstLine="643" w:firstLineChars="200"/>
        <w:jc w:val="both"/>
        <w:textAlignment w:val="auto"/>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1.自评报送情况。</w:t>
      </w:r>
      <w:r>
        <w:rPr>
          <w:rFonts w:hint="default" w:ascii="Times New Roman" w:hAnsi="Times New Roman" w:eastAsia="仿宋_GB2312" w:cs="Times New Roman"/>
          <w:color w:val="auto"/>
          <w:spacing w:val="0"/>
          <w:sz w:val="32"/>
          <w:szCs w:val="32"/>
          <w:highlight w:val="none"/>
          <w:lang w:val="en-US" w:eastAsia="zh-CN"/>
        </w:rPr>
        <w:t>本</w:t>
      </w:r>
      <w:r>
        <w:rPr>
          <w:rFonts w:hint="default" w:ascii="Times New Roman" w:hAnsi="Times New Roman" w:cs="Times New Roman"/>
          <w:color w:val="auto"/>
          <w:spacing w:val="0"/>
          <w:sz w:val="32"/>
          <w:szCs w:val="32"/>
          <w:highlight w:val="none"/>
          <w:lang w:val="en-US" w:eastAsia="zh-CN"/>
        </w:rPr>
        <w:t>年度</w:t>
      </w:r>
      <w:r>
        <w:rPr>
          <w:rFonts w:hint="default" w:ascii="Times New Roman" w:hAnsi="Times New Roman" w:cs="Times New Roman"/>
          <w:color w:val="auto"/>
          <w:spacing w:val="0"/>
          <w:sz w:val="32"/>
          <w:szCs w:val="32"/>
          <w:highlight w:val="none"/>
          <w:lang w:val="en-US" w:eastAsia="zh-CN"/>
        </w:rPr>
        <w:t>厅本级及</w:t>
      </w:r>
      <w:r>
        <w:rPr>
          <w:rFonts w:hint="default" w:ascii="Times New Roman" w:hAnsi="Times New Roman" w:cs="Times New Roman"/>
          <w:color w:val="auto"/>
          <w:spacing w:val="0"/>
          <w:sz w:val="32"/>
          <w:szCs w:val="32"/>
          <w:highlight w:val="none"/>
          <w:lang w:val="en-US" w:eastAsia="zh-CN"/>
        </w:rPr>
        <w:t>二级预算单位</w:t>
      </w:r>
      <w:r>
        <w:rPr>
          <w:rFonts w:hint="default" w:ascii="Times New Roman" w:hAnsi="Times New Roman" w:cs="Times New Roman"/>
          <w:color w:val="auto"/>
          <w:spacing w:val="0"/>
          <w:sz w:val="32"/>
          <w:szCs w:val="32"/>
          <w:highlight w:val="none"/>
          <w:lang w:val="en-US" w:eastAsia="zh-CN"/>
        </w:rPr>
        <w:t>均按要求</w:t>
      </w:r>
      <w:r>
        <w:rPr>
          <w:rFonts w:hint="default" w:ascii="Times New Roman" w:hAnsi="Times New Roman" w:eastAsia="仿宋_GB2312" w:cs="Times New Roman"/>
          <w:color w:val="auto"/>
          <w:spacing w:val="0"/>
          <w:sz w:val="32"/>
          <w:szCs w:val="32"/>
          <w:highlight w:val="none"/>
          <w:lang w:val="en-US" w:eastAsia="zh-CN"/>
        </w:rPr>
        <w:t>开展自评，</w:t>
      </w:r>
      <w:r>
        <w:rPr>
          <w:rFonts w:hint="default" w:ascii="Times New Roman" w:hAnsi="Times New Roman" w:cs="Times New Roman"/>
          <w:color w:val="auto"/>
          <w:spacing w:val="0"/>
          <w:sz w:val="32"/>
          <w:szCs w:val="32"/>
          <w:highlight w:val="none"/>
          <w:lang w:val="en-US" w:eastAsia="zh-CN"/>
        </w:rPr>
        <w:t>涵盖业务工作经费、运行维护经费、其他事业发展资金、各类省级专项资金，</w:t>
      </w:r>
      <w:r>
        <w:rPr>
          <w:rFonts w:hint="default" w:ascii="Times New Roman" w:hAnsi="Times New Roman" w:eastAsia="仿宋_GB2312" w:cs="Times New Roman"/>
          <w:color w:val="auto"/>
          <w:spacing w:val="0"/>
          <w:sz w:val="32"/>
          <w:szCs w:val="32"/>
          <w:highlight w:val="none"/>
          <w:lang w:val="en-US" w:eastAsia="zh-CN"/>
        </w:rPr>
        <w:t>自评材料报送率为</w:t>
      </w:r>
      <w:r>
        <w:rPr>
          <w:rFonts w:hint="default" w:ascii="Times New Roman" w:hAnsi="Times New Roman" w:cs="Times New Roman"/>
          <w:color w:val="auto"/>
          <w:spacing w:val="0"/>
          <w:sz w:val="32"/>
          <w:szCs w:val="32"/>
          <w:highlight w:val="none"/>
          <w:lang w:val="en-US" w:eastAsia="zh-CN"/>
        </w:rPr>
        <w:t>100</w:t>
      </w:r>
      <w:r>
        <w:rPr>
          <w:rFonts w:hint="default" w:ascii="Times New Roman" w:hAnsi="Times New Roman" w:eastAsia="仿宋_GB2312" w:cs="Times New Roman"/>
          <w:color w:val="auto"/>
          <w:spacing w:val="0"/>
          <w:sz w:val="32"/>
          <w:szCs w:val="32"/>
          <w:highlight w:val="none"/>
          <w:lang w:val="en-US" w:eastAsia="zh-CN"/>
        </w:rPr>
        <w:t>%</w:t>
      </w:r>
    </w:p>
    <w:p w14:paraId="3E54D725">
      <w:pPr>
        <w:pStyle w:val="11"/>
        <w:keepNext w:val="0"/>
        <w:keepLines w:val="0"/>
        <w:pageBreakBefore w:val="0"/>
        <w:widowControl w:val="0"/>
        <w:numPr>
          <w:ilvl w:val="0"/>
          <w:numId w:val="0"/>
        </w:numPr>
        <w:kinsoku/>
        <w:wordWrap/>
        <w:overflowPunct/>
        <w:topLinePunct w:val="0"/>
        <w:autoSpaceDE w:val="0"/>
        <w:autoSpaceDN w:val="0"/>
        <w:bidi w:val="0"/>
        <w:adjustRightInd w:val="0"/>
        <w:snapToGrid w:val="0"/>
        <w:spacing w:before="0" w:beforeAutospacing="0" w:after="0" w:line="560" w:lineRule="exact"/>
        <w:ind w:right="0" w:rightChars="0" w:firstLine="643" w:firstLineChars="200"/>
        <w:jc w:val="both"/>
        <w:textAlignment w:val="baseline"/>
        <w:rPr>
          <w:rFonts w:hint="default" w:ascii="Times New Roman" w:hAnsi="Times New Roman" w:eastAsia="仿宋_GB2312" w:cs="Times New Roman"/>
          <w:color w:val="auto"/>
          <w:spacing w:val="0"/>
          <w:sz w:val="32"/>
          <w:szCs w:val="32"/>
          <w:highlight w:val="none"/>
          <w:lang w:val="en-US" w:eastAsia="zh-CN"/>
        </w:rPr>
      </w:pPr>
      <w:r>
        <w:rPr>
          <w:rFonts w:hint="default" w:ascii="Times New Roman" w:hAnsi="Times New Roman" w:eastAsia="仿宋_GB2312" w:cs="Times New Roman"/>
          <w:b/>
          <w:bCs/>
          <w:color w:val="auto"/>
          <w:spacing w:val="0"/>
          <w:sz w:val="32"/>
          <w:szCs w:val="32"/>
          <w:highlight w:val="none"/>
          <w:lang w:val="en-US" w:eastAsia="zh-CN"/>
        </w:rPr>
        <w:t>2.预算执行情况。</w:t>
      </w:r>
      <w:r>
        <w:rPr>
          <w:rFonts w:hint="default" w:ascii="Times New Roman" w:hAnsi="Times New Roman" w:eastAsia="仿宋_GB2312" w:cs="Times New Roman"/>
          <w:b w:val="0"/>
          <w:bCs w:val="0"/>
          <w:color w:val="auto"/>
          <w:spacing w:val="0"/>
          <w:sz w:val="32"/>
          <w:szCs w:val="32"/>
          <w:highlight w:val="none"/>
          <w:lang w:val="en-US" w:eastAsia="zh-CN"/>
        </w:rPr>
        <w:t>根据单位指标执行情况统计表，2</w:t>
      </w:r>
      <w:r>
        <w:rPr>
          <w:rFonts w:hint="default" w:ascii="Times New Roman" w:hAnsi="Times New Roman" w:eastAsia="仿宋_GB2312" w:cs="Times New Roman"/>
          <w:color w:val="auto"/>
          <w:spacing w:val="0"/>
          <w:sz w:val="32"/>
          <w:szCs w:val="32"/>
          <w:highlight w:val="none"/>
          <w:lang w:val="en-US" w:eastAsia="zh-CN"/>
        </w:rPr>
        <w:t>025年度，厅系统总指标额为153,602.7万元，实际支付123,503.12万元，综合预算执行率为80.40%。其中，</w:t>
      </w:r>
      <w:r>
        <w:rPr>
          <w:rFonts w:hint="default" w:ascii="Times New Roman" w:hAnsi="Times New Roman" w:eastAsia="仿宋_GB2312" w:cs="Times New Roman"/>
          <w:color w:val="auto"/>
          <w:spacing w:val="0"/>
          <w:sz w:val="32"/>
          <w:szCs w:val="32"/>
          <w:highlight w:val="none"/>
          <w:lang w:val="en-US" w:eastAsia="zh-CN"/>
        </w:rPr>
        <w:t>预算执行率在80%以上的</w:t>
      </w:r>
      <w:r>
        <w:rPr>
          <w:rFonts w:hint="default" w:ascii="Times New Roman" w:hAnsi="Times New Roman" w:eastAsia="仿宋_GB2312" w:cs="Times New Roman"/>
          <w:color w:val="auto"/>
          <w:spacing w:val="0"/>
          <w:sz w:val="32"/>
          <w:szCs w:val="32"/>
          <w:highlight w:val="none"/>
          <w:lang w:val="en-US" w:eastAsia="zh-CN"/>
        </w:rPr>
        <w:t>8</w:t>
      </w:r>
      <w:r>
        <w:rPr>
          <w:rFonts w:hint="default" w:ascii="Times New Roman" w:hAnsi="Times New Roman" w:eastAsia="仿宋_GB2312" w:cs="Times New Roman"/>
          <w:color w:val="auto"/>
          <w:spacing w:val="0"/>
          <w:sz w:val="32"/>
          <w:szCs w:val="32"/>
          <w:highlight w:val="none"/>
          <w:lang w:val="en-US" w:eastAsia="zh-CN"/>
        </w:rPr>
        <w:t>家、70%（含）</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eastAsia="仿宋_GB2312" w:cs="Times New Roman"/>
          <w:color w:val="auto"/>
          <w:spacing w:val="0"/>
          <w:sz w:val="32"/>
          <w:szCs w:val="32"/>
          <w:highlight w:val="none"/>
          <w:lang w:val="en-US" w:eastAsia="zh-CN"/>
        </w:rPr>
        <w:t>80%的</w:t>
      </w:r>
      <w:r>
        <w:rPr>
          <w:rFonts w:hint="default" w:ascii="Times New Roman" w:hAnsi="Times New Roman" w:eastAsia="仿宋_GB2312" w:cs="Times New Roman"/>
          <w:color w:val="auto"/>
          <w:spacing w:val="0"/>
          <w:sz w:val="32"/>
          <w:szCs w:val="32"/>
          <w:highlight w:val="none"/>
          <w:lang w:val="en-US" w:eastAsia="zh-CN"/>
        </w:rPr>
        <w:t>4</w:t>
      </w:r>
      <w:r>
        <w:rPr>
          <w:rFonts w:hint="default" w:ascii="Times New Roman" w:hAnsi="Times New Roman" w:eastAsia="仿宋_GB2312" w:cs="Times New Roman"/>
          <w:color w:val="auto"/>
          <w:spacing w:val="0"/>
          <w:sz w:val="32"/>
          <w:szCs w:val="32"/>
          <w:highlight w:val="none"/>
          <w:lang w:val="en-US" w:eastAsia="zh-CN"/>
        </w:rPr>
        <w:t>家，低于7</w:t>
      </w:r>
      <w:r>
        <w:rPr>
          <w:rFonts w:hint="default" w:ascii="Times New Roman" w:hAnsi="Times New Roman" w:eastAsia="仿宋_GB2312" w:cs="Times New Roman"/>
          <w:color w:val="auto"/>
          <w:spacing w:val="0"/>
          <w:sz w:val="32"/>
          <w:szCs w:val="32"/>
          <w:highlight w:val="none"/>
          <w:lang w:val="en-US" w:eastAsia="zh"/>
        </w:rPr>
        <w:t>0</w:t>
      </w:r>
      <w:r>
        <w:rPr>
          <w:rFonts w:hint="default" w:ascii="Times New Roman" w:hAnsi="Times New Roman" w:eastAsia="仿宋_GB2312" w:cs="Times New Roman"/>
          <w:color w:val="auto"/>
          <w:spacing w:val="0"/>
          <w:sz w:val="32"/>
          <w:szCs w:val="32"/>
          <w:highlight w:val="none"/>
          <w:lang w:val="en-US" w:eastAsia="zh-CN"/>
        </w:rPr>
        <w:t>%的</w:t>
      </w:r>
      <w:r>
        <w:rPr>
          <w:rFonts w:hint="default" w:ascii="Times New Roman" w:hAnsi="Times New Roman" w:eastAsia="仿宋_GB2312" w:cs="Times New Roman"/>
          <w:color w:val="auto"/>
          <w:spacing w:val="0"/>
          <w:sz w:val="32"/>
          <w:szCs w:val="32"/>
          <w:highlight w:val="none"/>
          <w:lang w:val="en-US" w:eastAsia="zh-CN"/>
        </w:rPr>
        <w:t>4</w:t>
      </w:r>
      <w:r>
        <w:rPr>
          <w:rFonts w:hint="default" w:ascii="Times New Roman" w:hAnsi="Times New Roman" w:eastAsia="仿宋_GB2312" w:cs="Times New Roman"/>
          <w:color w:val="auto"/>
          <w:spacing w:val="0"/>
          <w:sz w:val="32"/>
          <w:szCs w:val="32"/>
          <w:highlight w:val="none"/>
          <w:lang w:val="en-US" w:eastAsia="zh-CN"/>
        </w:rPr>
        <w:t>家，总体情况良好。</w:t>
      </w:r>
    </w:p>
    <w:p w14:paraId="1353A744">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560" w:lineRule="exact"/>
        <w:ind w:left="0" w:right="0" w:firstLine="643" w:firstLineChars="200"/>
        <w:jc w:val="both"/>
        <w:textAlignment w:val="auto"/>
        <w:rPr>
          <w:rFonts w:hint="default" w:ascii="Times New Roman" w:hAnsi="Times New Roman" w:eastAsia="仿宋_GB2312" w:cs="Times New Roman"/>
          <w:color w:val="auto"/>
          <w:kern w:val="2"/>
          <w:sz w:val="32"/>
          <w:szCs w:val="32"/>
          <w:highlight w:val="none"/>
          <w:lang w:val="en-US" w:eastAsia="zh-CN" w:bidi="ar"/>
        </w:rPr>
      </w:pPr>
      <w:r>
        <w:rPr>
          <w:rFonts w:hint="default" w:ascii="Times New Roman" w:hAnsi="Times New Roman" w:cs="Times New Roman"/>
          <w:b/>
          <w:bCs/>
          <w:color w:val="auto"/>
          <w:spacing w:val="0"/>
          <w:sz w:val="32"/>
          <w:szCs w:val="32"/>
          <w:highlight w:val="none"/>
          <w:lang w:val="en-US" w:eastAsia="zh-CN"/>
        </w:rPr>
        <w:t>3</w:t>
      </w:r>
      <w:r>
        <w:rPr>
          <w:rFonts w:hint="default" w:ascii="Times New Roman" w:hAnsi="Times New Roman" w:eastAsia="仿宋_GB2312" w:cs="Times New Roman"/>
          <w:b/>
          <w:bCs/>
          <w:color w:val="auto"/>
          <w:spacing w:val="0"/>
          <w:sz w:val="32"/>
          <w:szCs w:val="32"/>
          <w:highlight w:val="none"/>
          <w:lang w:val="en-US" w:eastAsia="zh-CN"/>
        </w:rPr>
        <w:t>.绩效目标完成情况。</w:t>
      </w:r>
      <w:r>
        <w:rPr>
          <w:rFonts w:hint="default" w:ascii="Times New Roman" w:hAnsi="Times New Roman" w:cs="Times New Roman"/>
          <w:color w:val="auto"/>
          <w:spacing w:val="0"/>
          <w:sz w:val="32"/>
          <w:szCs w:val="32"/>
          <w:highlight w:val="none"/>
          <w:lang w:val="en-US" w:eastAsia="zh-CN"/>
        </w:rPr>
        <w:t>从</w:t>
      </w:r>
      <w:r>
        <w:rPr>
          <w:rFonts w:hint="default" w:ascii="Times New Roman" w:hAnsi="Times New Roman" w:eastAsia="仿宋_GB2312" w:cs="Times New Roman"/>
          <w:color w:val="auto"/>
          <w:spacing w:val="0"/>
          <w:sz w:val="32"/>
          <w:szCs w:val="32"/>
          <w:highlight w:val="none"/>
          <w:lang w:val="en-US" w:eastAsia="zh-CN"/>
        </w:rPr>
        <w:t>各单位绩效自评报告情况汇总</w:t>
      </w:r>
      <w:r>
        <w:rPr>
          <w:rFonts w:hint="default" w:ascii="Times New Roman" w:hAnsi="Times New Roman" w:cs="Times New Roman"/>
          <w:color w:val="auto"/>
          <w:spacing w:val="0"/>
          <w:sz w:val="32"/>
          <w:szCs w:val="32"/>
          <w:highlight w:val="none"/>
          <w:lang w:val="en-US" w:eastAsia="zh-CN"/>
        </w:rPr>
        <w:t>、复核结果看</w:t>
      </w:r>
      <w:r>
        <w:rPr>
          <w:rFonts w:hint="default" w:ascii="Times New Roman" w:hAnsi="Times New Roman" w:eastAsia="仿宋_GB2312" w:cs="Times New Roman"/>
          <w:color w:val="auto"/>
          <w:spacing w:val="0"/>
          <w:sz w:val="32"/>
          <w:szCs w:val="32"/>
          <w:highlight w:val="none"/>
          <w:lang w:val="en-US" w:eastAsia="zh-CN"/>
        </w:rPr>
        <w:t>，</w:t>
      </w:r>
      <w:r>
        <w:rPr>
          <w:rFonts w:hint="default" w:ascii="Times New Roman" w:hAnsi="Times New Roman" w:cs="Times New Roman"/>
          <w:color w:val="auto"/>
          <w:spacing w:val="0"/>
          <w:sz w:val="32"/>
          <w:szCs w:val="32"/>
          <w:highlight w:val="none"/>
          <w:lang w:val="en-US" w:eastAsia="zh-CN"/>
        </w:rPr>
        <w:t>各单位</w:t>
      </w:r>
      <w:r>
        <w:rPr>
          <w:rFonts w:hint="default" w:ascii="Times New Roman" w:hAnsi="Times New Roman" w:eastAsia="仿宋_GB2312" w:cs="Times New Roman"/>
          <w:color w:val="auto"/>
          <w:spacing w:val="0"/>
          <w:sz w:val="32"/>
          <w:szCs w:val="32"/>
          <w:highlight w:val="none"/>
          <w:lang w:val="en-US" w:eastAsia="zh-CN"/>
        </w:rPr>
        <w:t>年度绩效目标</w:t>
      </w:r>
      <w:r>
        <w:rPr>
          <w:rFonts w:hint="default" w:ascii="Times New Roman" w:hAnsi="Times New Roman" w:cs="Times New Roman"/>
          <w:color w:val="auto"/>
          <w:spacing w:val="0"/>
          <w:sz w:val="32"/>
          <w:szCs w:val="32"/>
          <w:highlight w:val="none"/>
          <w:lang w:val="en-US" w:eastAsia="zh-CN"/>
        </w:rPr>
        <w:t>基本</w:t>
      </w:r>
      <w:r>
        <w:rPr>
          <w:rFonts w:hint="default" w:ascii="Times New Roman" w:hAnsi="Times New Roman" w:cs="Times New Roman"/>
          <w:color w:val="auto"/>
          <w:spacing w:val="0"/>
          <w:sz w:val="32"/>
          <w:szCs w:val="32"/>
          <w:highlight w:val="none"/>
          <w:lang w:val="en-US" w:eastAsia="zh-CN"/>
        </w:rPr>
        <w:t>已完成</w:t>
      </w:r>
      <w:r>
        <w:rPr>
          <w:rFonts w:hint="default" w:ascii="Times New Roman" w:hAnsi="Times New Roman" w:eastAsia="仿宋_GB2312" w:cs="Times New Roman"/>
          <w:color w:val="auto"/>
          <w:spacing w:val="0"/>
          <w:sz w:val="32"/>
          <w:szCs w:val="32"/>
          <w:highlight w:val="none"/>
          <w:lang w:val="en-US" w:eastAsia="zh-CN"/>
        </w:rPr>
        <w:t>。</w:t>
      </w:r>
    </w:p>
    <w:p w14:paraId="6AFB5934">
      <w:pPr>
        <w:pStyle w:val="3"/>
        <w:bidi w:val="0"/>
        <w:rPr>
          <w:rFonts w:hint="default" w:ascii="Times New Roman" w:hAnsi="Times New Roman" w:cs="Times New Roman"/>
          <w:b w:val="0"/>
          <w:bCs/>
          <w:color w:val="auto"/>
          <w:highlight w:val="none"/>
          <w:lang w:val="en-US" w:eastAsia="zh-CN"/>
        </w:rPr>
      </w:pPr>
      <w:bookmarkStart w:id="39" w:name="_Toc18360"/>
      <w:r>
        <w:rPr>
          <w:rFonts w:hint="default" w:ascii="Times New Roman" w:hAnsi="Times New Roman" w:cs="Times New Roman"/>
          <w:b w:val="0"/>
          <w:bCs/>
          <w:color w:val="auto"/>
          <w:highlight w:val="none"/>
          <w:lang w:val="en-US" w:eastAsia="zh-CN"/>
        </w:rPr>
        <w:t>八、存在的问题及原因分析</w:t>
      </w:r>
      <w:bookmarkEnd w:id="39"/>
    </w:p>
    <w:p w14:paraId="4821EF6F">
      <w:pPr>
        <w:numPr>
          <w:ilvl w:val="0"/>
          <w:numId w:val="2"/>
        </w:numPr>
        <w:ind w:left="0" w:leftChars="0" w:firstLine="420" w:firstLineChars="0"/>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预算编制科学性与精准度有待进一步提升</w:t>
      </w:r>
    </w:p>
    <w:p w14:paraId="172A2F29">
      <w:pPr>
        <w:rPr>
          <w:rFonts w:hint="default" w:ascii="Times New Roman" w:hAnsi="Times New Roman" w:cs="Times New Roman"/>
          <w:lang w:val="en-US" w:eastAsia="zh-CN"/>
        </w:rPr>
      </w:pPr>
      <w:r>
        <w:rPr>
          <w:rFonts w:hint="default" w:ascii="Times New Roman" w:hAnsi="Times New Roman" w:cs="Times New Roman"/>
          <w:lang w:val="en-US" w:eastAsia="zh-CN"/>
        </w:rPr>
        <w:t>部分项目预算编制前期调研不够充分，资金测算依据不够细化、论证不够深入，对项目实施周期、推进节奏、外部环境变化、政策调整等因素预判不足，导致年初预算与年度实际执行情况存在一定偏差，预算安排与实际工作需求、资金使用进度匹配度不够高，影响了预算执行的均衡性与资金配置的有效性。</w:t>
      </w:r>
    </w:p>
    <w:p w14:paraId="4A0DFDF0">
      <w:pPr>
        <w:numPr>
          <w:ilvl w:val="0"/>
          <w:numId w:val="2"/>
        </w:numPr>
        <w:ind w:left="0" w:leftChars="0" w:firstLine="420" w:firstLineChars="0"/>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预算执行进度不均衡，年末结转结余规模偏大</w:t>
      </w:r>
    </w:p>
    <w:p w14:paraId="4B049CC3">
      <w:pPr>
        <w:rPr>
          <w:rFonts w:hint="default" w:ascii="Times New Roman" w:hAnsi="Times New Roman" w:cs="Times New Roman"/>
          <w:lang w:val="en-US" w:eastAsia="zh-CN"/>
        </w:rPr>
      </w:pPr>
      <w:r>
        <w:rPr>
          <w:rFonts w:hint="default" w:ascii="Times New Roman" w:hAnsi="Times New Roman" w:cs="Times New Roman"/>
          <w:lang w:val="en-US" w:eastAsia="zh-CN"/>
        </w:rPr>
        <w:t>年末结转结余25,317.24万元，其中项目支出结转结余占比高</w:t>
      </w:r>
      <w:r>
        <w:rPr>
          <w:rFonts w:hint="default" w:ascii="Times New Roman" w:hAnsi="Times New Roman" w:cs="Times New Roman"/>
          <w:lang w:val="en-US" w:eastAsia="zh-CN"/>
        </w:rPr>
        <w:t>。主要原因是</w:t>
      </w:r>
      <w:r>
        <w:rPr>
          <w:rFonts w:hint="default" w:ascii="Times New Roman" w:hAnsi="Times New Roman" w:cs="Times New Roman"/>
          <w:lang w:val="en-US" w:eastAsia="zh-CN"/>
        </w:rPr>
        <w:t>受项目立项、实施流程、审批环节、跨年度建设等因素影响，部分重点项目、专项资金实施进度滞后，资金支付节奏偏慢，未能按照序时进度完成支出，造成年末项目结转结余资金总量偏大，资金沉淀现象较为突出，财政资金使用效率和使用效益未能得到充分发挥，预算执行的时效性与均衡性有待加强。</w:t>
      </w:r>
    </w:p>
    <w:p w14:paraId="7AF9414E">
      <w:pPr>
        <w:numPr>
          <w:ilvl w:val="0"/>
          <w:numId w:val="2"/>
        </w:numPr>
        <w:ind w:left="0" w:leftChars="0" w:firstLine="420" w:firstLineChars="0"/>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全过程预算绩效管理体系不够健全完善</w:t>
      </w:r>
    </w:p>
    <w:p w14:paraId="5E105409">
      <w:pPr>
        <w:rPr>
          <w:rFonts w:hint="default" w:ascii="Times New Roman" w:hAnsi="Times New Roman" w:cs="Times New Roman"/>
          <w:lang w:val="en-US" w:eastAsia="zh-CN"/>
        </w:rPr>
      </w:pPr>
      <w:r>
        <w:rPr>
          <w:rFonts w:hint="default" w:ascii="Times New Roman" w:hAnsi="Times New Roman" w:cs="Times New Roman"/>
          <w:lang w:val="en-US" w:eastAsia="zh-CN"/>
        </w:rPr>
        <w:t>绩效工作与业务工作、预算管理衔接不够紧密。</w:t>
      </w:r>
      <w:r>
        <w:rPr>
          <w:rFonts w:hint="default" w:ascii="Times New Roman" w:hAnsi="Times New Roman" w:cs="Times New Roman"/>
          <w:lang w:val="en-US" w:eastAsia="zh-CN"/>
        </w:rPr>
        <w:t>一是</w:t>
      </w:r>
      <w:r>
        <w:rPr>
          <w:rFonts w:hint="default" w:ascii="Times New Roman" w:hAnsi="Times New Roman" w:cs="Times New Roman"/>
          <w:lang w:val="en-US" w:eastAsia="zh-CN"/>
        </w:rPr>
        <w:t>部分项目绩效指标设置不够细化量化，缺乏可衡量、可考核、可检验的具体标准</w:t>
      </w:r>
      <w:r>
        <w:rPr>
          <w:rFonts w:hint="default" w:ascii="Times New Roman" w:hAnsi="Times New Roman" w:cs="Times New Roman"/>
          <w:lang w:val="en-US" w:eastAsia="zh-CN"/>
        </w:rPr>
        <w:t>；二是预算执行动态监控有待强化。虽建立执行报告制度，但对跨年度项目、大额专项资金的进度跟踪、预警提醒、偏差纠偏仍不够及时，部分资金使用效率未达最优。三是</w:t>
      </w:r>
      <w:r>
        <w:rPr>
          <w:rFonts w:hint="default" w:ascii="Times New Roman" w:hAnsi="Times New Roman" w:cs="Times New Roman"/>
          <w:lang w:val="en-US" w:eastAsia="zh-CN"/>
        </w:rPr>
        <w:t>评价结果与预算安排、政策调整、项目管理挂钩应用不充分，“花钱必问效、无效必问责” 的绩效管理导向未能完全彰显。</w:t>
      </w:r>
    </w:p>
    <w:p w14:paraId="6CE5DB26">
      <w:pPr>
        <w:numPr>
          <w:ilvl w:val="0"/>
          <w:numId w:val="2"/>
        </w:numPr>
        <w:ind w:left="0" w:leftChars="0" w:firstLine="420" w:firstLineChars="0"/>
        <w:rPr>
          <w:rFonts w:hint="default" w:ascii="Times New Roman" w:hAnsi="Times New Roman" w:eastAsia="楷体_GB2312" w:cs="Times New Roman"/>
          <w:b/>
          <w:bCs/>
          <w:lang w:val="en-US" w:eastAsia="zh-CN"/>
        </w:rPr>
      </w:pPr>
      <w:r>
        <w:rPr>
          <w:rFonts w:hint="default" w:ascii="Times New Roman" w:hAnsi="Times New Roman" w:eastAsia="楷体_GB2312" w:cs="Times New Roman"/>
          <w:b/>
          <w:bCs/>
          <w:lang w:val="en-US" w:eastAsia="zh-CN"/>
        </w:rPr>
        <w:t>二级预算单位财务管理水平不均衡</w:t>
      </w:r>
    </w:p>
    <w:p w14:paraId="2759629F">
      <w:pPr>
        <w:rPr>
          <w:rFonts w:hint="default" w:ascii="Times New Roman" w:hAnsi="Times New Roman" w:cs="Times New Roman"/>
          <w:lang w:val="en-US" w:eastAsia="zh-CN"/>
        </w:rPr>
      </w:pPr>
      <w:r>
        <w:rPr>
          <w:rFonts w:hint="default" w:ascii="Times New Roman" w:hAnsi="Times New Roman" w:cs="Times New Roman"/>
          <w:lang w:val="en-US" w:eastAsia="zh-CN"/>
        </w:rPr>
        <w:t>二级预算单位在财务基础工作、内控制度执行、项目资金核算、预算执行管理等方面存在差异，部分单位财务人员力量薄弱、专业能力有待提升，项目核算不够规范、资金使用管控不够严格、内控流程执行不够到位，整体财务规范化、标准化、一体化管理水平仍需进一步提高。</w:t>
      </w:r>
    </w:p>
    <w:p w14:paraId="42F3A6B2">
      <w:pPr>
        <w:pStyle w:val="3"/>
        <w:bidi w:val="0"/>
        <w:rPr>
          <w:rFonts w:hint="default" w:ascii="Times New Roman" w:hAnsi="Times New Roman" w:eastAsia="黑体" w:cs="Times New Roman"/>
          <w:b w:val="0"/>
          <w:bCs/>
        </w:rPr>
      </w:pPr>
      <w:bookmarkStart w:id="40" w:name="_Toc5177"/>
      <w:bookmarkStart w:id="41" w:name="_Toc14986"/>
      <w:r>
        <w:rPr>
          <w:rFonts w:hint="default" w:ascii="Times New Roman" w:hAnsi="Times New Roman" w:eastAsia="黑体" w:cs="Times New Roman"/>
          <w:b w:val="0"/>
          <w:bCs/>
          <w:color w:val="auto"/>
          <w:highlight w:val="none"/>
          <w:lang w:val="en-US" w:eastAsia="zh-CN"/>
        </w:rPr>
        <w:t>七、部门整体支出绩效情况</w:t>
      </w:r>
      <w:bookmarkEnd w:id="40"/>
    </w:p>
    <w:p w14:paraId="737824AE">
      <w:pPr>
        <w:keepNext w:val="0"/>
        <w:keepLines w:val="0"/>
        <w:pageBreakBefore w:val="0"/>
        <w:widowControl w:val="0"/>
        <w:kinsoku/>
        <w:wordWrap/>
        <w:overflowPunct/>
        <w:topLinePunct w:val="0"/>
        <w:autoSpaceDE/>
        <w:autoSpaceDN/>
        <w:bidi w:val="0"/>
        <w:adjustRightInd/>
        <w:snapToGrid w:val="0"/>
        <w:spacing w:line="560" w:lineRule="exact"/>
        <w:ind w:firstLine="640" w:firstLineChars="200"/>
        <w:jc w:val="both"/>
        <w:textAlignment w:val="auto"/>
        <w:rPr>
          <w:rFonts w:hint="default" w:ascii="Times New Roman" w:hAnsi="Times New Roman" w:eastAsia="仿宋_GB2312" w:cs="Times New Roman"/>
          <w:color w:val="auto"/>
          <w:spacing w:val="0"/>
          <w:sz w:val="32"/>
          <w:szCs w:val="32"/>
          <w:u w:val="none"/>
          <w:lang w:val="en-US" w:eastAsia="zh-CN"/>
        </w:rPr>
      </w:pPr>
      <w:r>
        <w:rPr>
          <w:rFonts w:hint="default" w:ascii="Times New Roman" w:hAnsi="Times New Roman" w:eastAsia="仿宋_GB2312" w:cs="Times New Roman"/>
          <w:spacing w:val="0"/>
          <w:sz w:val="32"/>
          <w:szCs w:val="32"/>
          <w:u w:val="none"/>
          <w:lang w:val="en-US" w:eastAsia="zh-CN"/>
        </w:rPr>
        <w:t>2025年围绕全省经济社会发展大局，立足万亿产业新起点，锚定建设文化强省和世界旅游目的地目标，奋力打好“十四五”收官战。全年接待游客8.19亿人次，实现游客总花费11576.3亿元，同口径比分别增长10.56%、9.02%。前三季度，全省规上文旅及相关产业企业达7629家，营收3388.79亿元，同比分别增长10.3%、8.6%。</w:t>
      </w:r>
    </w:p>
    <w:p w14:paraId="214CB1EB">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仿宋_GB2312" w:cs="Times New Roman"/>
          <w:color w:val="auto"/>
          <w:spacing w:val="0"/>
          <w:sz w:val="32"/>
          <w:szCs w:val="32"/>
          <w:u w:val="none"/>
          <w:lang w:val="en-US" w:eastAsia="zh-CN"/>
        </w:rPr>
      </w:pPr>
      <w:r>
        <w:rPr>
          <w:rFonts w:hint="default" w:ascii="Times New Roman" w:hAnsi="Times New Roman" w:eastAsia="楷体_GB2312" w:cs="Times New Roman"/>
          <w:b/>
          <w:bCs/>
          <w:spacing w:val="0"/>
          <w:sz w:val="32"/>
          <w:szCs w:val="32"/>
          <w:u w:val="none"/>
          <w:lang w:val="en-US" w:eastAsia="zh-CN"/>
        </w:rPr>
        <w:t>（一）</w:t>
      </w:r>
      <w:r>
        <w:rPr>
          <w:rFonts w:hint="default" w:ascii="Times New Roman" w:hAnsi="Times New Roman" w:eastAsia="楷体_GB2312" w:cs="Times New Roman"/>
          <w:b/>
          <w:bCs/>
          <w:spacing w:val="0"/>
          <w:sz w:val="32"/>
          <w:szCs w:val="32"/>
          <w:u w:val="none"/>
          <w:lang w:val="en-US" w:eastAsia="zh-CN"/>
        </w:rPr>
        <w:t>提振文旅消费，促进产业倍增。</w:t>
      </w:r>
      <w:r>
        <w:rPr>
          <w:rFonts w:hint="default" w:ascii="Times New Roman" w:hAnsi="Times New Roman" w:eastAsia="仿宋_GB2312" w:cs="Times New Roman"/>
          <w:color w:val="auto"/>
          <w:spacing w:val="0"/>
          <w:sz w:val="32"/>
          <w:szCs w:val="32"/>
          <w:u w:val="none"/>
          <w:lang w:val="en-US" w:eastAsia="zh-CN"/>
        </w:rPr>
        <w:t>深入</w:t>
      </w:r>
      <w:r>
        <w:rPr>
          <w:rFonts w:hint="default" w:ascii="Times New Roman" w:hAnsi="Times New Roman" w:eastAsia="仿宋_GB2312" w:cs="Times New Roman"/>
          <w:spacing w:val="0"/>
          <w:sz w:val="32"/>
          <w:szCs w:val="32"/>
          <w:u w:val="none"/>
          <w:lang w:val="en-US" w:eastAsia="zh-CN"/>
        </w:rPr>
        <w:t>实施文化创意旅游产业倍增计划和</w:t>
      </w:r>
      <w:r>
        <w:rPr>
          <w:rFonts w:hint="default" w:ascii="Times New Roman" w:hAnsi="Times New Roman" w:eastAsia="仿宋_GB2312" w:cs="Times New Roman"/>
          <w:color w:val="auto"/>
          <w:spacing w:val="0"/>
          <w:sz w:val="32"/>
          <w:szCs w:val="32"/>
          <w:u w:val="none"/>
          <w:lang w:val="en-US" w:eastAsia="zh-CN"/>
        </w:rPr>
        <w:t>提振文旅消费专项行动</w:t>
      </w:r>
      <w:r>
        <w:rPr>
          <w:rFonts w:hint="default" w:ascii="Times New Roman" w:hAnsi="Times New Roman" w:eastAsia="仿宋_GB2312" w:cs="Times New Roman"/>
          <w:spacing w:val="0"/>
          <w:sz w:val="32"/>
          <w:szCs w:val="32"/>
          <w:u w:val="none"/>
          <w:lang w:val="en-US" w:eastAsia="zh-CN"/>
        </w:rPr>
        <w:t>，联合14部门出台《湖南省推进文化创意旅游产业链高质量建设的若干举措》，指导</w:t>
      </w:r>
      <w:r>
        <w:rPr>
          <w:rFonts w:hint="default" w:ascii="Times New Roman" w:hAnsi="Times New Roman" w:eastAsia="仿宋_GB2312" w:cs="Times New Roman"/>
          <w:color w:val="auto"/>
          <w:spacing w:val="0"/>
          <w:sz w:val="32"/>
          <w:szCs w:val="32"/>
          <w:u w:val="none"/>
          <w:lang w:val="en-US" w:eastAsia="zh-CN"/>
        </w:rPr>
        <w:t>开展“潮起潇湘相约湖南”文旅消费季、“湘超，超好玩”等系列促消费活动3000余场，</w:t>
      </w:r>
      <w:r>
        <w:rPr>
          <w:rFonts w:hint="default" w:ascii="Times New Roman" w:hAnsi="Times New Roman" w:eastAsia="仿宋_GB2312" w:cs="Times New Roman"/>
          <w:b w:val="0"/>
          <w:bCs w:val="0"/>
          <w:color w:val="auto"/>
          <w:spacing w:val="0"/>
          <w:sz w:val="32"/>
          <w:szCs w:val="32"/>
          <w:u w:val="none"/>
          <w:lang w:val="en" w:eastAsia="zh-CN"/>
        </w:rPr>
        <w:t>带动“</w:t>
      </w:r>
      <w:r>
        <w:rPr>
          <w:rFonts w:hint="default" w:ascii="Times New Roman" w:hAnsi="Times New Roman" w:eastAsia="仿宋_GB2312" w:cs="Times New Roman"/>
          <w:b w:val="0"/>
          <w:bCs w:val="0"/>
          <w:color w:val="auto"/>
          <w:spacing w:val="0"/>
          <w:sz w:val="32"/>
          <w:szCs w:val="32"/>
          <w:u w:val="none"/>
          <w:lang w:val="en-US" w:eastAsia="zh-CN"/>
        </w:rPr>
        <w:t>湘超</w:t>
      </w:r>
      <w:r>
        <w:rPr>
          <w:rFonts w:hint="default" w:ascii="Times New Roman" w:hAnsi="Times New Roman" w:eastAsia="仿宋_GB2312" w:cs="Times New Roman"/>
          <w:b w:val="0"/>
          <w:bCs w:val="0"/>
          <w:color w:val="auto"/>
          <w:spacing w:val="0"/>
          <w:sz w:val="32"/>
          <w:szCs w:val="32"/>
          <w:u w:val="none"/>
          <w:lang w:val="en" w:eastAsia="zh-CN"/>
        </w:rPr>
        <w:t>”文旅消费达</w:t>
      </w:r>
      <w:r>
        <w:rPr>
          <w:rFonts w:hint="default" w:ascii="Times New Roman" w:hAnsi="Times New Roman" w:eastAsia="仿宋_GB2312" w:cs="Times New Roman"/>
          <w:b w:val="0"/>
          <w:bCs w:val="0"/>
          <w:color w:val="auto"/>
          <w:spacing w:val="0"/>
          <w:sz w:val="32"/>
          <w:szCs w:val="32"/>
          <w:u w:val="none"/>
          <w:lang w:val="en-US" w:eastAsia="zh-CN"/>
        </w:rPr>
        <w:t>136.79亿元</w:t>
      </w:r>
      <w:r>
        <w:rPr>
          <w:rFonts w:hint="default" w:ascii="Times New Roman" w:hAnsi="Times New Roman" w:eastAsia="仿宋_GB2312" w:cs="Times New Roman"/>
          <w:color w:val="auto"/>
          <w:spacing w:val="0"/>
          <w:sz w:val="32"/>
          <w:szCs w:val="32"/>
          <w:u w:val="none"/>
          <w:lang w:val="en-US" w:eastAsia="zh-CN"/>
        </w:rPr>
        <w:t>。举办第五届湖南文旅投融资大会等重大产业促进活动。</w:t>
      </w:r>
      <w:r>
        <w:rPr>
          <w:rFonts w:hint="default" w:ascii="Times New Roman" w:hAnsi="Times New Roman" w:eastAsia="仿宋_GB2312" w:cs="Times New Roman"/>
          <w:b w:val="0"/>
          <w:bCs w:val="0"/>
          <w:color w:val="auto"/>
          <w:spacing w:val="0"/>
          <w:sz w:val="32"/>
          <w:szCs w:val="32"/>
          <w:u w:val="none"/>
          <w:lang w:val="en-US" w:eastAsia="zh-CN"/>
        </w:rPr>
        <w:t>全年在建总投资5000万元以上的重大文旅项目176个，总投资额1724.8亿元；1-10月，全省规模以上文化、体育和娱乐业企业营收同比增幅达10.7%，其中规模以上文化艺术业、娱乐业企业营收分别增长16.9%和21%。1-11月，</w:t>
      </w:r>
      <w:r>
        <w:rPr>
          <w:rFonts w:hint="default" w:ascii="Times New Roman" w:hAnsi="Times New Roman" w:eastAsia="仿宋_GB2312" w:cs="Times New Roman"/>
          <w:color w:val="auto"/>
          <w:spacing w:val="0"/>
          <w:sz w:val="32"/>
          <w:szCs w:val="32"/>
          <w:u w:val="none"/>
          <w:lang w:val="en-US" w:eastAsia="zh-CN"/>
        </w:rPr>
        <w:t>限额以上住宿业和餐饮业法人营业额同比增长6.4%，高于社会消费品零售总额增幅1.9个百分点，文旅消费潜力和产业发展活力得到有效释放。</w:t>
      </w:r>
    </w:p>
    <w:p w14:paraId="07CEF195">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仿宋_GB2312" w:cs="Times New Roman"/>
          <w:spacing w:val="0"/>
          <w:sz w:val="32"/>
          <w:szCs w:val="32"/>
          <w:u w:val="none"/>
          <w:lang w:val="en-US" w:eastAsia="zh-CN"/>
        </w:rPr>
      </w:pPr>
      <w:r>
        <w:rPr>
          <w:rFonts w:hint="default" w:ascii="Times New Roman" w:hAnsi="Times New Roman" w:eastAsia="楷体_GB2312" w:cs="Times New Roman"/>
          <w:b/>
          <w:bCs/>
          <w:spacing w:val="0"/>
          <w:sz w:val="32"/>
          <w:szCs w:val="32"/>
          <w:u w:val="none"/>
          <w:lang w:val="en-US" w:eastAsia="zh-CN"/>
        </w:rPr>
        <w:t>（二）</w:t>
      </w:r>
      <w:r>
        <w:rPr>
          <w:rFonts w:hint="default" w:ascii="Times New Roman" w:hAnsi="Times New Roman" w:eastAsia="楷体_GB2312" w:cs="Times New Roman"/>
          <w:b/>
          <w:bCs/>
          <w:spacing w:val="0"/>
          <w:sz w:val="32"/>
          <w:szCs w:val="32"/>
          <w:u w:val="none"/>
          <w:lang w:val="en-US" w:eastAsia="zh-CN"/>
        </w:rPr>
        <w:t>办好旅发大会，推动办会兴城。</w:t>
      </w:r>
      <w:r>
        <w:rPr>
          <w:rFonts w:hint="default" w:ascii="Times New Roman" w:hAnsi="Times New Roman" w:eastAsia="仿宋_GB2312" w:cs="Times New Roman"/>
          <w:spacing w:val="0"/>
          <w:sz w:val="32"/>
          <w:szCs w:val="32"/>
          <w:u w:val="none"/>
          <w:lang w:val="en-US" w:eastAsia="zh-CN"/>
        </w:rPr>
        <w:t>以办会兴城为目标，务实、节俭、市场化举办第四、五届湖南旅发大会。指导岳阳、怀化精心打造《今上岳阳楼》《洞庭幻境》等沉浸式产品，以及</w:t>
      </w:r>
      <w:r>
        <w:rPr>
          <w:rFonts w:hint="default" w:ascii="Times New Roman" w:hAnsi="Times New Roman" w:eastAsia="仿宋_GB2312" w:cs="Times New Roman"/>
          <w:color w:val="auto"/>
          <w:spacing w:val="0"/>
          <w:sz w:val="32"/>
          <w:szCs w:val="32"/>
          <w:u w:val="none"/>
          <w:lang w:val="en-US" w:eastAsia="zh-CN"/>
        </w:rPr>
        <w:t>“三江一湾”、天问岛、荆坪古村等文旅新地标，成功盘活洞庭湖博物馆等多处闲置文旅资产资源，实施老旧小区改造、道路交通提质、口袋公园建设等1000多处，有效压减办会活动环节和经费预算，推动大会重点项目社会投资占比明显提升。其他市州通过举办市级旅发大会，实现了基础设施建设、整体环境优化、产业融合发展、经济社会发展“四个提速”。办会成效得到社会各界的广泛认可</w:t>
      </w:r>
      <w:r>
        <w:rPr>
          <w:rFonts w:hint="default" w:ascii="Times New Roman" w:hAnsi="Times New Roman" w:eastAsia="仿宋_GB2312" w:cs="Times New Roman"/>
          <w:spacing w:val="0"/>
          <w:sz w:val="32"/>
          <w:szCs w:val="32"/>
          <w:u w:val="none"/>
          <w:lang w:val="en-US" w:eastAsia="zh-CN"/>
        </w:rPr>
        <w:t>，综合效应持续显现。</w:t>
      </w:r>
    </w:p>
    <w:p w14:paraId="50CBAFE4">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仿宋_GB2312" w:cs="Times New Roman"/>
          <w:spacing w:val="0"/>
          <w:sz w:val="32"/>
          <w:szCs w:val="32"/>
          <w:u w:val="none"/>
          <w:lang w:val="en-US" w:eastAsia="zh-CN"/>
        </w:rPr>
      </w:pP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三</w:t>
      </w: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繁荣文化事业，赓续湖湘文脉。</w:t>
      </w:r>
      <w:r>
        <w:rPr>
          <w:rFonts w:hint="default" w:ascii="Times New Roman" w:hAnsi="Times New Roman" w:eastAsia="仿宋_GB2312" w:cs="Times New Roman"/>
          <w:spacing w:val="0"/>
          <w:sz w:val="32"/>
          <w:szCs w:val="32"/>
          <w:u w:val="none"/>
          <w:lang w:val="en-US" w:eastAsia="zh-CN"/>
        </w:rPr>
        <w:t>组织参加第十四届中国艺术节，获文华节目奖1项，文华编剧奖1项、群星奖2项。选送京剧《皿方罍》、花鼓戏《蔡坤山耕田》等选段参演国家级重大演出，承</w:t>
      </w:r>
      <w:r>
        <w:rPr>
          <w:rFonts w:hint="default" w:ascii="Times New Roman" w:hAnsi="Times New Roman" w:eastAsia="仿宋_GB2312" w:cs="Times New Roman"/>
          <w:color w:val="auto"/>
          <w:spacing w:val="0"/>
          <w:sz w:val="32"/>
          <w:szCs w:val="32"/>
          <w:u w:val="none"/>
          <w:lang w:val="en-US" w:eastAsia="zh-CN"/>
        </w:rPr>
        <w:t>办文化和自然遗产日全国主场城市活动、全国春节村晚主场活动、全国红色故事讲解员大赛等重</w:t>
      </w:r>
      <w:r>
        <w:rPr>
          <w:rFonts w:hint="default" w:ascii="Times New Roman" w:hAnsi="Times New Roman" w:eastAsia="仿宋_GB2312" w:cs="Times New Roman"/>
          <w:spacing w:val="0"/>
          <w:sz w:val="32"/>
          <w:szCs w:val="32"/>
          <w:u w:val="none"/>
          <w:lang w:val="en-US" w:eastAsia="zh-CN"/>
        </w:rPr>
        <w:t>大活动。探索传统戏曲分类分级保护发展机制，出台优质文化资源直达基层实施方案，</w:t>
      </w:r>
      <w:r>
        <w:rPr>
          <w:rFonts w:hint="default" w:ascii="Times New Roman" w:hAnsi="Times New Roman" w:eastAsia="仿宋_GB2312" w:cs="Times New Roman"/>
          <w:b w:val="0"/>
          <w:bCs w:val="0"/>
          <w:color w:val="auto"/>
          <w:spacing w:val="0"/>
          <w:sz w:val="32"/>
          <w:szCs w:val="32"/>
          <w:u w:val="none"/>
          <w:lang w:val="en-US" w:eastAsia="zh-CN"/>
        </w:rPr>
        <w:t>创新推出“岳麓山青年戏剧季”</w:t>
      </w:r>
      <w:r>
        <w:rPr>
          <w:rFonts w:hint="default" w:ascii="Times New Roman" w:hAnsi="Times New Roman" w:eastAsia="仿宋_GB2312" w:cs="Times New Roman"/>
          <w:color w:val="auto"/>
          <w:spacing w:val="0"/>
          <w:sz w:val="32"/>
          <w:szCs w:val="32"/>
          <w:u w:val="none"/>
          <w:lang w:val="en-US" w:eastAsia="zh-CN"/>
        </w:rPr>
        <w:t>。开展“欢乐潇湘”“送戏下乡”“四季村晚”“非遗六进”等惠民活动7万余场次，服务群众5600万余人次。</w:t>
      </w:r>
      <w:r>
        <w:rPr>
          <w:rFonts w:hint="default" w:ascii="Times New Roman" w:hAnsi="Times New Roman" w:eastAsia="仿宋_GB2312" w:cs="Times New Roman"/>
          <w:spacing w:val="0"/>
          <w:sz w:val="32"/>
          <w:szCs w:val="32"/>
          <w:u w:val="none"/>
          <w:lang w:val="en-US" w:eastAsia="zh-CN"/>
        </w:rPr>
        <w:t>深入推进博物馆“省市联动”体系化改革和第四次全国文物普查，加快建设中国语言资源博物馆，</w:t>
      </w:r>
      <w:r>
        <w:rPr>
          <w:rFonts w:hint="default" w:ascii="Times New Roman" w:hAnsi="Times New Roman" w:eastAsia="仿宋_GB2312" w:cs="Times New Roman"/>
          <w:spacing w:val="0"/>
          <w:sz w:val="32"/>
          <w:szCs w:val="32"/>
          <w:highlight w:val="none"/>
          <w:u w:val="none"/>
          <w:lang w:val="en-US" w:eastAsia="zh-CN"/>
        </w:rPr>
        <w:t>促成</w:t>
      </w:r>
      <w:r>
        <w:rPr>
          <w:rFonts w:hint="default" w:ascii="Times New Roman" w:hAnsi="Times New Roman" w:eastAsia="仿宋_GB2312" w:cs="Times New Roman"/>
          <w:color w:val="auto"/>
          <w:spacing w:val="0"/>
          <w:sz w:val="32"/>
          <w:szCs w:val="32"/>
          <w:u w:val="none"/>
          <w:lang w:val="en-US" w:eastAsia="zh-CN"/>
        </w:rPr>
        <w:t>子弹库战国帛书回归入藏，</w:t>
      </w:r>
      <w:r>
        <w:rPr>
          <w:rFonts w:hint="default" w:ascii="Times New Roman" w:hAnsi="Times New Roman" w:eastAsia="仿宋_GB2312" w:cs="Times New Roman"/>
          <w:spacing w:val="0"/>
          <w:sz w:val="32"/>
          <w:szCs w:val="32"/>
          <w:u w:val="none"/>
          <w:lang w:val="en-US" w:eastAsia="zh-CN"/>
        </w:rPr>
        <w:t>湖南省博物馆升格为副厅级单位。</w:t>
      </w:r>
      <w:r>
        <w:rPr>
          <w:rFonts w:hint="default" w:ascii="Times New Roman" w:hAnsi="Times New Roman" w:eastAsia="仿宋_GB2312" w:cs="Times New Roman"/>
          <w:spacing w:val="0"/>
          <w:sz w:val="32"/>
          <w:szCs w:val="32"/>
          <w:highlight w:val="none"/>
          <w:u w:val="none"/>
          <w:lang w:val="en-US" w:eastAsia="zh-CN"/>
        </w:rPr>
        <w:t>全省文物“四普”调查登记新发现不可移动文物5550处。</w:t>
      </w:r>
      <w:r>
        <w:rPr>
          <w:rFonts w:hint="default" w:ascii="Times New Roman" w:hAnsi="Times New Roman" w:eastAsia="仿宋_GB2312" w:cs="Times New Roman"/>
          <w:spacing w:val="0"/>
          <w:sz w:val="32"/>
          <w:szCs w:val="32"/>
          <w:u w:val="none"/>
          <w:lang w:val="en-US" w:eastAsia="zh-CN"/>
        </w:rPr>
        <w:t>推出首批乡村博物馆39家，32人入选第六批国家级非遗代表性传承人，湖湘文化的传承创新活力进一步增强。</w:t>
      </w:r>
    </w:p>
    <w:p w14:paraId="50DC551F">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jc w:val="both"/>
        <w:textAlignment w:val="auto"/>
        <w:rPr>
          <w:rFonts w:hint="default" w:ascii="Times New Roman" w:hAnsi="Times New Roman" w:eastAsia="仿宋_GB2312" w:cs="Times New Roman"/>
          <w:spacing w:val="0"/>
          <w:sz w:val="32"/>
          <w:szCs w:val="32"/>
          <w:u w:val="none"/>
          <w:lang w:val="en-US" w:eastAsia="zh-CN"/>
        </w:rPr>
      </w:pP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四</w:t>
      </w: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深化“两个融合”，创新文旅业态。</w:t>
      </w:r>
      <w:r>
        <w:rPr>
          <w:rFonts w:hint="default" w:ascii="Times New Roman" w:hAnsi="Times New Roman" w:eastAsia="仿宋_GB2312" w:cs="Times New Roman"/>
          <w:spacing w:val="0"/>
          <w:sz w:val="32"/>
          <w:szCs w:val="32"/>
          <w:u w:val="none"/>
          <w:lang w:val="en-US" w:eastAsia="zh-CN"/>
        </w:rPr>
        <w:t>推动出台《关于推进文化和旅游深度融合发展的实施意见》，成功打造文旅“新花</w:t>
      </w:r>
      <w:r>
        <w:rPr>
          <w:rFonts w:hint="default" w:ascii="Times New Roman" w:hAnsi="Times New Roman" w:eastAsia="仿宋_GB2312" w:cs="Times New Roman"/>
          <w:color w:val="auto"/>
          <w:spacing w:val="0"/>
          <w:sz w:val="32"/>
          <w:szCs w:val="32"/>
          <w:u w:val="none"/>
          <w:lang w:val="en-US" w:eastAsia="zh-CN"/>
        </w:rPr>
        <w:t>YOUNG”</w:t>
      </w:r>
      <w:r>
        <w:rPr>
          <w:rFonts w:hint="default" w:ascii="Times New Roman" w:hAnsi="Times New Roman" w:eastAsia="仿宋_GB2312" w:cs="Times New Roman"/>
          <w:spacing w:val="0"/>
          <w:sz w:val="32"/>
          <w:szCs w:val="32"/>
          <w:u w:val="none"/>
          <w:lang w:val="en-US" w:eastAsia="zh-CN"/>
        </w:rPr>
        <w:t>生态大会等高能级融合平台，加快建设省级十大历史文化保护利用示范片区，推进湖南省博物馆与湖南烈士公园“馆园融合”。联合长沙市出台“演艺新空间十条”，与省总工会协作推进工会剧场与国有院团“团场合作”，打造融合新载体。积极构建“十五分钟文化圈”，推进“街头艺术站”等新型公共文化空间建设，创新实施公共文化数智服务赋能工程。大力发展演艺、赛事旅游，举办营业</w:t>
      </w:r>
      <w:r>
        <w:rPr>
          <w:rFonts w:hint="default" w:ascii="Times New Roman" w:hAnsi="Times New Roman" w:eastAsia="仿宋_GB2312" w:cs="Times New Roman"/>
          <w:color w:val="auto"/>
          <w:spacing w:val="0"/>
          <w:sz w:val="32"/>
          <w:szCs w:val="32"/>
          <w:u w:val="none"/>
          <w:lang w:val="en-US" w:eastAsia="zh-CN"/>
        </w:rPr>
        <w:t>性演出5.73万场。出台《“文化+科技”行动计划》，打造“最亮眼的数字博物馆”，数字文博大平台“山海”APP签约博物馆</w:t>
      </w:r>
      <w:r>
        <w:rPr>
          <w:rFonts w:hint="default" w:ascii="Times New Roman" w:hAnsi="Times New Roman" w:eastAsia="仿宋_GB2312" w:cs="Times New Roman"/>
          <w:b w:val="0"/>
          <w:bCs w:val="0"/>
          <w:color w:val="auto"/>
          <w:spacing w:val="0"/>
          <w:sz w:val="32"/>
          <w:szCs w:val="32"/>
          <w:u w:val="none"/>
          <w:lang w:val="en-US" w:eastAsia="zh-CN"/>
        </w:rPr>
        <w:t>100</w:t>
      </w:r>
      <w:r>
        <w:rPr>
          <w:rFonts w:hint="default" w:ascii="Times New Roman" w:hAnsi="Times New Roman" w:eastAsia="仿宋_GB2312" w:cs="Times New Roman"/>
          <w:color w:val="auto"/>
          <w:spacing w:val="0"/>
          <w:sz w:val="32"/>
          <w:szCs w:val="32"/>
          <w:u w:val="none"/>
          <w:lang w:val="en-US" w:eastAsia="zh-CN"/>
        </w:rPr>
        <w:t>家，上线文物</w:t>
      </w:r>
      <w:r>
        <w:rPr>
          <w:rFonts w:hint="default" w:ascii="Times New Roman" w:hAnsi="Times New Roman" w:eastAsia="仿宋_GB2312" w:cs="Times New Roman"/>
          <w:b w:val="0"/>
          <w:bCs w:val="0"/>
          <w:color w:val="auto"/>
          <w:spacing w:val="0"/>
          <w:sz w:val="32"/>
          <w:szCs w:val="32"/>
          <w:u w:val="none"/>
          <w:lang w:val="en-US" w:eastAsia="zh-CN"/>
        </w:rPr>
        <w:t>7.9</w:t>
      </w:r>
      <w:r>
        <w:rPr>
          <w:rFonts w:hint="default" w:ascii="Times New Roman" w:hAnsi="Times New Roman" w:eastAsia="仿宋_GB2312" w:cs="Times New Roman"/>
          <w:color w:val="auto"/>
          <w:spacing w:val="0"/>
          <w:sz w:val="32"/>
          <w:szCs w:val="32"/>
          <w:u w:val="none"/>
          <w:lang w:val="en-US" w:eastAsia="zh-CN"/>
        </w:rPr>
        <w:t>万件</w:t>
      </w:r>
      <w:r>
        <w:rPr>
          <w:rFonts w:hint="default" w:ascii="Times New Roman" w:hAnsi="Times New Roman" w:eastAsia="仿宋_GB2312" w:cs="Times New Roman"/>
          <w:spacing w:val="0"/>
          <w:sz w:val="32"/>
          <w:szCs w:val="32"/>
          <w:u w:val="none"/>
          <w:lang w:val="en-US" w:eastAsia="zh-CN"/>
        </w:rPr>
        <w:t>。文旅融合向纵深拓展，新业态、新场景成为行业发展重要引擎。</w:t>
      </w:r>
    </w:p>
    <w:p w14:paraId="555B5DBD">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b w:val="0"/>
          <w:bCs w:val="0"/>
          <w:color w:val="auto"/>
          <w:spacing w:val="0"/>
          <w:sz w:val="32"/>
          <w:szCs w:val="32"/>
          <w:u w:val="none"/>
          <w:lang w:val="en-US" w:eastAsia="zh-CN"/>
        </w:rPr>
      </w:pP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五</w:t>
      </w:r>
      <w:r>
        <w:rPr>
          <w:rFonts w:hint="default" w:ascii="Times New Roman" w:hAnsi="Times New Roman" w:eastAsia="楷体_GB2312" w:cs="Times New Roman"/>
          <w:b/>
          <w:bCs/>
          <w:spacing w:val="0"/>
          <w:sz w:val="32"/>
          <w:szCs w:val="32"/>
          <w:u w:val="none"/>
          <w:lang w:val="en" w:eastAsia="zh-CN"/>
        </w:rPr>
        <w:t>）</w:t>
      </w:r>
      <w:r>
        <w:rPr>
          <w:rFonts w:hint="default" w:ascii="Times New Roman" w:hAnsi="Times New Roman" w:eastAsia="楷体_GB2312" w:cs="Times New Roman"/>
          <w:b/>
          <w:bCs/>
          <w:spacing w:val="0"/>
          <w:sz w:val="32"/>
          <w:szCs w:val="32"/>
          <w:u w:val="none"/>
          <w:lang w:val="en-US" w:eastAsia="zh-CN"/>
        </w:rPr>
        <w:t>深化推广传播，扩大对外开放。</w:t>
      </w:r>
      <w:r>
        <w:rPr>
          <w:rFonts w:hint="default" w:ascii="Times New Roman" w:hAnsi="Times New Roman" w:eastAsia="仿宋_GB2312" w:cs="Times New Roman"/>
          <w:color w:val="auto"/>
          <w:spacing w:val="0"/>
          <w:sz w:val="32"/>
          <w:szCs w:val="32"/>
          <w:u w:val="none"/>
          <w:lang w:val="en-US" w:eastAsia="zh-CN"/>
        </w:rPr>
        <w:t>推出《去湘当有味的地方》第三季，实施“湘当有味的马王堆”美食文化推广项目，在央视《新闻联播》《朝闻天下》等栏目开展文旅形象投放。组织实施对外文化交流项目8项，赴境外12个国家和地区开展湖南文旅推介。联合18部门印发《促进湖南入境旅游发展的十二条措施》，在全国率先以</w:t>
      </w:r>
      <w:r>
        <w:rPr>
          <w:rFonts w:hint="default" w:ascii="Times New Roman" w:hAnsi="Times New Roman" w:cs="Times New Roman"/>
          <w:color w:val="auto"/>
          <w:spacing w:val="0"/>
          <w:sz w:val="32"/>
          <w:szCs w:val="32"/>
          <w:u w:val="none"/>
          <w:lang w:val="en-US" w:eastAsia="zh-CN"/>
        </w:rPr>
        <w:t>省委、省政府</w:t>
      </w:r>
      <w:r>
        <w:rPr>
          <w:rFonts w:hint="default" w:ascii="Times New Roman" w:hAnsi="Times New Roman" w:eastAsia="仿宋_GB2312" w:cs="Times New Roman"/>
          <w:color w:val="auto"/>
          <w:spacing w:val="0"/>
          <w:sz w:val="32"/>
          <w:szCs w:val="32"/>
          <w:u w:val="none"/>
          <w:lang w:val="en-US" w:eastAsia="zh-CN"/>
        </w:rPr>
        <w:t>名义专题召开入境旅游推进会，全面启动大张家界国际旅游区建设，积极打造入境旅游“第二站”。</w:t>
      </w:r>
      <w:r>
        <w:rPr>
          <w:rFonts w:hint="default" w:ascii="Times New Roman" w:hAnsi="Times New Roman" w:eastAsia="仿宋_GB2312" w:cs="Times New Roman"/>
          <w:b w:val="0"/>
          <w:bCs w:val="0"/>
          <w:color w:val="auto"/>
          <w:spacing w:val="0"/>
          <w:sz w:val="32"/>
          <w:szCs w:val="32"/>
          <w:u w:val="none"/>
          <w:lang w:val="en-US" w:eastAsia="zh-CN"/>
        </w:rPr>
        <w:t>全年接待入境游客240.65万人次，总花费14.09亿美元，同口径比分别增长19.08%、25.47%，文旅对外开放与交流合作迈上新台阶。</w:t>
      </w:r>
    </w:p>
    <w:p w14:paraId="414C8B46">
      <w:pPr>
        <w:keepNext w:val="0"/>
        <w:keepLines w:val="0"/>
        <w:pageBreakBefore w:val="0"/>
        <w:widowControl w:val="0"/>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color w:val="auto"/>
          <w:spacing w:val="0"/>
          <w:kern w:val="2"/>
          <w:sz w:val="32"/>
          <w:szCs w:val="32"/>
          <w:u w:val="none"/>
          <w:lang w:val="en-US" w:eastAsia="zh-CN" w:bidi="ar-SA"/>
        </w:rPr>
      </w:pPr>
      <w:r>
        <w:rPr>
          <w:rFonts w:hint="default" w:ascii="Times New Roman" w:hAnsi="Times New Roman" w:eastAsia="楷体_GB2312" w:cs="Times New Roman"/>
          <w:b/>
          <w:bCs/>
          <w:spacing w:val="0"/>
          <w:sz w:val="32"/>
          <w:szCs w:val="32"/>
          <w:u w:val="none"/>
          <w:lang w:val="en-US" w:eastAsia="zh-CN"/>
        </w:rPr>
        <w:t>（六）</w:t>
      </w:r>
      <w:r>
        <w:rPr>
          <w:rFonts w:hint="default" w:ascii="Times New Roman" w:hAnsi="Times New Roman" w:eastAsia="楷体_GB2312" w:cs="Times New Roman"/>
          <w:b/>
          <w:bCs/>
          <w:spacing w:val="0"/>
          <w:sz w:val="32"/>
          <w:szCs w:val="32"/>
          <w:u w:val="none"/>
          <w:lang w:val="en-US" w:eastAsia="zh-CN"/>
        </w:rPr>
        <w:t>坚持强基固本，夯实发展支撑。</w:t>
      </w:r>
      <w:r>
        <w:rPr>
          <w:rFonts w:hint="default" w:ascii="Times New Roman" w:hAnsi="Times New Roman" w:eastAsia="仿宋_GB2312" w:cs="Times New Roman"/>
          <w:color w:val="auto"/>
          <w:spacing w:val="0"/>
          <w:sz w:val="32"/>
          <w:szCs w:val="32"/>
          <w:u w:val="none"/>
          <w:lang w:val="en-US" w:eastAsia="zh-CN"/>
        </w:rPr>
        <w:t>完成全省旅游资源普查，调查录入旅游资源单体数据14.76万条，新发现、新认定旅游资源2.5万处。纵深开展文旅领域顽瘴痼疾综合治理，办结导游乱象、强制消费案件224件。实施全省4A级及以上旅游景区特种设备专项检查，出台大流量景区优化客流管控提升游客体验五项机制。</w:t>
      </w:r>
      <w:r>
        <w:rPr>
          <w:rFonts w:hint="default" w:ascii="Times New Roman" w:hAnsi="Times New Roman" w:eastAsia="仿宋_GB2312" w:cs="Times New Roman"/>
          <w:spacing w:val="0"/>
          <w:sz w:val="32"/>
          <w:szCs w:val="32"/>
          <w:highlight w:val="none"/>
          <w:u w:val="none"/>
          <w:lang w:val="en-US" w:eastAsia="zh-CN"/>
        </w:rPr>
        <w:t>强化文化市场监督管理，开展大型营业性演出活动等执法监管，</w:t>
      </w:r>
      <w:r>
        <w:rPr>
          <w:rFonts w:hint="default" w:ascii="Times New Roman" w:hAnsi="Times New Roman" w:eastAsia="仿宋_GB2312" w:cs="Times New Roman"/>
          <w:color w:val="auto"/>
          <w:spacing w:val="0"/>
          <w:sz w:val="32"/>
          <w:szCs w:val="32"/>
          <w:highlight w:val="none"/>
          <w:u w:val="none"/>
          <w:lang w:val="en-US" w:eastAsia="zh-CN"/>
        </w:rPr>
        <w:t>省文旅厅</w:t>
      </w:r>
      <w:r>
        <w:rPr>
          <w:rFonts w:hint="default" w:ascii="Times New Roman" w:hAnsi="Times New Roman" w:eastAsia="仿宋_GB2312" w:cs="Times New Roman"/>
          <w:b w:val="0"/>
          <w:bCs w:val="0"/>
          <w:color w:val="auto"/>
          <w:spacing w:val="0"/>
          <w:sz w:val="32"/>
          <w:szCs w:val="32"/>
          <w:highlight w:val="none"/>
          <w:u w:val="none"/>
          <w:lang w:val="en-US" w:eastAsia="zh-CN"/>
        </w:rPr>
        <w:t>在全国文化市场管理工作会议上作典型发言。</w:t>
      </w:r>
      <w:r>
        <w:rPr>
          <w:rFonts w:hint="default" w:ascii="Times New Roman" w:hAnsi="Times New Roman" w:eastAsia="仿宋_GB2312" w:cs="Times New Roman"/>
          <w:b w:val="0"/>
          <w:bCs w:val="0"/>
          <w:color w:val="auto"/>
          <w:spacing w:val="0"/>
          <w:sz w:val="32"/>
          <w:szCs w:val="32"/>
          <w:u w:val="none"/>
          <w:lang w:val="en-US" w:eastAsia="zh-CN"/>
        </w:rPr>
        <w:t>深化文旅领域统计改革创新，相关成果入选2025年全国旅游数据与旅游统计典型案例，并在全国旅游统计改革工作座谈会上作典型发言。同时，深入</w:t>
      </w:r>
      <w:r>
        <w:rPr>
          <w:rFonts w:hint="default" w:ascii="Times New Roman" w:hAnsi="Times New Roman" w:eastAsia="仿宋_GB2312" w:cs="Times New Roman"/>
          <w:color w:val="auto"/>
          <w:spacing w:val="0"/>
          <w:sz w:val="32"/>
          <w:szCs w:val="32"/>
          <w:u w:val="none"/>
          <w:lang w:val="en-US" w:eastAsia="zh-CN"/>
        </w:rPr>
        <w:t>开展“十五五”文旅规划编制前期调研，举办“文旅＋”高质量融合发展人才交流大会，出台艺术、公共文化服务、旅游、文博等领域一揽子人才计划，我省文化指导员培养经验获文化和旅游部推介。</w:t>
      </w:r>
    </w:p>
    <w:p w14:paraId="07E56629">
      <w:pPr>
        <w:pStyle w:val="3"/>
        <w:bidi w:val="0"/>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九、下一步改进措施</w:t>
      </w:r>
      <w:bookmarkEnd w:id="41"/>
    </w:p>
    <w:p w14:paraId="2AB4A01D">
      <w:pPr>
        <w:pStyle w:val="4"/>
        <w:bidi w:val="0"/>
        <w:rPr>
          <w:rFonts w:hint="default" w:ascii="Times New Roman" w:hAnsi="Times New Roman" w:cs="Times New Roman"/>
          <w:b/>
          <w:bCs/>
          <w:color w:val="auto"/>
          <w:sz w:val="32"/>
          <w:szCs w:val="32"/>
          <w:highlight w:val="none"/>
          <w:lang w:val="en-US" w:eastAsia="zh-CN" w:bidi="ar"/>
        </w:rPr>
      </w:pPr>
      <w:bookmarkStart w:id="42" w:name="_Toc25881"/>
      <w:r>
        <w:rPr>
          <w:rFonts w:hint="default" w:ascii="Times New Roman" w:hAnsi="Times New Roman" w:cs="Times New Roman"/>
          <w:b/>
          <w:bCs/>
          <w:color w:val="auto"/>
          <w:sz w:val="32"/>
          <w:szCs w:val="32"/>
          <w:highlight w:val="none"/>
          <w:lang w:val="en-US" w:eastAsia="zh-CN" w:bidi="ar"/>
        </w:rPr>
        <w:t>（一）强化前期论证，提升预算编制科学化精细化水平</w:t>
      </w:r>
      <w:bookmarkEnd w:id="42"/>
    </w:p>
    <w:p w14:paraId="5CE83072">
      <w:pPr>
        <w:spacing w:line="360" w:lineRule="auto"/>
        <w:ind w:firstLine="643"/>
        <w:rPr>
          <w:rFonts w:hint="default" w:ascii="Times New Roman" w:hAnsi="Times New Roman" w:cs="Times New Roman"/>
          <w:color w:val="auto"/>
          <w:highlight w:val="none"/>
        </w:rPr>
      </w:pPr>
      <w:r>
        <w:rPr>
          <w:rFonts w:hint="default" w:ascii="Times New Roman" w:hAnsi="Times New Roman" w:cs="Times New Roman"/>
          <w:b w:val="0"/>
          <w:bCs w:val="0"/>
          <w:color w:val="auto"/>
          <w:highlight w:val="none"/>
          <w:lang w:val="en-US" w:eastAsia="zh-CN"/>
        </w:rPr>
        <w:t>一是加强预算编制前期调研与项目储备，深入梳理年度重点任务、历史支出数据、政策执行情况，细化资金测算依据，提高预算编制精准度；二是强化跨年度项目、重大文旅活动、重点工程预算前瞻论证，充分考虑实施周期、进度安排、市场变化等因素，提升预算与实际需求匹配度；三是严格落实“先有项目、后有预算”要求，规范项目申报、审核、评审流程，杜绝无依据、超标准、超范围编报预算。</w:t>
      </w:r>
    </w:p>
    <w:p w14:paraId="40B9D143">
      <w:pPr>
        <w:pStyle w:val="4"/>
        <w:bidi w:val="0"/>
        <w:rPr>
          <w:rFonts w:hint="default" w:ascii="Times New Roman" w:hAnsi="Times New Roman" w:cs="Times New Roman"/>
          <w:b/>
          <w:bCs/>
          <w:color w:val="auto"/>
          <w:sz w:val="32"/>
          <w:szCs w:val="32"/>
          <w:highlight w:val="none"/>
          <w:lang w:val="en-US" w:eastAsia="zh-CN" w:bidi="ar"/>
        </w:rPr>
      </w:pPr>
      <w:bookmarkStart w:id="43" w:name="_Toc7048"/>
      <w:r>
        <w:rPr>
          <w:rFonts w:hint="default" w:ascii="Times New Roman" w:hAnsi="Times New Roman" w:cs="Times New Roman"/>
          <w:b/>
          <w:bCs/>
          <w:color w:val="auto"/>
          <w:sz w:val="32"/>
          <w:szCs w:val="32"/>
          <w:highlight w:val="none"/>
          <w:lang w:val="en-US" w:eastAsia="zh-CN" w:bidi="ar"/>
        </w:rPr>
        <w:t>（二）压实执行责任，提升预算执行均衡性与时效性</w:t>
      </w:r>
      <w:bookmarkEnd w:id="43"/>
    </w:p>
    <w:p w14:paraId="51DE0DD3">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highlight w:val="none"/>
          <w:lang w:val="en-US" w:eastAsia="zh-CN"/>
        </w:rPr>
        <w:t>一是建立健全预算执行台账管理、月度通报、预警督办机制，对慢进度、低执行项目及时提醒、限期整改、跟踪问效；二是优化项目实施流程，加快项目立项、推进、验收、结算、支付全链条效率，缩短资金沉淀周期，确保资金按序时进度拨付使用；三是加大存量资金盘活力度，对长期沉淀、无法执行或低效运转资金按规定及时收回统筹，提高财政资金使用效益。</w:t>
      </w:r>
    </w:p>
    <w:p w14:paraId="1C70ACE6">
      <w:pPr>
        <w:pStyle w:val="4"/>
        <w:bidi w:val="0"/>
        <w:rPr>
          <w:rFonts w:hint="default" w:ascii="Times New Roman" w:hAnsi="Times New Roman" w:cs="Times New Roman"/>
          <w:b/>
          <w:bCs/>
          <w:color w:val="auto"/>
          <w:sz w:val="32"/>
          <w:szCs w:val="32"/>
          <w:highlight w:val="none"/>
          <w:lang w:val="en-US" w:eastAsia="zh-CN" w:bidi="ar"/>
        </w:rPr>
      </w:pPr>
      <w:bookmarkStart w:id="44" w:name="_Toc22611"/>
      <w:r>
        <w:rPr>
          <w:rFonts w:hint="default" w:ascii="Times New Roman" w:hAnsi="Times New Roman" w:cs="Times New Roman"/>
          <w:b/>
          <w:bCs/>
          <w:color w:val="auto"/>
          <w:sz w:val="32"/>
          <w:szCs w:val="32"/>
          <w:highlight w:val="none"/>
          <w:lang w:val="en-US" w:eastAsia="zh-CN" w:bidi="ar"/>
        </w:rPr>
        <w:t>（三）健全闭环管理，构建全过程预算绩效管理体系</w:t>
      </w:r>
      <w:bookmarkEnd w:id="44"/>
    </w:p>
    <w:p w14:paraId="7BDFE7F8">
      <w:pPr>
        <w:spacing w:line="560" w:lineRule="exact"/>
        <w:ind w:firstLine="643"/>
        <w:rPr>
          <w:rFonts w:hint="default" w:ascii="Times New Roman" w:hAnsi="Times New Roman" w:cs="Times New Roman"/>
          <w:b w:val="0"/>
          <w:bCs w:val="0"/>
          <w:color w:val="auto"/>
          <w:highlight w:val="none"/>
          <w:lang w:val="en-US" w:eastAsia="zh-CN"/>
        </w:rPr>
      </w:pPr>
      <w:r>
        <w:rPr>
          <w:rFonts w:hint="default" w:ascii="Times New Roman" w:hAnsi="Times New Roman" w:cs="Times New Roman"/>
          <w:b w:val="0"/>
          <w:bCs w:val="0"/>
          <w:color w:val="auto"/>
          <w:sz w:val="32"/>
          <w:szCs w:val="32"/>
          <w:highlight w:val="none"/>
          <w:lang w:val="en-US" w:eastAsia="zh-CN"/>
        </w:rPr>
        <w:t>一是提前部署年度绩效目标申报、绩效运行监控、绩效评价工作，确保评价工作早启动、早实施、早完成；二是优化绩效指标体系，突出数量、质量、时效、成本、经济效益、社会效益、满意度等核心要素，做到指标可量化、可考核、可追溯；三是强化绩效结果刚性应用，将评价结果作为预算安排、政策调整、项目退出的重要依据，压实绩效管理责任。</w:t>
      </w:r>
    </w:p>
    <w:p w14:paraId="3FE815BF">
      <w:pPr>
        <w:pStyle w:val="4"/>
        <w:bidi w:val="0"/>
        <w:rPr>
          <w:rFonts w:hint="default" w:ascii="Times New Roman" w:hAnsi="Times New Roman" w:cs="Times New Roman"/>
          <w:b/>
          <w:bCs/>
          <w:color w:val="auto"/>
          <w:sz w:val="32"/>
          <w:szCs w:val="32"/>
          <w:highlight w:val="none"/>
          <w:lang w:val="en-US" w:eastAsia="zh-CN" w:bidi="ar"/>
        </w:rPr>
      </w:pPr>
      <w:bookmarkStart w:id="45" w:name="_Toc14942"/>
      <w:r>
        <w:rPr>
          <w:rFonts w:hint="default" w:ascii="Times New Roman" w:hAnsi="Times New Roman" w:cs="Times New Roman"/>
          <w:b/>
          <w:bCs/>
          <w:color w:val="auto"/>
          <w:sz w:val="32"/>
          <w:szCs w:val="32"/>
          <w:highlight w:val="none"/>
          <w:lang w:val="en-US" w:eastAsia="zh-CN" w:bidi="ar"/>
        </w:rPr>
        <w:t>（四）严格履行复核稽核职责，抓实财务管理工作</w:t>
      </w:r>
      <w:bookmarkEnd w:id="45"/>
    </w:p>
    <w:p w14:paraId="71384F5A">
      <w:pPr>
        <w:bidi w:val="0"/>
        <w:rPr>
          <w:rStyle w:val="51"/>
          <w:rFonts w:hint="default" w:ascii="Times New Roman" w:hAnsi="Times New Roman" w:cs="Times New Roman"/>
          <w:b w:val="0"/>
          <w:bCs w:val="0"/>
          <w:color w:val="auto"/>
          <w:highlight w:val="none"/>
          <w:lang w:val="en-US" w:eastAsia="zh-CN"/>
        </w:rPr>
      </w:pPr>
      <w:r>
        <w:rPr>
          <w:rStyle w:val="51"/>
          <w:rFonts w:hint="default" w:ascii="Times New Roman" w:hAnsi="Times New Roman" w:cs="Times New Roman"/>
          <w:b/>
          <w:bCs/>
          <w:color w:val="auto"/>
          <w:highlight w:val="none"/>
          <w:lang w:val="en-US" w:eastAsia="zh-CN"/>
        </w:rPr>
        <w:t>一是完善财务管理制度</w:t>
      </w:r>
      <w:r>
        <w:rPr>
          <w:rStyle w:val="51"/>
          <w:rFonts w:hint="default" w:ascii="Times New Roman" w:hAnsi="Times New Roman" w:cs="Times New Roman"/>
          <w:b w:val="0"/>
          <w:bCs w:val="0"/>
          <w:color w:val="auto"/>
          <w:highlight w:val="none"/>
          <w:lang w:val="en-US" w:eastAsia="zh-CN"/>
        </w:rPr>
        <w:t>。根据二级预算演出劳务费标准不一的现象，拟牵头出台相关制度，统一发放标准、规范支付方式。</w:t>
      </w:r>
      <w:r>
        <w:rPr>
          <w:rStyle w:val="51"/>
          <w:rFonts w:hint="default" w:ascii="Times New Roman" w:hAnsi="Times New Roman" w:cs="Times New Roman"/>
          <w:b/>
          <w:bCs/>
          <w:color w:val="auto"/>
          <w:highlight w:val="none"/>
          <w:lang w:val="en-US" w:eastAsia="zh-CN"/>
        </w:rPr>
        <w:t>二是加强基层财务人员的培训</w:t>
      </w:r>
      <w:r>
        <w:rPr>
          <w:rStyle w:val="51"/>
          <w:rFonts w:hint="default" w:ascii="Times New Roman" w:hAnsi="Times New Roman" w:cs="Times New Roman"/>
          <w:b w:val="0"/>
          <w:bCs w:val="0"/>
          <w:color w:val="auto"/>
          <w:highlight w:val="none"/>
          <w:lang w:val="en-US" w:eastAsia="zh-CN"/>
        </w:rPr>
        <w:t>。强化财政法规纪律和财务知识的学习，提高财会人员的专业性，提升财务人员整体素质，促进整体财务管理水平提升。</w:t>
      </w:r>
      <w:r>
        <w:rPr>
          <w:rStyle w:val="51"/>
          <w:rFonts w:hint="default" w:ascii="Times New Roman" w:hAnsi="Times New Roman" w:cs="Times New Roman"/>
          <w:b/>
          <w:bCs/>
          <w:color w:val="auto"/>
          <w:highlight w:val="none"/>
          <w:lang w:val="en-US" w:eastAsia="zh-CN"/>
        </w:rPr>
        <w:t>三是规范财务核算。</w:t>
      </w:r>
      <w:r>
        <w:rPr>
          <w:rStyle w:val="51"/>
          <w:rFonts w:hint="default" w:ascii="Times New Roman" w:hAnsi="Times New Roman" w:cs="Times New Roman"/>
          <w:b w:val="0"/>
          <w:bCs w:val="0"/>
          <w:color w:val="auto"/>
          <w:highlight w:val="none"/>
          <w:lang w:val="en-US" w:eastAsia="zh-CN"/>
        </w:rPr>
        <w:t>各预算单位按最新政府会计制度要求进行专账核算或规范辅助核算，按要求详细、准确反映支出情况；严格按下达预算指标执行支付，做到会计核算的经济分类科目与支付申请单、年初部门下达预算指标的经济分类科目的款级完全一致，避免出现专项经费实际使用和国库执行进度不一致的情况。</w:t>
      </w:r>
      <w:r>
        <w:rPr>
          <w:rStyle w:val="51"/>
          <w:rFonts w:hint="default" w:ascii="Times New Roman" w:hAnsi="Times New Roman" w:cs="Times New Roman"/>
          <w:b/>
          <w:bCs/>
          <w:color w:val="auto"/>
          <w:highlight w:val="none"/>
          <w:lang w:val="en-US" w:eastAsia="zh-CN"/>
        </w:rPr>
        <w:t>三是加强财务管理基础工作。</w:t>
      </w:r>
      <w:r>
        <w:rPr>
          <w:rStyle w:val="51"/>
          <w:rFonts w:hint="default" w:ascii="Times New Roman" w:hAnsi="Times New Roman" w:cs="Times New Roman"/>
          <w:b w:val="0"/>
          <w:bCs w:val="0"/>
          <w:color w:val="auto"/>
          <w:highlight w:val="none"/>
          <w:lang w:val="en-US" w:eastAsia="zh-CN"/>
        </w:rPr>
        <w:t>财务严格审核经办人提供的报销材料，关注报销材料是否齐全、完整，报销事项是否在预算额度控制内，报销单据是否合法合规，并核算报销金额。</w:t>
      </w:r>
    </w:p>
    <w:p w14:paraId="211AB48C">
      <w:pPr>
        <w:spacing w:line="600" w:lineRule="exact"/>
        <w:ind w:firstLine="640" w:firstLineChars="200"/>
        <w:outlineLvl w:val="0"/>
        <w:rPr>
          <w:rFonts w:hint="default" w:ascii="Times New Roman" w:hAnsi="Times New Roman" w:eastAsia="黑体" w:cs="Times New Roman"/>
          <w:sz w:val="32"/>
          <w:szCs w:val="32"/>
        </w:rPr>
      </w:pPr>
      <w:bookmarkStart w:id="46" w:name="_Toc24808"/>
      <w:r>
        <w:rPr>
          <w:rFonts w:hint="default" w:ascii="Times New Roman" w:hAnsi="Times New Roman" w:eastAsia="黑体" w:cs="Times New Roman"/>
          <w:sz w:val="32"/>
          <w:szCs w:val="32"/>
          <w:lang w:val="en-US" w:eastAsia="zh-CN"/>
        </w:rPr>
        <w:t>十</w:t>
      </w:r>
      <w:r>
        <w:rPr>
          <w:rFonts w:hint="default" w:ascii="Times New Roman" w:hAnsi="Times New Roman" w:eastAsia="黑体" w:cs="Times New Roman"/>
          <w:sz w:val="32"/>
          <w:szCs w:val="32"/>
        </w:rPr>
        <w:t>、绩效自评结果拟应用和公开情况</w:t>
      </w:r>
      <w:bookmarkEnd w:id="46"/>
    </w:p>
    <w:p w14:paraId="720E476B">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right="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bookmarkStart w:id="47" w:name="_Toc1405"/>
      <w:r>
        <w:rPr>
          <w:rFonts w:hint="default" w:ascii="Times New Roman" w:hAnsi="Times New Roman" w:eastAsia="楷体_GB2312" w:cs="Times New Roman"/>
          <w:b/>
          <w:bCs w:val="0"/>
          <w:kern w:val="2"/>
          <w:sz w:val="32"/>
          <w:szCs w:val="32"/>
          <w:lang w:val="en-US" w:eastAsia="zh-CN" w:bidi="ar-SA"/>
        </w:rPr>
        <w:t>（一）绩效自评结果的应用</w:t>
      </w:r>
      <w:bookmarkEnd w:id="47"/>
    </w:p>
    <w:p w14:paraId="6C3C7019">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right="0" w:firstLine="640"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val="0"/>
          <w:bCs w:val="0"/>
          <w:color w:val="000000"/>
          <w:kern w:val="2"/>
          <w:sz w:val="32"/>
          <w:szCs w:val="32"/>
          <w:lang w:val="en-US" w:eastAsia="zh-CN" w:bidi="ar-SA"/>
        </w:rPr>
        <w:t>绩效评价结果应用，</w:t>
      </w:r>
      <w:r>
        <w:rPr>
          <w:rFonts w:hint="default" w:ascii="Times New Roman" w:hAnsi="Times New Roman" w:cs="Times New Roman"/>
          <w:b w:val="0"/>
          <w:bCs w:val="0"/>
          <w:color w:val="000000"/>
          <w:kern w:val="2"/>
          <w:sz w:val="32"/>
          <w:szCs w:val="32"/>
          <w:lang w:val="en-US" w:eastAsia="zh-CN" w:bidi="ar-SA"/>
        </w:rPr>
        <w:t>有助于</w:t>
      </w:r>
      <w:r>
        <w:rPr>
          <w:rFonts w:hint="default" w:ascii="Times New Roman" w:hAnsi="Times New Roman" w:eastAsia="仿宋_GB2312" w:cs="Times New Roman"/>
          <w:b w:val="0"/>
          <w:bCs w:val="0"/>
          <w:color w:val="000000"/>
          <w:kern w:val="2"/>
          <w:sz w:val="32"/>
          <w:szCs w:val="32"/>
          <w:lang w:val="en-US" w:eastAsia="zh-CN" w:bidi="ar-SA"/>
        </w:rPr>
        <w:t>增强资金绩效理念、合理配置公共资源、优化财政支出结构、提高资金使用效益。我</w:t>
      </w:r>
      <w:r>
        <w:rPr>
          <w:rFonts w:hint="default" w:ascii="Times New Roman" w:hAnsi="Times New Roman" w:cs="Times New Roman"/>
          <w:b w:val="0"/>
          <w:bCs w:val="0"/>
          <w:color w:val="000000"/>
          <w:kern w:val="2"/>
          <w:sz w:val="32"/>
          <w:szCs w:val="32"/>
          <w:lang w:val="en-US" w:eastAsia="zh-CN" w:bidi="ar-SA"/>
        </w:rPr>
        <w:t>厅</w:t>
      </w:r>
      <w:r>
        <w:rPr>
          <w:rFonts w:hint="default" w:ascii="Times New Roman" w:hAnsi="Times New Roman" w:eastAsia="仿宋_GB2312" w:cs="Times New Roman"/>
          <w:b w:val="0"/>
          <w:bCs w:val="0"/>
          <w:color w:val="000000"/>
          <w:kern w:val="2"/>
          <w:sz w:val="32"/>
          <w:szCs w:val="32"/>
          <w:lang w:val="en-US" w:eastAsia="zh-CN" w:bidi="ar-SA"/>
        </w:rPr>
        <w:t>自评结果主要应用于以下几个方面。</w:t>
      </w:r>
    </w:p>
    <w:p w14:paraId="136B52D4">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line="560" w:lineRule="exact"/>
        <w:ind w:firstLine="643" w:firstLineChars="200"/>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bCs/>
          <w:color w:val="000000"/>
          <w:kern w:val="2"/>
          <w:sz w:val="32"/>
          <w:szCs w:val="32"/>
          <w:lang w:val="en-US" w:eastAsia="zh-CN" w:bidi="ar-SA"/>
        </w:rPr>
        <w:t>1.以自评促管理。</w:t>
      </w:r>
      <w:r>
        <w:rPr>
          <w:rFonts w:hint="default" w:ascii="Times New Roman" w:hAnsi="Times New Roman" w:eastAsia="仿宋_GB2312" w:cs="Times New Roman"/>
          <w:b w:val="0"/>
          <w:bCs w:val="0"/>
          <w:color w:val="000000"/>
          <w:kern w:val="2"/>
          <w:sz w:val="32"/>
          <w:szCs w:val="32"/>
          <w:lang w:val="en-US" w:eastAsia="zh-CN" w:bidi="ar-SA"/>
        </w:rPr>
        <w:t>及时反馈自评中发现的问题，压实主体责任，限期整改，并将整改结果上报，以此</w:t>
      </w:r>
      <w:r>
        <w:rPr>
          <w:rFonts w:hint="default" w:ascii="Times New Roman" w:hAnsi="Times New Roman" w:cs="Times New Roman"/>
          <w:b w:val="0"/>
          <w:bCs w:val="0"/>
          <w:color w:val="000000"/>
          <w:kern w:val="2"/>
          <w:sz w:val="32"/>
          <w:szCs w:val="32"/>
          <w:lang w:val="en-US" w:eastAsia="zh-CN" w:bidi="ar-SA"/>
        </w:rPr>
        <w:t>促进</w:t>
      </w:r>
      <w:r>
        <w:rPr>
          <w:rFonts w:hint="default" w:ascii="Times New Roman" w:hAnsi="Times New Roman" w:eastAsia="仿宋_GB2312" w:cs="Times New Roman"/>
          <w:b w:val="0"/>
          <w:bCs w:val="0"/>
          <w:color w:val="000000"/>
          <w:kern w:val="2"/>
          <w:sz w:val="32"/>
          <w:szCs w:val="32"/>
          <w:lang w:val="en-US" w:eastAsia="zh-CN" w:bidi="ar-SA"/>
        </w:rPr>
        <w:t>相关部门和单位提高</w:t>
      </w:r>
      <w:r>
        <w:rPr>
          <w:rFonts w:hint="default" w:ascii="Times New Roman" w:hAnsi="Times New Roman" w:cs="Times New Roman"/>
          <w:b w:val="0"/>
          <w:bCs w:val="0"/>
          <w:color w:val="000000"/>
          <w:kern w:val="2"/>
          <w:sz w:val="32"/>
          <w:szCs w:val="32"/>
          <w:lang w:val="en-US" w:eastAsia="zh-CN" w:bidi="ar-SA"/>
        </w:rPr>
        <w:t>部门整体绩效</w:t>
      </w:r>
      <w:r>
        <w:rPr>
          <w:rFonts w:hint="default" w:ascii="Times New Roman" w:hAnsi="Times New Roman" w:eastAsia="仿宋_GB2312" w:cs="Times New Roman"/>
          <w:b w:val="0"/>
          <w:bCs w:val="0"/>
          <w:color w:val="000000"/>
          <w:kern w:val="2"/>
          <w:sz w:val="32"/>
          <w:szCs w:val="32"/>
          <w:lang w:val="en-US" w:eastAsia="zh-CN" w:bidi="ar-SA"/>
        </w:rPr>
        <w:t>管理水平。</w:t>
      </w:r>
    </w:p>
    <w:p w14:paraId="6F94F59B">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bCs/>
          <w:color w:val="000000"/>
          <w:kern w:val="2"/>
          <w:sz w:val="32"/>
          <w:szCs w:val="32"/>
          <w:lang w:val="en-US" w:eastAsia="zh-CN" w:bidi="ar-SA"/>
        </w:rPr>
        <w:t>2.以自评促效益。</w:t>
      </w:r>
      <w:r>
        <w:rPr>
          <w:rFonts w:hint="default" w:ascii="Times New Roman" w:hAnsi="Times New Roman" w:eastAsia="仿宋_GB2312" w:cs="Times New Roman"/>
          <w:b w:val="0"/>
          <w:bCs w:val="0"/>
          <w:color w:val="000000"/>
          <w:kern w:val="2"/>
          <w:sz w:val="32"/>
          <w:szCs w:val="32"/>
          <w:lang w:val="en-US" w:eastAsia="zh-CN" w:bidi="ar-SA"/>
        </w:rPr>
        <w:t>充分利用自评结果，切实增强</w:t>
      </w:r>
      <w:r>
        <w:rPr>
          <w:rFonts w:hint="default" w:ascii="Times New Roman" w:hAnsi="Times New Roman" w:cs="Times New Roman"/>
          <w:b w:val="0"/>
          <w:bCs w:val="0"/>
          <w:color w:val="000000"/>
          <w:kern w:val="2"/>
          <w:sz w:val="32"/>
          <w:szCs w:val="32"/>
          <w:lang w:val="en-US" w:eastAsia="zh-CN" w:bidi="ar-SA"/>
        </w:rPr>
        <w:t>我厅所属</w:t>
      </w:r>
      <w:r>
        <w:rPr>
          <w:rFonts w:hint="default" w:ascii="Times New Roman" w:hAnsi="Times New Roman" w:eastAsia="仿宋_GB2312" w:cs="Times New Roman"/>
          <w:b w:val="0"/>
          <w:bCs w:val="0"/>
          <w:color w:val="000000"/>
          <w:kern w:val="2"/>
          <w:sz w:val="32"/>
          <w:szCs w:val="32"/>
          <w:lang w:val="en-US" w:eastAsia="zh-CN" w:bidi="ar-SA"/>
        </w:rPr>
        <w:t>各单位的支出责任和</w:t>
      </w:r>
      <w:r>
        <w:rPr>
          <w:rFonts w:hint="default" w:ascii="Times New Roman" w:hAnsi="Times New Roman" w:cs="Times New Roman"/>
          <w:b w:val="0"/>
          <w:bCs w:val="0"/>
          <w:color w:val="000000"/>
          <w:kern w:val="2"/>
          <w:sz w:val="32"/>
          <w:szCs w:val="32"/>
          <w:lang w:val="en-US" w:eastAsia="zh-CN" w:bidi="ar-SA"/>
        </w:rPr>
        <w:t>绩效</w:t>
      </w:r>
      <w:r>
        <w:rPr>
          <w:rFonts w:hint="default" w:ascii="Times New Roman" w:hAnsi="Times New Roman" w:eastAsia="仿宋_GB2312" w:cs="Times New Roman"/>
          <w:b w:val="0"/>
          <w:bCs w:val="0"/>
          <w:color w:val="000000"/>
          <w:kern w:val="2"/>
          <w:sz w:val="32"/>
          <w:szCs w:val="32"/>
          <w:lang w:val="en-US" w:eastAsia="zh-CN" w:bidi="ar-SA"/>
        </w:rPr>
        <w:t>意识，</w:t>
      </w:r>
      <w:r>
        <w:rPr>
          <w:rFonts w:hint="default" w:ascii="Times New Roman" w:hAnsi="Times New Roman" w:cs="Times New Roman"/>
          <w:b w:val="0"/>
          <w:bCs w:val="0"/>
          <w:color w:val="000000"/>
          <w:kern w:val="2"/>
          <w:sz w:val="32"/>
          <w:szCs w:val="32"/>
          <w:lang w:val="en-US" w:eastAsia="zh-CN" w:bidi="ar-SA"/>
        </w:rPr>
        <w:t>提升预算</w:t>
      </w:r>
      <w:r>
        <w:rPr>
          <w:rFonts w:hint="default" w:ascii="Times New Roman" w:hAnsi="Times New Roman" w:eastAsia="仿宋_GB2312" w:cs="Times New Roman"/>
          <w:b w:val="0"/>
          <w:bCs w:val="0"/>
          <w:color w:val="000000"/>
          <w:kern w:val="2"/>
          <w:sz w:val="32"/>
          <w:szCs w:val="32"/>
          <w:lang w:val="en-US" w:eastAsia="zh-CN" w:bidi="ar-SA"/>
        </w:rPr>
        <w:t>资金使用效果。</w:t>
      </w:r>
    </w:p>
    <w:p w14:paraId="07100019">
      <w:pPr>
        <w:pStyle w:val="20"/>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Autospacing="0" w:afterAutospacing="0" w:line="560" w:lineRule="exact"/>
        <w:ind w:left="0" w:right="0" w:firstLine="643" w:firstLineChars="200"/>
        <w:jc w:val="both"/>
        <w:textAlignment w:val="auto"/>
        <w:rPr>
          <w:rFonts w:hint="default" w:ascii="Times New Roman" w:hAnsi="Times New Roman" w:eastAsia="仿宋_GB2312" w:cs="Times New Roman"/>
          <w:b w:val="0"/>
          <w:bCs w:val="0"/>
          <w:color w:val="000000"/>
          <w:kern w:val="2"/>
          <w:sz w:val="32"/>
          <w:szCs w:val="32"/>
          <w:lang w:val="en-US" w:eastAsia="zh-CN" w:bidi="ar-SA"/>
        </w:rPr>
      </w:pPr>
      <w:r>
        <w:rPr>
          <w:rFonts w:hint="default" w:ascii="Times New Roman" w:hAnsi="Times New Roman" w:eastAsia="仿宋_GB2312" w:cs="Times New Roman"/>
          <w:b/>
          <w:bCs/>
          <w:color w:val="000000"/>
          <w:kern w:val="2"/>
          <w:sz w:val="32"/>
          <w:szCs w:val="32"/>
          <w:lang w:val="en-US" w:eastAsia="zh-CN" w:bidi="ar-SA"/>
        </w:rPr>
        <w:t>3.以自评促改进。</w:t>
      </w:r>
      <w:r>
        <w:rPr>
          <w:rFonts w:hint="default" w:ascii="Times New Roman" w:hAnsi="Times New Roman" w:eastAsia="仿宋_GB2312" w:cs="Times New Roman"/>
          <w:b w:val="0"/>
          <w:bCs w:val="0"/>
          <w:color w:val="000000"/>
          <w:kern w:val="2"/>
          <w:sz w:val="32"/>
          <w:szCs w:val="32"/>
          <w:lang w:val="en-US" w:eastAsia="zh-CN" w:bidi="ar-SA"/>
        </w:rPr>
        <w:t>对在绩效自评过</w:t>
      </w:r>
      <w:r>
        <w:rPr>
          <w:rFonts w:hint="default" w:ascii="Times New Roman" w:hAnsi="Times New Roman" w:cs="Times New Roman"/>
          <w:b w:val="0"/>
          <w:bCs w:val="0"/>
          <w:color w:val="000000"/>
          <w:kern w:val="2"/>
          <w:sz w:val="32"/>
          <w:szCs w:val="32"/>
          <w:lang w:val="en-US" w:eastAsia="zh-CN" w:bidi="ar-SA"/>
        </w:rPr>
        <w:t>程中</w:t>
      </w:r>
      <w:r>
        <w:rPr>
          <w:rFonts w:hint="default" w:ascii="Times New Roman" w:hAnsi="Times New Roman" w:eastAsia="仿宋_GB2312" w:cs="Times New Roman"/>
          <w:b w:val="0"/>
          <w:bCs w:val="0"/>
          <w:color w:val="000000"/>
          <w:kern w:val="2"/>
          <w:sz w:val="32"/>
          <w:szCs w:val="32"/>
          <w:lang w:val="en-US" w:eastAsia="zh-CN" w:bidi="ar-SA"/>
        </w:rPr>
        <w:t>发现绩效评价中存在的问题，通过完善评价流程，强化过程管理，进一步增强绩效管理意识，不断提高绩效评价工作质量。</w:t>
      </w:r>
    </w:p>
    <w:p w14:paraId="7C23AC4D">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shd w:val="clear"/>
        <w:kinsoku/>
        <w:wordWrap/>
        <w:overflowPunct/>
        <w:topLinePunct w:val="0"/>
        <w:autoSpaceDE/>
        <w:autoSpaceDN/>
        <w:bidi w:val="0"/>
        <w:adjustRightInd/>
        <w:snapToGrid w:val="0"/>
        <w:spacing w:before="0" w:beforeAutospacing="0" w:after="0" w:afterAutospacing="0" w:line="560" w:lineRule="exact"/>
        <w:ind w:left="0" w:right="0" w:firstLine="643" w:firstLineChars="200"/>
        <w:jc w:val="both"/>
        <w:textAlignment w:val="auto"/>
        <w:rPr>
          <w:rFonts w:hint="default" w:ascii="Times New Roman" w:hAnsi="Times New Roman" w:eastAsia="楷体_GB2312" w:cs="Times New Roman"/>
          <w:b/>
          <w:bCs w:val="0"/>
          <w:kern w:val="2"/>
          <w:sz w:val="32"/>
          <w:szCs w:val="32"/>
          <w:lang w:val="en-US" w:eastAsia="zh-CN" w:bidi="ar-SA"/>
        </w:rPr>
      </w:pPr>
      <w:bookmarkStart w:id="48" w:name="_Toc5270"/>
      <w:r>
        <w:rPr>
          <w:rFonts w:hint="default" w:ascii="Times New Roman" w:hAnsi="Times New Roman" w:eastAsia="楷体_GB2312" w:cs="Times New Roman"/>
          <w:b/>
          <w:bCs w:val="0"/>
          <w:kern w:val="2"/>
          <w:sz w:val="32"/>
          <w:szCs w:val="32"/>
          <w:lang w:val="en-US" w:eastAsia="zh-CN" w:bidi="ar-SA"/>
        </w:rPr>
        <w:t>（二）绩效自评结果公开情况</w:t>
      </w:r>
      <w:bookmarkEnd w:id="48"/>
    </w:p>
    <w:p w14:paraId="5242413A">
      <w:pPr>
        <w:bidi w:val="0"/>
        <w:rPr>
          <w:rFonts w:hint="default" w:ascii="Times New Roman" w:hAnsi="Times New Roman" w:eastAsia="黑体" w:cs="Times New Roman"/>
          <w:sz w:val="32"/>
          <w:szCs w:val="32"/>
          <w:lang w:val="en-US" w:eastAsia="zh-CN"/>
        </w:rPr>
      </w:pPr>
      <w:r>
        <w:rPr>
          <w:rFonts w:hint="default" w:ascii="Times New Roman" w:hAnsi="Times New Roman" w:eastAsia="仿宋_GB2312" w:cs="Times New Roman"/>
          <w:b w:val="0"/>
          <w:bCs w:val="0"/>
          <w:color w:val="000000"/>
          <w:kern w:val="2"/>
          <w:sz w:val="32"/>
          <w:szCs w:val="32"/>
          <w:lang w:val="en-US" w:eastAsia="zh-CN" w:bidi="ar-SA"/>
        </w:rPr>
        <w:t>拟将本次自评结果在省文旅厅官网上进行公示，接受社会公众监督。</w:t>
      </w:r>
    </w:p>
    <w:p w14:paraId="5134A188">
      <w:pPr>
        <w:bidi w:val="0"/>
        <w:rPr>
          <w:rStyle w:val="51"/>
          <w:rFonts w:hint="default" w:ascii="Times New Roman" w:hAnsi="Times New Roman" w:cs="Times New Roman"/>
          <w:b/>
          <w:bCs/>
          <w:color w:val="auto"/>
          <w:highlight w:val="none"/>
          <w:lang w:val="en-US" w:eastAsia="zh-CN"/>
        </w:rPr>
      </w:pPr>
    </w:p>
    <w:p w14:paraId="013F24E2">
      <w:pPr>
        <w:bidi w:val="0"/>
        <w:rPr>
          <w:rStyle w:val="51"/>
          <w:rFonts w:hint="default" w:ascii="Times New Roman" w:hAnsi="Times New Roman" w:cs="Times New Roman"/>
          <w:b/>
          <w:bCs/>
          <w:color w:val="auto"/>
          <w:highlight w:val="none"/>
          <w:lang w:val="en-US" w:eastAsia="zh-CN"/>
        </w:rPr>
      </w:pPr>
      <w:bookmarkStart w:id="56" w:name="_GoBack"/>
      <w:bookmarkEnd w:id="56"/>
      <w:r>
        <w:rPr>
          <w:rStyle w:val="51"/>
          <w:rFonts w:hint="default" w:ascii="Times New Roman" w:hAnsi="Times New Roman" w:cs="Times New Roman"/>
          <w:b/>
          <w:bCs/>
          <w:color w:val="auto"/>
          <w:highlight w:val="none"/>
          <w:lang w:val="en-US" w:eastAsia="zh-CN"/>
        </w:rPr>
        <w:t>附件：</w:t>
      </w:r>
    </w:p>
    <w:p w14:paraId="1D147F2B">
      <w:pPr>
        <w:bidi w:val="0"/>
        <w:ind w:firstLine="960" w:firstLineChars="300"/>
        <w:rPr>
          <w:rStyle w:val="51"/>
          <w:rFonts w:hint="default" w:ascii="Times New Roman" w:hAnsi="Times New Roman" w:cs="Times New Roman"/>
          <w:b w:val="0"/>
          <w:bCs w:val="0"/>
          <w:color w:val="auto"/>
          <w:highlight w:val="none"/>
          <w:lang w:val="en-US" w:eastAsia="zh-CN"/>
        </w:rPr>
      </w:pPr>
      <w:r>
        <w:rPr>
          <w:rStyle w:val="51"/>
          <w:rFonts w:hint="default" w:ascii="Times New Roman" w:hAnsi="Times New Roman" w:cs="Times New Roman"/>
          <w:b w:val="0"/>
          <w:bCs w:val="0"/>
          <w:color w:val="auto"/>
          <w:highlight w:val="none"/>
          <w:lang w:val="en-US" w:eastAsia="zh-CN"/>
        </w:rPr>
        <w:t>1.2025年度部门整体绩效自评基础数据表</w:t>
      </w:r>
    </w:p>
    <w:p w14:paraId="7BB6D9EE">
      <w:pPr>
        <w:bidi w:val="0"/>
        <w:ind w:firstLine="960" w:firstLineChars="300"/>
        <w:rPr>
          <w:rStyle w:val="51"/>
          <w:rFonts w:hint="default" w:ascii="Times New Roman" w:hAnsi="Times New Roman" w:cs="Times New Roman"/>
          <w:b w:val="0"/>
          <w:bCs w:val="0"/>
          <w:color w:val="auto"/>
          <w:highlight w:val="none"/>
          <w:lang w:val="en-US" w:eastAsia="zh-CN"/>
        </w:rPr>
      </w:pPr>
      <w:r>
        <w:rPr>
          <w:rStyle w:val="51"/>
          <w:rFonts w:hint="default" w:ascii="Times New Roman" w:hAnsi="Times New Roman" w:cs="Times New Roman"/>
          <w:b w:val="0"/>
          <w:bCs w:val="0"/>
          <w:color w:val="auto"/>
          <w:highlight w:val="none"/>
          <w:lang w:val="en-US" w:eastAsia="zh-CN"/>
        </w:rPr>
        <w:t>2.2025年度部门整体绩效自评表</w:t>
      </w:r>
    </w:p>
    <w:p w14:paraId="4150C312">
      <w:pPr>
        <w:bidi w:val="0"/>
        <w:ind w:firstLine="960" w:firstLineChars="300"/>
        <w:rPr>
          <w:rStyle w:val="51"/>
          <w:rFonts w:hint="default" w:ascii="Times New Roman" w:hAnsi="Times New Roman" w:cs="Times New Roman"/>
          <w:b w:val="0"/>
          <w:bCs w:val="0"/>
          <w:color w:val="auto"/>
          <w:highlight w:val="none"/>
          <w:lang w:val="en-US" w:eastAsia="zh-CN"/>
        </w:rPr>
      </w:pPr>
      <w:r>
        <w:rPr>
          <w:rStyle w:val="51"/>
          <w:rFonts w:hint="default" w:ascii="Times New Roman" w:hAnsi="Times New Roman" w:cs="Times New Roman"/>
          <w:b w:val="0"/>
          <w:bCs w:val="0"/>
          <w:color w:val="auto"/>
          <w:highlight w:val="none"/>
          <w:lang w:val="en-US" w:eastAsia="zh-CN"/>
        </w:rPr>
        <w:t>3.2025年度项目支出绩效自评表</w:t>
      </w:r>
    </w:p>
    <w:p w14:paraId="4F050D6F">
      <w:pPr>
        <w:bidi w:val="0"/>
        <w:ind w:firstLine="960" w:firstLineChars="300"/>
        <w:rPr>
          <w:rStyle w:val="51"/>
          <w:rFonts w:hint="default" w:ascii="Times New Roman" w:hAnsi="Times New Roman" w:cs="Times New Roman"/>
          <w:b w:val="0"/>
          <w:bCs w:val="0"/>
          <w:color w:val="auto"/>
          <w:highlight w:val="none"/>
          <w:lang w:val="en-US" w:eastAsia="zh-CN"/>
        </w:rPr>
      </w:pPr>
      <w:r>
        <w:rPr>
          <w:rStyle w:val="51"/>
          <w:rFonts w:hint="default" w:ascii="Times New Roman" w:hAnsi="Times New Roman" w:cs="Times New Roman"/>
          <w:b w:val="0"/>
          <w:bCs w:val="0"/>
          <w:color w:val="auto"/>
          <w:highlight w:val="none"/>
          <w:lang w:val="en-US" w:eastAsia="zh-CN"/>
        </w:rPr>
        <w:t>4.2025年度专项资金绩效目标完成情况表</w:t>
      </w:r>
    </w:p>
    <w:p w14:paraId="2BF08397">
      <w:pPr>
        <w:rPr>
          <w:rStyle w:val="51"/>
          <w:rFonts w:hint="default" w:ascii="Times New Roman" w:hAnsi="Times New Roman" w:cs="Times New Roman"/>
          <w:b/>
          <w:bCs/>
          <w:color w:val="auto"/>
          <w:highlight w:val="none"/>
          <w:lang w:val="en-US" w:eastAsia="zh-CN"/>
        </w:rPr>
      </w:pPr>
      <w:r>
        <w:rPr>
          <w:rStyle w:val="51"/>
          <w:rFonts w:hint="default" w:ascii="Times New Roman" w:hAnsi="Times New Roman" w:cs="Times New Roman"/>
          <w:b/>
          <w:bCs/>
          <w:color w:val="auto"/>
          <w:highlight w:val="none"/>
          <w:lang w:val="en-US" w:eastAsia="zh-CN"/>
        </w:rPr>
        <w:br w:type="page"/>
      </w:r>
    </w:p>
    <w:p w14:paraId="29213D79">
      <w:pPr>
        <w:ind w:left="0" w:leftChars="0" w:firstLine="0" w:firstLineChars="0"/>
        <w:rPr>
          <w:rStyle w:val="51"/>
          <w:rFonts w:hint="default" w:ascii="Times New Roman" w:hAnsi="Times New Roman" w:cs="Times New Roman"/>
          <w:b/>
          <w:bCs/>
          <w:color w:val="auto"/>
          <w:highlight w:val="none"/>
          <w:lang w:val="en-US" w:eastAsia="zh-CN"/>
        </w:rPr>
      </w:pPr>
      <w:r>
        <w:rPr>
          <w:rStyle w:val="51"/>
          <w:rFonts w:hint="default" w:ascii="Times New Roman" w:hAnsi="Times New Roman" w:cs="Times New Roman"/>
          <w:b/>
          <w:bCs/>
          <w:color w:val="auto"/>
          <w:highlight w:val="none"/>
          <w:lang w:val="en-US" w:eastAsia="zh-CN"/>
        </w:rPr>
        <w:t>附件1</w:t>
      </w:r>
    </w:p>
    <w:p w14:paraId="11B25B55">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2025年度部门整体绩效自评基础数据表</w:t>
      </w:r>
    </w:p>
    <w:tbl>
      <w:tblPr>
        <w:tblStyle w:val="24"/>
        <w:tblW w:w="9328" w:type="dxa"/>
        <w:tblInd w:w="-1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2522"/>
        <w:gridCol w:w="1060"/>
        <w:gridCol w:w="984"/>
        <w:gridCol w:w="1237"/>
        <w:gridCol w:w="1313"/>
        <w:gridCol w:w="1134"/>
        <w:gridCol w:w="1078"/>
      </w:tblGrid>
      <w:tr w14:paraId="65146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vMerge w:val="restart"/>
            <w:shd w:val="clear" w:color="auto" w:fill="auto"/>
            <w:vAlign w:val="center"/>
          </w:tcPr>
          <w:p w14:paraId="0C3204E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财政供养人员情况（人）</w:t>
            </w:r>
          </w:p>
        </w:tc>
        <w:tc>
          <w:tcPr>
            <w:tcW w:w="2044" w:type="dxa"/>
            <w:gridSpan w:val="2"/>
            <w:shd w:val="clear" w:color="auto" w:fill="auto"/>
            <w:vAlign w:val="center"/>
          </w:tcPr>
          <w:p w14:paraId="6C12B99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编制数</w:t>
            </w:r>
          </w:p>
        </w:tc>
        <w:tc>
          <w:tcPr>
            <w:tcW w:w="2550" w:type="dxa"/>
            <w:gridSpan w:val="2"/>
            <w:shd w:val="clear" w:color="auto" w:fill="auto"/>
            <w:vAlign w:val="center"/>
          </w:tcPr>
          <w:p w14:paraId="292812B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2025年实际在职人数</w:t>
            </w:r>
          </w:p>
        </w:tc>
        <w:tc>
          <w:tcPr>
            <w:tcW w:w="2212" w:type="dxa"/>
            <w:gridSpan w:val="2"/>
            <w:shd w:val="clear" w:color="auto" w:fill="auto"/>
            <w:vAlign w:val="center"/>
          </w:tcPr>
          <w:p w14:paraId="6853165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控制率</w:t>
            </w:r>
          </w:p>
        </w:tc>
      </w:tr>
      <w:tr w14:paraId="079F50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vMerge w:val="continue"/>
            <w:shd w:val="clear" w:color="auto" w:fill="auto"/>
            <w:vAlign w:val="center"/>
          </w:tcPr>
          <w:p w14:paraId="175783EC">
            <w:pPr>
              <w:keepNext w:val="0"/>
              <w:keepLines w:val="0"/>
              <w:pageBreakBefore w:val="0"/>
              <w:widowControl w:val="0"/>
              <w:kinsoku/>
              <w:wordWrap/>
              <w:overflowPunct/>
              <w:topLinePunct w:val="0"/>
              <w:autoSpaceDE/>
              <w:autoSpaceDN/>
              <w:bidi w:val="0"/>
              <w:adjustRightInd/>
              <w:snapToGrid/>
              <w:spacing w:line="240" w:lineRule="exact"/>
              <w:ind w:firstLine="0" w:firstLineChars="0"/>
              <w:jc w:val="both"/>
              <w:rPr>
                <w:rFonts w:hint="default" w:ascii="Times New Roman" w:hAnsi="Times New Roman" w:eastAsia="仿宋_GB2312" w:cs="Times New Roman"/>
                <w:i w:val="0"/>
                <w:iCs w:val="0"/>
                <w:color w:val="auto"/>
                <w:sz w:val="21"/>
                <w:szCs w:val="21"/>
                <w:u w:val="none"/>
              </w:rPr>
            </w:pPr>
          </w:p>
        </w:tc>
        <w:tc>
          <w:tcPr>
            <w:tcW w:w="2044" w:type="dxa"/>
            <w:gridSpan w:val="2"/>
            <w:shd w:val="clear" w:color="auto" w:fill="auto"/>
            <w:vAlign w:val="center"/>
          </w:tcPr>
          <w:p w14:paraId="7DE3D9E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1349</w:t>
            </w:r>
          </w:p>
        </w:tc>
        <w:tc>
          <w:tcPr>
            <w:tcW w:w="2550" w:type="dxa"/>
            <w:gridSpan w:val="2"/>
            <w:shd w:val="clear" w:color="auto" w:fill="auto"/>
            <w:vAlign w:val="center"/>
          </w:tcPr>
          <w:p w14:paraId="14625CB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1279</w:t>
            </w:r>
          </w:p>
        </w:tc>
        <w:tc>
          <w:tcPr>
            <w:tcW w:w="2212" w:type="dxa"/>
            <w:gridSpan w:val="2"/>
            <w:shd w:val="clear" w:color="auto" w:fill="auto"/>
            <w:vAlign w:val="center"/>
          </w:tcPr>
          <w:p w14:paraId="2C8A3DF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lang w:val="en-US"/>
              </w:rPr>
            </w:pPr>
            <w:r>
              <w:rPr>
                <w:rFonts w:hint="default" w:ascii="Times New Roman" w:hAnsi="Times New Roman" w:cs="Times New Roman"/>
                <w:i w:val="0"/>
                <w:iCs w:val="0"/>
                <w:color w:val="auto"/>
                <w:kern w:val="0"/>
                <w:sz w:val="21"/>
                <w:szCs w:val="21"/>
                <w:u w:val="none"/>
                <w:lang w:val="en-US" w:eastAsia="zh-CN" w:bidi="ar"/>
              </w:rPr>
              <w:t>95%</w:t>
            </w:r>
          </w:p>
        </w:tc>
      </w:tr>
      <w:tr w14:paraId="53E45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503E37F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经费控制情况（万元）</w:t>
            </w:r>
          </w:p>
        </w:tc>
        <w:tc>
          <w:tcPr>
            <w:tcW w:w="2044" w:type="dxa"/>
            <w:gridSpan w:val="2"/>
            <w:shd w:val="clear" w:color="auto" w:fill="auto"/>
            <w:vAlign w:val="center"/>
          </w:tcPr>
          <w:p w14:paraId="0DB2A15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2024年决算数</w:t>
            </w:r>
          </w:p>
        </w:tc>
        <w:tc>
          <w:tcPr>
            <w:tcW w:w="2550" w:type="dxa"/>
            <w:gridSpan w:val="2"/>
            <w:shd w:val="clear" w:color="auto" w:fill="auto"/>
            <w:vAlign w:val="center"/>
          </w:tcPr>
          <w:p w14:paraId="2AD98354">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2025年预算数</w:t>
            </w:r>
          </w:p>
        </w:tc>
        <w:tc>
          <w:tcPr>
            <w:tcW w:w="2212" w:type="dxa"/>
            <w:gridSpan w:val="2"/>
            <w:shd w:val="clear" w:color="auto" w:fill="auto"/>
            <w:vAlign w:val="center"/>
          </w:tcPr>
          <w:p w14:paraId="47E08146">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2025年决算数</w:t>
            </w:r>
          </w:p>
        </w:tc>
      </w:tr>
      <w:tr w14:paraId="4F086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68C83416">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“三公”经费</w:t>
            </w:r>
          </w:p>
        </w:tc>
        <w:tc>
          <w:tcPr>
            <w:tcW w:w="2044" w:type="dxa"/>
            <w:gridSpan w:val="2"/>
            <w:shd w:val="clear" w:color="auto" w:fill="auto"/>
            <w:vAlign w:val="center"/>
          </w:tcPr>
          <w:p w14:paraId="3558FF2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148.69</w:t>
            </w:r>
          </w:p>
        </w:tc>
        <w:tc>
          <w:tcPr>
            <w:tcW w:w="2550" w:type="dxa"/>
            <w:gridSpan w:val="2"/>
            <w:shd w:val="clear" w:color="auto" w:fill="auto"/>
            <w:vAlign w:val="center"/>
          </w:tcPr>
          <w:p w14:paraId="0C7A1B5C">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310.45</w:t>
            </w:r>
          </w:p>
        </w:tc>
        <w:tc>
          <w:tcPr>
            <w:tcW w:w="2212" w:type="dxa"/>
            <w:gridSpan w:val="2"/>
            <w:shd w:val="clear" w:color="auto" w:fill="auto"/>
            <w:vAlign w:val="center"/>
          </w:tcPr>
          <w:p w14:paraId="26B067FC">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281.64</w:t>
            </w:r>
          </w:p>
        </w:tc>
      </w:tr>
      <w:tr w14:paraId="33EE6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522" w:type="dxa"/>
            <w:shd w:val="clear" w:color="auto" w:fill="auto"/>
            <w:vAlign w:val="center"/>
          </w:tcPr>
          <w:p w14:paraId="05A2865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w:t>
            </w:r>
            <w:r>
              <w:rPr>
                <w:rFonts w:hint="default" w:ascii="Times New Roman" w:hAnsi="Times New Roman" w:cs="Times New Roman"/>
                <w:i w:val="0"/>
                <w:iCs w:val="0"/>
                <w:color w:val="auto"/>
                <w:kern w:val="0"/>
                <w:sz w:val="21"/>
                <w:szCs w:val="21"/>
                <w:u w:val="none"/>
                <w:lang w:val="en-US" w:eastAsia="zh-CN" w:bidi="ar"/>
              </w:rPr>
              <w:t>1.</w:t>
            </w:r>
            <w:r>
              <w:rPr>
                <w:rFonts w:hint="default" w:ascii="Times New Roman" w:hAnsi="Times New Roman" w:eastAsia="仿宋_GB2312" w:cs="Times New Roman"/>
                <w:i w:val="0"/>
                <w:iCs w:val="0"/>
                <w:color w:val="auto"/>
                <w:kern w:val="0"/>
                <w:sz w:val="21"/>
                <w:szCs w:val="21"/>
                <w:u w:val="none"/>
                <w:lang w:val="en-US" w:eastAsia="zh-CN" w:bidi="ar"/>
              </w:rPr>
              <w:t>公务用车购置和维护经费</w:t>
            </w:r>
          </w:p>
        </w:tc>
        <w:tc>
          <w:tcPr>
            <w:tcW w:w="2044" w:type="dxa"/>
            <w:gridSpan w:val="2"/>
            <w:shd w:val="clear" w:color="auto" w:fill="auto"/>
            <w:vAlign w:val="center"/>
          </w:tcPr>
          <w:p w14:paraId="5F03EE5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75.87</w:t>
            </w:r>
          </w:p>
        </w:tc>
        <w:tc>
          <w:tcPr>
            <w:tcW w:w="2550" w:type="dxa"/>
            <w:gridSpan w:val="2"/>
            <w:shd w:val="clear" w:color="auto" w:fill="auto"/>
            <w:vAlign w:val="center"/>
          </w:tcPr>
          <w:p w14:paraId="717B480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95.56</w:t>
            </w:r>
          </w:p>
        </w:tc>
        <w:tc>
          <w:tcPr>
            <w:tcW w:w="2212" w:type="dxa"/>
            <w:gridSpan w:val="2"/>
            <w:shd w:val="clear" w:color="auto" w:fill="auto"/>
            <w:vAlign w:val="center"/>
          </w:tcPr>
          <w:p w14:paraId="33650927">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86.64</w:t>
            </w:r>
          </w:p>
        </w:tc>
      </w:tr>
      <w:tr w14:paraId="62D6E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E81B15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其中：公车购置</w:t>
            </w:r>
          </w:p>
        </w:tc>
        <w:tc>
          <w:tcPr>
            <w:tcW w:w="2044" w:type="dxa"/>
            <w:gridSpan w:val="2"/>
            <w:shd w:val="clear" w:color="auto" w:fill="auto"/>
            <w:vAlign w:val="center"/>
          </w:tcPr>
          <w:p w14:paraId="7CE0871B">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w:t>
            </w:r>
          </w:p>
        </w:tc>
        <w:tc>
          <w:tcPr>
            <w:tcW w:w="2550" w:type="dxa"/>
            <w:gridSpan w:val="2"/>
            <w:shd w:val="clear" w:color="auto" w:fill="auto"/>
            <w:vAlign w:val="center"/>
          </w:tcPr>
          <w:p w14:paraId="775E0E3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18.00</w:t>
            </w:r>
          </w:p>
        </w:tc>
        <w:tc>
          <w:tcPr>
            <w:tcW w:w="2212" w:type="dxa"/>
            <w:gridSpan w:val="2"/>
            <w:shd w:val="clear" w:color="auto" w:fill="auto"/>
            <w:vAlign w:val="center"/>
          </w:tcPr>
          <w:p w14:paraId="171B856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17.90</w:t>
            </w:r>
          </w:p>
        </w:tc>
      </w:tr>
      <w:tr w14:paraId="135D7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3A0C096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公车运行维护</w:t>
            </w:r>
          </w:p>
        </w:tc>
        <w:tc>
          <w:tcPr>
            <w:tcW w:w="2044" w:type="dxa"/>
            <w:gridSpan w:val="2"/>
            <w:shd w:val="clear" w:color="auto" w:fill="auto"/>
            <w:vAlign w:val="center"/>
          </w:tcPr>
          <w:p w14:paraId="26620EE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75.87</w:t>
            </w:r>
          </w:p>
        </w:tc>
        <w:tc>
          <w:tcPr>
            <w:tcW w:w="2550" w:type="dxa"/>
            <w:gridSpan w:val="2"/>
            <w:shd w:val="clear" w:color="auto" w:fill="auto"/>
            <w:vAlign w:val="center"/>
          </w:tcPr>
          <w:p w14:paraId="0FAB9E8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77.56</w:t>
            </w:r>
          </w:p>
        </w:tc>
        <w:tc>
          <w:tcPr>
            <w:tcW w:w="2212" w:type="dxa"/>
            <w:gridSpan w:val="2"/>
            <w:shd w:val="clear" w:color="auto" w:fill="auto"/>
            <w:vAlign w:val="center"/>
          </w:tcPr>
          <w:p w14:paraId="762C558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68.74</w:t>
            </w:r>
          </w:p>
        </w:tc>
      </w:tr>
      <w:tr w14:paraId="1EB26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2522" w:type="dxa"/>
            <w:shd w:val="clear" w:color="auto" w:fill="auto"/>
            <w:vAlign w:val="center"/>
          </w:tcPr>
          <w:p w14:paraId="7F4226D4">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w:t>
            </w:r>
            <w:r>
              <w:rPr>
                <w:rFonts w:hint="default" w:ascii="Times New Roman" w:hAnsi="Times New Roman" w:cs="Times New Roman"/>
                <w:i w:val="0"/>
                <w:iCs w:val="0"/>
                <w:color w:val="auto"/>
                <w:kern w:val="0"/>
                <w:sz w:val="21"/>
                <w:szCs w:val="21"/>
                <w:u w:val="none"/>
                <w:lang w:val="en-US" w:eastAsia="zh-CN" w:bidi="ar"/>
              </w:rPr>
              <w:t>2.</w:t>
            </w:r>
            <w:r>
              <w:rPr>
                <w:rFonts w:hint="default" w:ascii="Times New Roman" w:hAnsi="Times New Roman" w:eastAsia="仿宋_GB2312" w:cs="Times New Roman"/>
                <w:i w:val="0"/>
                <w:iCs w:val="0"/>
                <w:color w:val="auto"/>
                <w:kern w:val="0"/>
                <w:sz w:val="21"/>
                <w:szCs w:val="21"/>
                <w:u w:val="none"/>
                <w:lang w:val="en-US" w:eastAsia="zh-CN" w:bidi="ar"/>
              </w:rPr>
              <w:t>出国经费</w:t>
            </w:r>
          </w:p>
        </w:tc>
        <w:tc>
          <w:tcPr>
            <w:tcW w:w="2044" w:type="dxa"/>
            <w:gridSpan w:val="2"/>
            <w:shd w:val="clear" w:color="auto" w:fill="auto"/>
            <w:vAlign w:val="center"/>
          </w:tcPr>
          <w:p w14:paraId="1306558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56.89</w:t>
            </w:r>
          </w:p>
        </w:tc>
        <w:tc>
          <w:tcPr>
            <w:tcW w:w="2550" w:type="dxa"/>
            <w:gridSpan w:val="2"/>
            <w:shd w:val="clear" w:color="auto" w:fill="auto"/>
            <w:vAlign w:val="center"/>
          </w:tcPr>
          <w:p w14:paraId="48704C0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163.39</w:t>
            </w:r>
          </w:p>
        </w:tc>
        <w:tc>
          <w:tcPr>
            <w:tcW w:w="2212" w:type="dxa"/>
            <w:gridSpan w:val="2"/>
            <w:shd w:val="clear" w:color="auto" w:fill="auto"/>
            <w:vAlign w:val="center"/>
          </w:tcPr>
          <w:p w14:paraId="4CC1891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160.20</w:t>
            </w:r>
          </w:p>
        </w:tc>
      </w:tr>
      <w:tr w14:paraId="59428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09D91EA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w:t>
            </w:r>
            <w:r>
              <w:rPr>
                <w:rFonts w:hint="default" w:ascii="Times New Roman" w:hAnsi="Times New Roman" w:cs="Times New Roman"/>
                <w:i w:val="0"/>
                <w:iCs w:val="0"/>
                <w:color w:val="auto"/>
                <w:kern w:val="0"/>
                <w:sz w:val="21"/>
                <w:szCs w:val="21"/>
                <w:u w:val="none"/>
                <w:lang w:val="en-US" w:eastAsia="zh-CN" w:bidi="ar"/>
              </w:rPr>
              <w:t>3.</w:t>
            </w:r>
            <w:r>
              <w:rPr>
                <w:rFonts w:hint="default" w:ascii="Times New Roman" w:hAnsi="Times New Roman" w:eastAsia="仿宋_GB2312" w:cs="Times New Roman"/>
                <w:i w:val="0"/>
                <w:iCs w:val="0"/>
                <w:color w:val="auto"/>
                <w:kern w:val="0"/>
                <w:sz w:val="21"/>
                <w:szCs w:val="21"/>
                <w:u w:val="none"/>
                <w:lang w:val="en-US" w:eastAsia="zh-CN" w:bidi="ar"/>
              </w:rPr>
              <w:t>公务接待</w:t>
            </w:r>
          </w:p>
        </w:tc>
        <w:tc>
          <w:tcPr>
            <w:tcW w:w="2044" w:type="dxa"/>
            <w:gridSpan w:val="2"/>
            <w:shd w:val="clear" w:color="auto" w:fill="auto"/>
            <w:vAlign w:val="center"/>
          </w:tcPr>
          <w:p w14:paraId="7466CDE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15.93</w:t>
            </w:r>
          </w:p>
        </w:tc>
        <w:tc>
          <w:tcPr>
            <w:tcW w:w="2550" w:type="dxa"/>
            <w:gridSpan w:val="2"/>
            <w:shd w:val="clear" w:color="auto" w:fill="auto"/>
            <w:vAlign w:val="center"/>
          </w:tcPr>
          <w:p w14:paraId="6ACB55B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51.50</w:t>
            </w:r>
          </w:p>
        </w:tc>
        <w:tc>
          <w:tcPr>
            <w:tcW w:w="2212" w:type="dxa"/>
            <w:gridSpan w:val="2"/>
            <w:shd w:val="clear" w:color="auto" w:fill="auto"/>
            <w:vAlign w:val="center"/>
          </w:tcPr>
          <w:p w14:paraId="39A7DC7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34.80</w:t>
            </w:r>
          </w:p>
        </w:tc>
      </w:tr>
      <w:tr w14:paraId="56BB1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326F4804">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项目支出：</w:t>
            </w:r>
          </w:p>
        </w:tc>
        <w:tc>
          <w:tcPr>
            <w:tcW w:w="2044" w:type="dxa"/>
            <w:gridSpan w:val="2"/>
            <w:shd w:val="clear" w:color="auto" w:fill="auto"/>
            <w:vAlign w:val="center"/>
          </w:tcPr>
          <w:p w14:paraId="5E5E68A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55,381.64</w:t>
            </w:r>
          </w:p>
        </w:tc>
        <w:tc>
          <w:tcPr>
            <w:tcW w:w="2550" w:type="dxa"/>
            <w:gridSpan w:val="2"/>
            <w:shd w:val="clear" w:color="auto" w:fill="auto"/>
            <w:vAlign w:val="center"/>
          </w:tcPr>
          <w:p w14:paraId="440A95C0">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83,618.88</w:t>
            </w:r>
          </w:p>
        </w:tc>
        <w:tc>
          <w:tcPr>
            <w:tcW w:w="2212" w:type="dxa"/>
            <w:gridSpan w:val="2"/>
            <w:shd w:val="clear" w:color="auto" w:fill="auto"/>
            <w:vAlign w:val="center"/>
          </w:tcPr>
          <w:p w14:paraId="1C06FFD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63,436.03</w:t>
            </w:r>
          </w:p>
        </w:tc>
      </w:tr>
      <w:tr w14:paraId="74262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2522" w:type="dxa"/>
            <w:shd w:val="clear" w:color="auto" w:fill="auto"/>
            <w:vAlign w:val="center"/>
          </w:tcPr>
          <w:p w14:paraId="7371C100">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w:t>
            </w:r>
            <w:r>
              <w:rPr>
                <w:rFonts w:hint="default" w:ascii="Times New Roman" w:hAnsi="Times New Roman" w:cs="Times New Roman"/>
                <w:i w:val="0"/>
                <w:iCs w:val="0"/>
                <w:color w:val="auto"/>
                <w:kern w:val="0"/>
                <w:sz w:val="21"/>
                <w:szCs w:val="21"/>
                <w:u w:val="none"/>
                <w:lang w:val="en-US" w:eastAsia="zh-CN" w:bidi="ar"/>
              </w:rPr>
              <w:t>1.</w:t>
            </w:r>
            <w:r>
              <w:rPr>
                <w:rFonts w:hint="default" w:ascii="Times New Roman" w:hAnsi="Times New Roman" w:eastAsia="仿宋_GB2312" w:cs="Times New Roman"/>
                <w:i w:val="0"/>
                <w:iCs w:val="0"/>
                <w:color w:val="auto"/>
                <w:kern w:val="0"/>
                <w:sz w:val="21"/>
                <w:szCs w:val="21"/>
                <w:u w:val="none"/>
                <w:lang w:val="en-US" w:eastAsia="zh-CN" w:bidi="ar"/>
              </w:rPr>
              <w:t>业务工作经费</w:t>
            </w:r>
          </w:p>
        </w:tc>
        <w:tc>
          <w:tcPr>
            <w:tcW w:w="2044" w:type="dxa"/>
            <w:gridSpan w:val="2"/>
            <w:shd w:val="clear" w:color="auto" w:fill="auto"/>
            <w:vAlign w:val="center"/>
          </w:tcPr>
          <w:p w14:paraId="1A03D4D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6,004.61</w:t>
            </w:r>
          </w:p>
        </w:tc>
        <w:tc>
          <w:tcPr>
            <w:tcW w:w="2550" w:type="dxa"/>
            <w:gridSpan w:val="2"/>
            <w:shd w:val="clear" w:color="auto" w:fill="auto"/>
            <w:vAlign w:val="center"/>
          </w:tcPr>
          <w:p w14:paraId="2D87061C">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6,547.40</w:t>
            </w:r>
          </w:p>
        </w:tc>
        <w:tc>
          <w:tcPr>
            <w:tcW w:w="2212" w:type="dxa"/>
            <w:gridSpan w:val="2"/>
            <w:shd w:val="clear" w:color="auto" w:fill="auto"/>
            <w:vAlign w:val="center"/>
          </w:tcPr>
          <w:p w14:paraId="14DDF6DB">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4,610.00</w:t>
            </w:r>
          </w:p>
        </w:tc>
      </w:tr>
      <w:tr w14:paraId="0533B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2522" w:type="dxa"/>
            <w:shd w:val="clear" w:color="auto" w:fill="auto"/>
            <w:vAlign w:val="center"/>
          </w:tcPr>
          <w:p w14:paraId="0B1147AA">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w:t>
            </w:r>
            <w:r>
              <w:rPr>
                <w:rFonts w:hint="default" w:ascii="Times New Roman" w:hAnsi="Times New Roman" w:cs="Times New Roman"/>
                <w:i w:val="0"/>
                <w:iCs w:val="0"/>
                <w:color w:val="auto"/>
                <w:kern w:val="0"/>
                <w:sz w:val="21"/>
                <w:szCs w:val="21"/>
                <w:u w:val="none"/>
                <w:lang w:val="en-US" w:eastAsia="zh-CN" w:bidi="ar"/>
              </w:rPr>
              <w:t>2.</w:t>
            </w:r>
            <w:r>
              <w:rPr>
                <w:rFonts w:hint="default" w:ascii="Times New Roman" w:hAnsi="Times New Roman" w:eastAsia="仿宋_GB2312" w:cs="Times New Roman"/>
                <w:i w:val="0"/>
                <w:iCs w:val="0"/>
                <w:color w:val="auto"/>
                <w:kern w:val="0"/>
                <w:sz w:val="21"/>
                <w:szCs w:val="21"/>
                <w:u w:val="none"/>
                <w:lang w:val="en-US" w:eastAsia="zh-CN" w:bidi="ar"/>
              </w:rPr>
              <w:t>运行维护经费</w:t>
            </w:r>
          </w:p>
        </w:tc>
        <w:tc>
          <w:tcPr>
            <w:tcW w:w="2044" w:type="dxa"/>
            <w:gridSpan w:val="2"/>
            <w:shd w:val="clear" w:color="auto" w:fill="auto"/>
            <w:vAlign w:val="center"/>
          </w:tcPr>
          <w:p w14:paraId="123AF73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8,493.64</w:t>
            </w:r>
          </w:p>
        </w:tc>
        <w:tc>
          <w:tcPr>
            <w:tcW w:w="2550" w:type="dxa"/>
            <w:gridSpan w:val="2"/>
            <w:shd w:val="clear" w:color="auto" w:fill="auto"/>
            <w:vAlign w:val="center"/>
          </w:tcPr>
          <w:p w14:paraId="3BA2F56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3,349.99</w:t>
            </w:r>
          </w:p>
        </w:tc>
        <w:tc>
          <w:tcPr>
            <w:tcW w:w="2212" w:type="dxa"/>
            <w:gridSpan w:val="2"/>
            <w:shd w:val="clear" w:color="auto" w:fill="auto"/>
            <w:vAlign w:val="center"/>
          </w:tcPr>
          <w:p w14:paraId="75CD7D34">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2,263.77</w:t>
            </w:r>
          </w:p>
        </w:tc>
      </w:tr>
      <w:tr w14:paraId="5B800B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4E176A8">
            <w:pPr>
              <w:keepNext w:val="0"/>
              <w:keepLines w:val="0"/>
              <w:pageBreakBefore w:val="0"/>
              <w:widowControl w:val="0"/>
              <w:suppressLineNumbers w:val="0"/>
              <w:kinsoku/>
              <w:wordWrap/>
              <w:overflowPunct/>
              <w:topLinePunct w:val="0"/>
              <w:autoSpaceDE/>
              <w:autoSpaceDN/>
              <w:bidi w:val="0"/>
              <w:adjustRightInd/>
              <w:snapToGrid/>
              <w:spacing w:line="240" w:lineRule="exact"/>
              <w:ind w:firstLine="210" w:firstLineChars="1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3.</w:t>
            </w:r>
            <w:r>
              <w:rPr>
                <w:rFonts w:hint="default" w:ascii="Times New Roman" w:hAnsi="Times New Roman" w:eastAsia="仿宋_GB2312" w:cs="Times New Roman"/>
                <w:i w:val="0"/>
                <w:iCs w:val="0"/>
                <w:color w:val="auto"/>
                <w:kern w:val="0"/>
                <w:sz w:val="21"/>
                <w:szCs w:val="21"/>
                <w:u w:val="none"/>
                <w:lang w:val="en-US" w:eastAsia="zh-CN" w:bidi="ar"/>
              </w:rPr>
              <w:t>其他事业发展资金</w:t>
            </w:r>
          </w:p>
        </w:tc>
        <w:tc>
          <w:tcPr>
            <w:tcW w:w="2044" w:type="dxa"/>
            <w:gridSpan w:val="2"/>
            <w:shd w:val="clear" w:color="auto" w:fill="auto"/>
            <w:vAlign w:val="center"/>
          </w:tcPr>
          <w:p w14:paraId="0C022CD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21,623.95</w:t>
            </w:r>
          </w:p>
        </w:tc>
        <w:tc>
          <w:tcPr>
            <w:tcW w:w="2550" w:type="dxa"/>
            <w:gridSpan w:val="2"/>
            <w:shd w:val="clear" w:color="auto" w:fill="auto"/>
            <w:vAlign w:val="center"/>
          </w:tcPr>
          <w:p w14:paraId="780C142A">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57,201.23</w:t>
            </w:r>
          </w:p>
        </w:tc>
        <w:tc>
          <w:tcPr>
            <w:tcW w:w="2212" w:type="dxa"/>
            <w:gridSpan w:val="2"/>
            <w:shd w:val="clear" w:color="auto" w:fill="auto"/>
            <w:vAlign w:val="center"/>
          </w:tcPr>
          <w:p w14:paraId="4B5C2076">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46,337.80</w:t>
            </w:r>
          </w:p>
        </w:tc>
      </w:tr>
      <w:tr w14:paraId="4F1B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4F30A76">
            <w:pPr>
              <w:keepNext w:val="0"/>
              <w:keepLines w:val="0"/>
              <w:pageBreakBefore w:val="0"/>
              <w:widowControl w:val="0"/>
              <w:suppressLineNumbers w:val="0"/>
              <w:kinsoku/>
              <w:wordWrap/>
              <w:overflowPunct/>
              <w:topLinePunct w:val="0"/>
              <w:autoSpaceDE/>
              <w:autoSpaceDN/>
              <w:bidi w:val="0"/>
              <w:adjustRightInd/>
              <w:snapToGrid/>
              <w:spacing w:line="240" w:lineRule="exact"/>
              <w:ind w:firstLine="210" w:firstLineChars="1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4.</w:t>
            </w:r>
            <w:r>
              <w:rPr>
                <w:rFonts w:hint="default" w:ascii="Times New Roman" w:hAnsi="Times New Roman" w:eastAsia="仿宋_GB2312" w:cs="Times New Roman"/>
                <w:i w:val="0"/>
                <w:iCs w:val="0"/>
                <w:color w:val="auto"/>
                <w:kern w:val="0"/>
                <w:sz w:val="21"/>
                <w:szCs w:val="21"/>
                <w:u w:val="none"/>
                <w:lang w:val="en-US" w:eastAsia="zh-CN" w:bidi="ar"/>
              </w:rPr>
              <w:t>特定目标类</w:t>
            </w:r>
          </w:p>
        </w:tc>
        <w:tc>
          <w:tcPr>
            <w:tcW w:w="2044" w:type="dxa"/>
            <w:gridSpan w:val="2"/>
            <w:shd w:val="clear" w:color="auto" w:fill="auto"/>
            <w:vAlign w:val="center"/>
          </w:tcPr>
          <w:p w14:paraId="4E69310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w:t>
            </w:r>
          </w:p>
        </w:tc>
        <w:tc>
          <w:tcPr>
            <w:tcW w:w="2550" w:type="dxa"/>
            <w:gridSpan w:val="2"/>
            <w:shd w:val="clear" w:color="auto" w:fill="auto"/>
            <w:vAlign w:val="center"/>
          </w:tcPr>
          <w:p w14:paraId="4FB9CC0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2,000.00</w:t>
            </w:r>
          </w:p>
        </w:tc>
        <w:tc>
          <w:tcPr>
            <w:tcW w:w="2212" w:type="dxa"/>
            <w:gridSpan w:val="2"/>
            <w:shd w:val="clear" w:color="auto" w:fill="auto"/>
            <w:vAlign w:val="center"/>
          </w:tcPr>
          <w:p w14:paraId="624C896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1,427.06</w:t>
            </w:r>
          </w:p>
        </w:tc>
      </w:tr>
      <w:tr w14:paraId="7E0B0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7B5BB54C">
            <w:pPr>
              <w:keepNext w:val="0"/>
              <w:keepLines w:val="0"/>
              <w:pageBreakBefore w:val="0"/>
              <w:widowControl w:val="0"/>
              <w:suppressLineNumbers w:val="0"/>
              <w:kinsoku/>
              <w:wordWrap/>
              <w:overflowPunct/>
              <w:topLinePunct w:val="0"/>
              <w:autoSpaceDE/>
              <w:autoSpaceDN/>
              <w:bidi w:val="0"/>
              <w:adjustRightInd/>
              <w:snapToGrid/>
              <w:spacing w:line="240" w:lineRule="exact"/>
              <w:ind w:firstLine="210" w:firstLineChars="1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5.</w:t>
            </w:r>
            <w:r>
              <w:rPr>
                <w:rFonts w:hint="default" w:ascii="Times New Roman" w:hAnsi="Times New Roman" w:eastAsia="仿宋_GB2312" w:cs="Times New Roman"/>
                <w:i w:val="0"/>
                <w:iCs w:val="0"/>
                <w:color w:val="auto"/>
                <w:kern w:val="0"/>
                <w:sz w:val="21"/>
                <w:szCs w:val="21"/>
                <w:u w:val="none"/>
                <w:lang w:val="en-US" w:eastAsia="zh-CN" w:bidi="ar"/>
              </w:rPr>
              <w:t>省级专项资金</w:t>
            </w:r>
          </w:p>
        </w:tc>
        <w:tc>
          <w:tcPr>
            <w:tcW w:w="2044" w:type="dxa"/>
            <w:gridSpan w:val="2"/>
            <w:shd w:val="clear" w:color="auto" w:fill="auto"/>
            <w:vAlign w:val="center"/>
          </w:tcPr>
          <w:p w14:paraId="1BB701E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19,259.44</w:t>
            </w:r>
          </w:p>
        </w:tc>
        <w:tc>
          <w:tcPr>
            <w:tcW w:w="2550" w:type="dxa"/>
            <w:gridSpan w:val="2"/>
            <w:shd w:val="clear" w:color="auto" w:fill="auto"/>
            <w:vAlign w:val="center"/>
          </w:tcPr>
          <w:p w14:paraId="2368124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14,520.26</w:t>
            </w:r>
          </w:p>
        </w:tc>
        <w:tc>
          <w:tcPr>
            <w:tcW w:w="2212" w:type="dxa"/>
            <w:gridSpan w:val="2"/>
            <w:shd w:val="clear" w:color="auto" w:fill="auto"/>
            <w:vAlign w:val="center"/>
          </w:tcPr>
          <w:p w14:paraId="0BC7012B">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8,797.41</w:t>
            </w:r>
          </w:p>
        </w:tc>
      </w:tr>
      <w:tr w14:paraId="7D9F1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4D6A634A">
            <w:pPr>
              <w:keepNext w:val="0"/>
              <w:keepLines w:val="0"/>
              <w:pageBreakBefore w:val="0"/>
              <w:widowControl w:val="0"/>
              <w:suppressLineNumbers w:val="0"/>
              <w:kinsoku/>
              <w:wordWrap/>
              <w:overflowPunct/>
              <w:topLinePunct w:val="0"/>
              <w:autoSpaceDE/>
              <w:autoSpaceDN/>
              <w:bidi w:val="0"/>
              <w:adjustRightInd/>
              <w:snapToGrid/>
              <w:spacing w:line="240" w:lineRule="exact"/>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w:t>
            </w:r>
          </w:p>
        </w:tc>
        <w:tc>
          <w:tcPr>
            <w:tcW w:w="2044" w:type="dxa"/>
            <w:gridSpan w:val="2"/>
            <w:shd w:val="clear" w:color="auto" w:fill="auto"/>
            <w:vAlign w:val="center"/>
          </w:tcPr>
          <w:p w14:paraId="413F7E4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16,757.08</w:t>
            </w:r>
          </w:p>
        </w:tc>
        <w:tc>
          <w:tcPr>
            <w:tcW w:w="2550" w:type="dxa"/>
            <w:gridSpan w:val="2"/>
            <w:shd w:val="clear" w:color="auto" w:fill="auto"/>
            <w:vAlign w:val="center"/>
          </w:tcPr>
          <w:p w14:paraId="219F858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9,574.26</w:t>
            </w:r>
          </w:p>
        </w:tc>
        <w:tc>
          <w:tcPr>
            <w:tcW w:w="2212" w:type="dxa"/>
            <w:gridSpan w:val="2"/>
            <w:shd w:val="clear" w:color="auto" w:fill="auto"/>
            <w:vAlign w:val="center"/>
          </w:tcPr>
          <w:p w14:paraId="031FFDC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4,934.66</w:t>
            </w:r>
          </w:p>
        </w:tc>
      </w:tr>
      <w:tr w14:paraId="7299C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496EF419">
            <w:pPr>
              <w:keepNext w:val="0"/>
              <w:keepLines w:val="0"/>
              <w:pageBreakBefore w:val="0"/>
              <w:widowControl w:val="0"/>
              <w:suppressLineNumbers w:val="0"/>
              <w:kinsoku/>
              <w:wordWrap/>
              <w:overflowPunct/>
              <w:topLinePunct w:val="0"/>
              <w:autoSpaceDE/>
              <w:autoSpaceDN/>
              <w:bidi w:val="0"/>
              <w:adjustRightInd/>
              <w:snapToGrid/>
              <w:spacing w:line="240" w:lineRule="exact"/>
              <w:ind w:firstLine="420" w:firstLineChars="2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文物保护专项</w:t>
            </w:r>
          </w:p>
        </w:tc>
        <w:tc>
          <w:tcPr>
            <w:tcW w:w="2044" w:type="dxa"/>
            <w:gridSpan w:val="2"/>
            <w:shd w:val="clear" w:color="auto" w:fill="auto"/>
            <w:vAlign w:val="center"/>
          </w:tcPr>
          <w:p w14:paraId="162B0A6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2,028.50</w:t>
            </w:r>
          </w:p>
        </w:tc>
        <w:tc>
          <w:tcPr>
            <w:tcW w:w="2550" w:type="dxa"/>
            <w:gridSpan w:val="2"/>
            <w:shd w:val="clear" w:color="auto" w:fill="auto"/>
            <w:vAlign w:val="center"/>
          </w:tcPr>
          <w:p w14:paraId="1810675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3,181.00</w:t>
            </w:r>
          </w:p>
        </w:tc>
        <w:tc>
          <w:tcPr>
            <w:tcW w:w="2212" w:type="dxa"/>
            <w:gridSpan w:val="2"/>
            <w:shd w:val="clear" w:color="auto" w:fill="auto"/>
            <w:vAlign w:val="center"/>
          </w:tcPr>
          <w:p w14:paraId="7501054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2,495.84</w:t>
            </w:r>
          </w:p>
        </w:tc>
      </w:tr>
      <w:tr w14:paraId="441F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2522" w:type="dxa"/>
            <w:shd w:val="clear" w:color="auto" w:fill="auto"/>
            <w:vAlign w:val="center"/>
          </w:tcPr>
          <w:p w14:paraId="089403DD">
            <w:pPr>
              <w:keepNext w:val="0"/>
              <w:keepLines w:val="0"/>
              <w:pageBreakBefore w:val="0"/>
              <w:widowControl w:val="0"/>
              <w:suppressLineNumbers w:val="0"/>
              <w:kinsoku/>
              <w:wordWrap/>
              <w:overflowPunct/>
              <w:topLinePunct w:val="0"/>
              <w:autoSpaceDE/>
              <w:autoSpaceDN/>
              <w:bidi w:val="0"/>
              <w:adjustRightInd/>
              <w:snapToGrid/>
              <w:spacing w:line="240" w:lineRule="exact"/>
              <w:ind w:firstLine="420" w:firstLineChars="2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文化强省</w:t>
            </w:r>
            <w:r>
              <w:rPr>
                <w:rFonts w:hint="default" w:ascii="Times New Roman" w:hAnsi="Times New Roman" w:cs="Times New Roman"/>
                <w:i w:val="0"/>
                <w:iCs w:val="0"/>
                <w:color w:val="auto"/>
                <w:kern w:val="0"/>
                <w:sz w:val="21"/>
                <w:szCs w:val="21"/>
                <w:u w:val="none"/>
                <w:lang w:val="en-US" w:eastAsia="zh-CN" w:bidi="ar"/>
              </w:rPr>
              <w:t>发展</w:t>
            </w:r>
            <w:r>
              <w:rPr>
                <w:rFonts w:hint="default" w:ascii="Times New Roman" w:hAnsi="Times New Roman" w:eastAsia="仿宋_GB2312" w:cs="Times New Roman"/>
                <w:i w:val="0"/>
                <w:iCs w:val="0"/>
                <w:color w:val="auto"/>
                <w:kern w:val="0"/>
                <w:sz w:val="21"/>
                <w:szCs w:val="21"/>
                <w:u w:val="none"/>
                <w:lang w:val="en-US" w:eastAsia="zh-CN" w:bidi="ar"/>
              </w:rPr>
              <w:t>专项</w:t>
            </w:r>
          </w:p>
        </w:tc>
        <w:tc>
          <w:tcPr>
            <w:tcW w:w="2044" w:type="dxa"/>
            <w:gridSpan w:val="2"/>
            <w:shd w:val="clear" w:color="auto" w:fill="auto"/>
            <w:vAlign w:val="center"/>
          </w:tcPr>
          <w:p w14:paraId="2314604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335.11</w:t>
            </w:r>
          </w:p>
        </w:tc>
        <w:tc>
          <w:tcPr>
            <w:tcW w:w="2550" w:type="dxa"/>
            <w:gridSpan w:val="2"/>
            <w:shd w:val="clear" w:color="auto" w:fill="auto"/>
            <w:vAlign w:val="center"/>
          </w:tcPr>
          <w:p w14:paraId="4F8B902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519.00</w:t>
            </w:r>
          </w:p>
        </w:tc>
        <w:tc>
          <w:tcPr>
            <w:tcW w:w="2212" w:type="dxa"/>
            <w:gridSpan w:val="2"/>
            <w:shd w:val="clear" w:color="auto" w:fill="auto"/>
            <w:vAlign w:val="center"/>
          </w:tcPr>
          <w:p w14:paraId="7A87305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346.76</w:t>
            </w:r>
          </w:p>
        </w:tc>
      </w:tr>
      <w:tr w14:paraId="3CC172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8D6E216">
            <w:pPr>
              <w:keepNext w:val="0"/>
              <w:keepLines w:val="0"/>
              <w:pageBreakBefore w:val="0"/>
              <w:widowControl w:val="0"/>
              <w:suppressLineNumbers w:val="0"/>
              <w:kinsoku/>
              <w:wordWrap/>
              <w:overflowPunct/>
              <w:topLinePunct w:val="0"/>
              <w:autoSpaceDE/>
              <w:autoSpaceDN/>
              <w:bidi w:val="0"/>
              <w:adjustRightInd/>
              <w:snapToGrid/>
              <w:spacing w:line="240" w:lineRule="exact"/>
              <w:ind w:firstLine="420" w:firstLineChars="20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其他省级专项</w:t>
            </w:r>
          </w:p>
        </w:tc>
        <w:tc>
          <w:tcPr>
            <w:tcW w:w="2044" w:type="dxa"/>
            <w:gridSpan w:val="2"/>
            <w:shd w:val="clear" w:color="auto" w:fill="auto"/>
            <w:vAlign w:val="center"/>
          </w:tcPr>
          <w:p w14:paraId="417F4B10">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138.75</w:t>
            </w:r>
          </w:p>
        </w:tc>
        <w:tc>
          <w:tcPr>
            <w:tcW w:w="2550" w:type="dxa"/>
            <w:gridSpan w:val="2"/>
            <w:shd w:val="clear" w:color="auto" w:fill="auto"/>
            <w:vAlign w:val="center"/>
          </w:tcPr>
          <w:p w14:paraId="053D767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1,246.00</w:t>
            </w:r>
          </w:p>
        </w:tc>
        <w:tc>
          <w:tcPr>
            <w:tcW w:w="2212" w:type="dxa"/>
            <w:gridSpan w:val="2"/>
            <w:shd w:val="clear" w:color="auto" w:fill="auto"/>
            <w:vAlign w:val="center"/>
          </w:tcPr>
          <w:p w14:paraId="2335C31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1,020.15</w:t>
            </w:r>
          </w:p>
        </w:tc>
      </w:tr>
      <w:tr w14:paraId="32AC4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97" w:hRule="atLeast"/>
        </w:trPr>
        <w:tc>
          <w:tcPr>
            <w:tcW w:w="2522" w:type="dxa"/>
            <w:shd w:val="clear" w:color="auto" w:fill="auto"/>
            <w:vAlign w:val="center"/>
          </w:tcPr>
          <w:p w14:paraId="45DF071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公用经费</w:t>
            </w:r>
          </w:p>
        </w:tc>
        <w:tc>
          <w:tcPr>
            <w:tcW w:w="2044" w:type="dxa"/>
            <w:gridSpan w:val="2"/>
            <w:shd w:val="clear" w:color="auto" w:fill="auto"/>
            <w:vAlign w:val="center"/>
          </w:tcPr>
          <w:p w14:paraId="27954E7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5,654.32</w:t>
            </w:r>
          </w:p>
        </w:tc>
        <w:tc>
          <w:tcPr>
            <w:tcW w:w="2550" w:type="dxa"/>
            <w:gridSpan w:val="2"/>
            <w:shd w:val="clear" w:color="auto" w:fill="auto"/>
            <w:vAlign w:val="center"/>
          </w:tcPr>
          <w:p w14:paraId="7BD30E7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w:t>
            </w:r>
            <w:r>
              <w:rPr>
                <w:rFonts w:hint="default" w:ascii="Times New Roman" w:hAnsi="Times New Roman" w:cs="Times New Roman"/>
                <w:i w:val="0"/>
                <w:iCs w:val="0"/>
                <w:color w:val="auto"/>
                <w:kern w:val="0"/>
                <w:sz w:val="21"/>
                <w:szCs w:val="21"/>
                <w:u w:val="none"/>
                <w:lang w:val="en-US" w:eastAsia="zh-CN" w:bidi="ar"/>
              </w:rPr>
              <w:t>,</w:t>
            </w:r>
            <w:r>
              <w:rPr>
                <w:rFonts w:hint="default" w:ascii="Times New Roman" w:hAnsi="Times New Roman" w:eastAsia="仿宋_GB2312" w:cs="Times New Roman"/>
                <w:i w:val="0"/>
                <w:iCs w:val="0"/>
                <w:color w:val="auto"/>
                <w:kern w:val="0"/>
                <w:sz w:val="21"/>
                <w:szCs w:val="21"/>
                <w:u w:val="none"/>
                <w:lang w:val="en-US" w:eastAsia="zh-CN" w:bidi="ar"/>
              </w:rPr>
              <w:t>688.28</w:t>
            </w:r>
          </w:p>
        </w:tc>
        <w:tc>
          <w:tcPr>
            <w:tcW w:w="2212" w:type="dxa"/>
            <w:gridSpan w:val="2"/>
            <w:shd w:val="clear" w:color="auto" w:fill="auto"/>
            <w:vAlign w:val="center"/>
          </w:tcPr>
          <w:p w14:paraId="4E215BD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3,672.50</w:t>
            </w:r>
          </w:p>
        </w:tc>
      </w:tr>
      <w:tr w14:paraId="6764A7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380377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其中：办公经费</w:t>
            </w:r>
          </w:p>
        </w:tc>
        <w:tc>
          <w:tcPr>
            <w:tcW w:w="2044" w:type="dxa"/>
            <w:gridSpan w:val="2"/>
            <w:shd w:val="clear" w:color="auto" w:fill="auto"/>
            <w:vAlign w:val="center"/>
          </w:tcPr>
          <w:p w14:paraId="725530B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156.92</w:t>
            </w:r>
          </w:p>
        </w:tc>
        <w:tc>
          <w:tcPr>
            <w:tcW w:w="2550" w:type="dxa"/>
            <w:gridSpan w:val="2"/>
            <w:shd w:val="clear" w:color="auto" w:fill="auto"/>
            <w:vAlign w:val="center"/>
          </w:tcPr>
          <w:p w14:paraId="0344E0EB">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505.66</w:t>
            </w:r>
          </w:p>
        </w:tc>
        <w:tc>
          <w:tcPr>
            <w:tcW w:w="2212" w:type="dxa"/>
            <w:gridSpan w:val="2"/>
            <w:shd w:val="clear" w:color="auto" w:fill="auto"/>
            <w:vAlign w:val="center"/>
          </w:tcPr>
          <w:p w14:paraId="317FE94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497.36</w:t>
            </w:r>
          </w:p>
        </w:tc>
      </w:tr>
      <w:tr w14:paraId="3193B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1A95CC5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水费、电费、差旅费</w:t>
            </w:r>
          </w:p>
        </w:tc>
        <w:tc>
          <w:tcPr>
            <w:tcW w:w="2044" w:type="dxa"/>
            <w:gridSpan w:val="2"/>
            <w:shd w:val="clear" w:color="auto" w:fill="auto"/>
            <w:vAlign w:val="center"/>
          </w:tcPr>
          <w:p w14:paraId="49957FD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429.76</w:t>
            </w:r>
          </w:p>
        </w:tc>
        <w:tc>
          <w:tcPr>
            <w:tcW w:w="2550" w:type="dxa"/>
            <w:gridSpan w:val="2"/>
            <w:shd w:val="clear" w:color="auto" w:fill="auto"/>
            <w:vAlign w:val="center"/>
          </w:tcPr>
          <w:p w14:paraId="3915248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133.00</w:t>
            </w:r>
          </w:p>
        </w:tc>
        <w:tc>
          <w:tcPr>
            <w:tcW w:w="2212" w:type="dxa"/>
            <w:gridSpan w:val="2"/>
            <w:shd w:val="clear" w:color="auto" w:fill="auto"/>
            <w:vAlign w:val="center"/>
          </w:tcPr>
          <w:p w14:paraId="2925851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132.21</w:t>
            </w:r>
          </w:p>
        </w:tc>
      </w:tr>
      <w:tr w14:paraId="752BC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369FA8C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会议费、培训费</w:t>
            </w:r>
          </w:p>
        </w:tc>
        <w:tc>
          <w:tcPr>
            <w:tcW w:w="2044" w:type="dxa"/>
            <w:gridSpan w:val="2"/>
            <w:shd w:val="clear" w:color="auto" w:fill="auto"/>
            <w:vAlign w:val="center"/>
          </w:tcPr>
          <w:p w14:paraId="418A8C0A">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54.93</w:t>
            </w:r>
          </w:p>
        </w:tc>
        <w:tc>
          <w:tcPr>
            <w:tcW w:w="2550" w:type="dxa"/>
            <w:gridSpan w:val="2"/>
            <w:shd w:val="clear" w:color="auto" w:fill="auto"/>
            <w:vAlign w:val="center"/>
          </w:tcPr>
          <w:p w14:paraId="5485A481">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93.00</w:t>
            </w:r>
          </w:p>
        </w:tc>
        <w:tc>
          <w:tcPr>
            <w:tcW w:w="2212" w:type="dxa"/>
            <w:gridSpan w:val="2"/>
            <w:shd w:val="clear" w:color="auto" w:fill="auto"/>
            <w:vAlign w:val="center"/>
          </w:tcPr>
          <w:p w14:paraId="03892796">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89.15</w:t>
            </w:r>
          </w:p>
        </w:tc>
      </w:tr>
      <w:tr w14:paraId="61F55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3C74F28D">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政府采购金额</w:t>
            </w:r>
          </w:p>
        </w:tc>
        <w:tc>
          <w:tcPr>
            <w:tcW w:w="2044" w:type="dxa"/>
            <w:gridSpan w:val="2"/>
            <w:shd w:val="clear" w:color="auto" w:fill="auto"/>
            <w:vAlign w:val="center"/>
          </w:tcPr>
          <w:p w14:paraId="3A67BE8A">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2,627.88</w:t>
            </w:r>
          </w:p>
        </w:tc>
        <w:tc>
          <w:tcPr>
            <w:tcW w:w="2550" w:type="dxa"/>
            <w:gridSpan w:val="2"/>
            <w:shd w:val="clear" w:color="auto" w:fill="auto"/>
            <w:vAlign w:val="center"/>
          </w:tcPr>
          <w:p w14:paraId="223F9EF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w:t>
            </w:r>
          </w:p>
        </w:tc>
        <w:tc>
          <w:tcPr>
            <w:tcW w:w="2212" w:type="dxa"/>
            <w:gridSpan w:val="2"/>
            <w:shd w:val="clear" w:color="auto" w:fill="auto"/>
            <w:vAlign w:val="center"/>
          </w:tcPr>
          <w:p w14:paraId="72405A6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58,390.51</w:t>
            </w:r>
          </w:p>
        </w:tc>
      </w:tr>
      <w:tr w14:paraId="08788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522" w:type="dxa"/>
            <w:shd w:val="clear" w:color="auto" w:fill="auto"/>
            <w:vAlign w:val="center"/>
          </w:tcPr>
          <w:p w14:paraId="0EE7B9EE">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部门基本支出预算调整</w:t>
            </w:r>
          </w:p>
        </w:tc>
        <w:tc>
          <w:tcPr>
            <w:tcW w:w="2044" w:type="dxa"/>
            <w:gridSpan w:val="2"/>
            <w:shd w:val="clear" w:color="auto" w:fill="auto"/>
            <w:vAlign w:val="center"/>
          </w:tcPr>
          <w:p w14:paraId="7BB707B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2,802.45</w:t>
            </w:r>
          </w:p>
        </w:tc>
        <w:tc>
          <w:tcPr>
            <w:tcW w:w="2550" w:type="dxa"/>
            <w:gridSpan w:val="2"/>
            <w:shd w:val="clear" w:color="auto" w:fill="auto"/>
            <w:vAlign w:val="center"/>
          </w:tcPr>
          <w:p w14:paraId="602E64FD">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cs="Times New Roman"/>
                <w:i w:val="0"/>
                <w:iCs w:val="0"/>
                <w:color w:val="auto"/>
                <w:kern w:val="0"/>
                <w:sz w:val="21"/>
                <w:szCs w:val="21"/>
                <w:u w:val="none"/>
                <w:lang w:val="en-US" w:eastAsia="zh-CN" w:bidi="ar"/>
              </w:rPr>
              <w:t>—</w:t>
            </w:r>
          </w:p>
        </w:tc>
        <w:tc>
          <w:tcPr>
            <w:tcW w:w="2212" w:type="dxa"/>
            <w:gridSpan w:val="2"/>
            <w:shd w:val="clear" w:color="auto" w:fill="auto"/>
            <w:vAlign w:val="center"/>
          </w:tcPr>
          <w:p w14:paraId="6E7B525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337.81</w:t>
            </w:r>
          </w:p>
        </w:tc>
      </w:tr>
      <w:tr w14:paraId="114A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2" w:type="dxa"/>
            <w:vMerge w:val="restart"/>
            <w:shd w:val="clear" w:color="auto" w:fill="auto"/>
            <w:vAlign w:val="center"/>
          </w:tcPr>
          <w:p w14:paraId="44D84ED7">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楼堂馆所控制情况</w:t>
            </w:r>
          </w:p>
          <w:p w14:paraId="0AF8A947">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（202</w:t>
            </w:r>
            <w:r>
              <w:rPr>
                <w:rFonts w:hint="default" w:ascii="Times New Roman" w:hAnsi="Times New Roman" w:cs="Times New Roman"/>
                <w:i w:val="0"/>
                <w:iCs w:val="0"/>
                <w:color w:val="auto"/>
                <w:kern w:val="0"/>
                <w:sz w:val="21"/>
                <w:szCs w:val="21"/>
                <w:u w:val="none"/>
                <w:lang w:val="en-US" w:eastAsia="zh-CN" w:bidi="ar"/>
              </w:rPr>
              <w:t>5</w:t>
            </w:r>
            <w:r>
              <w:rPr>
                <w:rFonts w:hint="default" w:ascii="Times New Roman" w:hAnsi="Times New Roman" w:eastAsia="仿宋_GB2312" w:cs="Times New Roman"/>
                <w:i w:val="0"/>
                <w:iCs w:val="0"/>
                <w:color w:val="auto"/>
                <w:kern w:val="0"/>
                <w:sz w:val="21"/>
                <w:szCs w:val="21"/>
                <w:u w:val="none"/>
                <w:lang w:val="en-US" w:eastAsia="zh-CN" w:bidi="ar"/>
              </w:rPr>
              <w:t>年完工项目）</w:t>
            </w:r>
          </w:p>
        </w:tc>
        <w:tc>
          <w:tcPr>
            <w:tcW w:w="1060" w:type="dxa"/>
            <w:shd w:val="clear" w:color="auto" w:fill="auto"/>
            <w:vAlign w:val="center"/>
          </w:tcPr>
          <w:p w14:paraId="3F15CA5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 xml:space="preserve">批复规模 </w:t>
            </w:r>
          </w:p>
          <w:p w14:paraId="2EED3C77">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984" w:type="dxa"/>
            <w:shd w:val="clear" w:color="auto" w:fill="auto"/>
            <w:vAlign w:val="center"/>
          </w:tcPr>
          <w:p w14:paraId="2B476356">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实际规模（㎡） </w:t>
            </w:r>
          </w:p>
        </w:tc>
        <w:tc>
          <w:tcPr>
            <w:tcW w:w="1237" w:type="dxa"/>
            <w:shd w:val="clear" w:color="auto" w:fill="auto"/>
            <w:vAlign w:val="center"/>
          </w:tcPr>
          <w:p w14:paraId="637FE760">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规模控制率 </w:t>
            </w:r>
          </w:p>
        </w:tc>
        <w:tc>
          <w:tcPr>
            <w:tcW w:w="1313" w:type="dxa"/>
            <w:shd w:val="clear" w:color="auto" w:fill="auto"/>
            <w:vAlign w:val="center"/>
          </w:tcPr>
          <w:p w14:paraId="272FE908">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预算投资（万元） </w:t>
            </w:r>
          </w:p>
        </w:tc>
        <w:tc>
          <w:tcPr>
            <w:tcW w:w="1134" w:type="dxa"/>
            <w:shd w:val="clear" w:color="auto" w:fill="auto"/>
            <w:vAlign w:val="center"/>
          </w:tcPr>
          <w:p w14:paraId="2CF08FE3">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实际投资（万元） </w:t>
            </w:r>
          </w:p>
        </w:tc>
        <w:tc>
          <w:tcPr>
            <w:tcW w:w="1078" w:type="dxa"/>
            <w:shd w:val="clear" w:color="auto" w:fill="auto"/>
            <w:vAlign w:val="center"/>
          </w:tcPr>
          <w:p w14:paraId="21915A1F">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投资概算控制率 </w:t>
            </w:r>
          </w:p>
        </w:tc>
      </w:tr>
      <w:tr w14:paraId="0887A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522" w:type="dxa"/>
            <w:vMerge w:val="continue"/>
            <w:shd w:val="clear" w:color="auto" w:fill="auto"/>
            <w:noWrap/>
            <w:vAlign w:val="center"/>
          </w:tcPr>
          <w:p w14:paraId="6DECFF80">
            <w:pPr>
              <w:keepNext w:val="0"/>
              <w:keepLines w:val="0"/>
              <w:pageBreakBefore w:val="0"/>
              <w:widowControl w:val="0"/>
              <w:kinsoku/>
              <w:wordWrap/>
              <w:overflowPunct/>
              <w:topLinePunct w:val="0"/>
              <w:autoSpaceDE/>
              <w:autoSpaceDN/>
              <w:bidi w:val="0"/>
              <w:adjustRightInd/>
              <w:snapToGrid/>
              <w:spacing w:line="240" w:lineRule="exact"/>
              <w:ind w:firstLine="0" w:firstLineChars="0"/>
              <w:rPr>
                <w:rFonts w:hint="default" w:ascii="Times New Roman" w:hAnsi="Times New Roman" w:eastAsia="仿宋_GB2312" w:cs="Times New Roman"/>
                <w:i w:val="0"/>
                <w:iCs w:val="0"/>
                <w:color w:val="auto"/>
                <w:sz w:val="21"/>
                <w:szCs w:val="21"/>
                <w:u w:val="none"/>
              </w:rPr>
            </w:pPr>
          </w:p>
        </w:tc>
        <w:tc>
          <w:tcPr>
            <w:tcW w:w="1060" w:type="dxa"/>
            <w:shd w:val="clear" w:color="auto" w:fill="auto"/>
            <w:vAlign w:val="center"/>
          </w:tcPr>
          <w:p w14:paraId="28F5C8F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984" w:type="dxa"/>
            <w:shd w:val="clear" w:color="auto" w:fill="auto"/>
            <w:vAlign w:val="center"/>
          </w:tcPr>
          <w:p w14:paraId="0D94C859">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1237" w:type="dxa"/>
            <w:shd w:val="clear" w:color="auto" w:fill="auto"/>
            <w:vAlign w:val="center"/>
          </w:tcPr>
          <w:p w14:paraId="70A4DBA2">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1313" w:type="dxa"/>
            <w:shd w:val="clear" w:color="auto" w:fill="auto"/>
            <w:vAlign w:val="center"/>
          </w:tcPr>
          <w:p w14:paraId="2A7280C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1134" w:type="dxa"/>
            <w:shd w:val="clear" w:color="auto" w:fill="auto"/>
            <w:vAlign w:val="center"/>
          </w:tcPr>
          <w:p w14:paraId="01118B2B">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c>
          <w:tcPr>
            <w:tcW w:w="1078" w:type="dxa"/>
            <w:shd w:val="clear" w:color="auto" w:fill="auto"/>
            <w:vAlign w:val="center"/>
          </w:tcPr>
          <w:p w14:paraId="6CCD2285">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 xml:space="preserve"> 　--- </w:t>
            </w:r>
          </w:p>
        </w:tc>
      </w:tr>
      <w:tr w14:paraId="11404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rPr>
        <w:tc>
          <w:tcPr>
            <w:tcW w:w="2522" w:type="dxa"/>
            <w:shd w:val="clear" w:color="auto" w:fill="auto"/>
            <w:vAlign w:val="center"/>
          </w:tcPr>
          <w:p w14:paraId="538A394A">
            <w:pPr>
              <w:keepNext w:val="0"/>
              <w:keepLines w:val="0"/>
              <w:pageBreakBefore w:val="0"/>
              <w:widowControl w:val="0"/>
              <w:suppressLineNumbers w:val="0"/>
              <w:kinsoku/>
              <w:wordWrap/>
              <w:overflowPunct/>
              <w:topLinePunct w:val="0"/>
              <w:autoSpaceDE/>
              <w:autoSpaceDN/>
              <w:bidi w:val="0"/>
              <w:adjustRightInd/>
              <w:snapToGrid/>
              <w:spacing w:line="240" w:lineRule="exact"/>
              <w:ind w:firstLine="0" w:firstLineChars="0"/>
              <w:jc w:val="both"/>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厉行节约保障措施</w:t>
            </w:r>
          </w:p>
        </w:tc>
        <w:tc>
          <w:tcPr>
            <w:tcW w:w="6806" w:type="dxa"/>
            <w:gridSpan w:val="6"/>
            <w:shd w:val="clear" w:color="auto" w:fill="auto"/>
            <w:vAlign w:val="center"/>
          </w:tcPr>
          <w:p w14:paraId="2CBB8D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center"/>
              <w:rPr>
                <w:rFonts w:hint="default" w:ascii="Times New Roman" w:hAnsi="Times New Roman" w:eastAsia="仿宋_GB2312" w:cs="Times New Roman"/>
                <w:i w:val="0"/>
                <w:iCs w:val="0"/>
                <w:color w:val="000000"/>
                <w:kern w:val="2"/>
                <w:sz w:val="20"/>
                <w:szCs w:val="20"/>
                <w:u w:val="none"/>
                <w:lang w:val="en-US" w:eastAsia="zh-CN" w:bidi="ar-SA"/>
              </w:rPr>
            </w:pPr>
            <w:r>
              <w:rPr>
                <w:rFonts w:hint="default" w:ascii="Times New Roman" w:hAnsi="Times New Roman" w:eastAsia="仿宋_GB2312" w:cs="Times New Roman"/>
                <w:color w:val="000000"/>
                <w:kern w:val="0"/>
                <w:sz w:val="20"/>
                <w:szCs w:val="20"/>
                <w:lang w:val="en-US" w:eastAsia="zh-CN" w:bidi="ar"/>
              </w:rPr>
              <w:t>1.公用经费按照厉行节约的要求，根据部门实际需求、分项定额标准等从紧编制；2.坚决贯彻执行“中办”“国办”《关于厉行节约若干问题的通知》及中央八项规定</w:t>
            </w:r>
          </w:p>
        </w:tc>
      </w:tr>
    </w:tbl>
    <w:p w14:paraId="345A5879">
      <w:pPr>
        <w:pStyle w:val="56"/>
        <w:rPr>
          <w:rFonts w:hint="default" w:ascii="Times New Roman" w:hAnsi="Times New Roman" w:cs="Times New Roman"/>
          <w:sz w:val="21"/>
          <w:szCs w:val="21"/>
          <w:lang w:val="en-US" w:eastAsia="zh-CN"/>
        </w:rPr>
      </w:pPr>
      <w:r>
        <w:rPr>
          <w:rFonts w:hint="default" w:ascii="Times New Roman" w:hAnsi="Times New Roman" w:cs="Times New Roman"/>
          <w:sz w:val="21"/>
          <w:szCs w:val="21"/>
          <w:lang w:val="en-US" w:eastAsia="zh-CN"/>
        </w:rPr>
        <w:t>填表人：</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填报日期：202</w:t>
      </w:r>
      <w:r>
        <w:rPr>
          <w:rFonts w:hint="default" w:ascii="Times New Roman" w:hAnsi="Times New Roman" w:cs="Times New Roman"/>
          <w:sz w:val="21"/>
          <w:szCs w:val="21"/>
          <w:lang w:val="en-US" w:eastAsia="zh-CN"/>
        </w:rPr>
        <w:t>6</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5</w:t>
      </w:r>
      <w:r>
        <w:rPr>
          <w:rFonts w:hint="default" w:ascii="Times New Roman" w:hAnsi="Times New Roman" w:cs="Times New Roman"/>
          <w:sz w:val="21"/>
          <w:szCs w:val="21"/>
          <w:lang w:val="en-US" w:eastAsia="zh-CN"/>
        </w:rPr>
        <w:t>-</w:t>
      </w:r>
      <w:r>
        <w:rPr>
          <w:rFonts w:hint="default" w:ascii="Times New Roman" w:hAnsi="Times New Roman" w:cs="Times New Roman"/>
          <w:sz w:val="21"/>
          <w:szCs w:val="21"/>
          <w:lang w:val="en-US" w:eastAsia="zh-CN"/>
        </w:rPr>
        <w:t xml:space="preserve">10      </w:t>
      </w:r>
      <w:r>
        <w:rPr>
          <w:rFonts w:hint="default" w:ascii="Times New Roman" w:hAnsi="Times New Roman" w:cs="Times New Roman"/>
          <w:sz w:val="21"/>
          <w:szCs w:val="21"/>
          <w:lang w:val="en-US" w:eastAsia="zh-CN"/>
        </w:rPr>
        <w:t>联系电话：</w:t>
      </w:r>
      <w:r>
        <w:rPr>
          <w:rFonts w:hint="default" w:ascii="Times New Roman" w:hAnsi="Times New Roman" w:cs="Times New Roman"/>
          <w:sz w:val="21"/>
          <w:szCs w:val="21"/>
          <w:lang w:val="en-US" w:eastAsia="zh-CN"/>
        </w:rPr>
        <w:t xml:space="preserve">          </w:t>
      </w:r>
      <w:r>
        <w:rPr>
          <w:rFonts w:hint="default" w:ascii="Times New Roman" w:hAnsi="Times New Roman" w:cs="Times New Roman"/>
          <w:sz w:val="21"/>
          <w:szCs w:val="21"/>
          <w:lang w:val="en-US" w:eastAsia="zh-CN"/>
        </w:rPr>
        <w:t>单位负责人签字：</w:t>
      </w:r>
    </w:p>
    <w:p w14:paraId="4D8BC207">
      <w:pPr>
        <w:pStyle w:val="56"/>
        <w:rPr>
          <w:rFonts w:hint="default" w:ascii="Times New Roman" w:hAnsi="Times New Roman" w:cs="Times New Roman"/>
          <w:lang w:val="en-US" w:eastAsia="zh-CN"/>
        </w:rPr>
      </w:pPr>
      <w:r>
        <w:rPr>
          <w:rFonts w:hint="default" w:ascii="Times New Roman" w:hAnsi="Times New Roman" w:cs="Times New Roman"/>
          <w:lang w:val="en-US" w:eastAsia="zh-CN"/>
        </w:rPr>
        <w:t>附件2</w:t>
      </w:r>
    </w:p>
    <w:p w14:paraId="31E59A4D">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2025年度部门整体支出绩效自评表</w:t>
      </w:r>
    </w:p>
    <w:tbl>
      <w:tblPr>
        <w:tblStyle w:val="24"/>
        <w:tblW w:w="508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842"/>
        <w:gridCol w:w="733"/>
        <w:gridCol w:w="748"/>
        <w:gridCol w:w="1788"/>
        <w:gridCol w:w="1231"/>
        <w:gridCol w:w="1319"/>
        <w:gridCol w:w="719"/>
        <w:gridCol w:w="725"/>
        <w:gridCol w:w="998"/>
      </w:tblGrid>
      <w:tr w14:paraId="4E4F4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1275" w:type="pct"/>
            <w:gridSpan w:val="3"/>
            <w:shd w:val="clear" w:color="auto" w:fill="auto"/>
            <w:vAlign w:val="center"/>
          </w:tcPr>
          <w:p w14:paraId="56A858D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省级预算部门名称</w:t>
            </w:r>
          </w:p>
        </w:tc>
        <w:tc>
          <w:tcPr>
            <w:tcW w:w="3724" w:type="pct"/>
            <w:gridSpan w:val="6"/>
            <w:shd w:val="clear" w:color="auto" w:fill="auto"/>
            <w:vAlign w:val="center"/>
          </w:tcPr>
          <w:p w14:paraId="7E1A54D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r>
      <w:tr w14:paraId="73E71D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462" w:type="pct"/>
            <w:vMerge w:val="restart"/>
            <w:shd w:val="clear" w:color="auto" w:fill="auto"/>
            <w:vAlign w:val="center"/>
          </w:tcPr>
          <w:p w14:paraId="5552DAA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年度预</w:t>
            </w:r>
          </w:p>
          <w:p w14:paraId="318848F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算申请</w:t>
            </w:r>
          </w:p>
          <w:p w14:paraId="70F8013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（万元）</w:t>
            </w:r>
          </w:p>
        </w:tc>
        <w:tc>
          <w:tcPr>
            <w:tcW w:w="813" w:type="pct"/>
            <w:gridSpan w:val="2"/>
            <w:shd w:val="clear" w:color="auto" w:fill="auto"/>
            <w:vAlign w:val="center"/>
          </w:tcPr>
          <w:p w14:paraId="075D1FE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147ACC3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both"/>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年初预算数</w:t>
            </w:r>
          </w:p>
        </w:tc>
        <w:tc>
          <w:tcPr>
            <w:tcW w:w="676" w:type="pct"/>
            <w:shd w:val="clear" w:color="auto" w:fill="auto"/>
            <w:vAlign w:val="center"/>
          </w:tcPr>
          <w:p w14:paraId="4227E80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全年预算数</w:t>
            </w:r>
          </w:p>
        </w:tc>
        <w:tc>
          <w:tcPr>
            <w:tcW w:w="724" w:type="pct"/>
            <w:shd w:val="clear" w:color="auto" w:fill="auto"/>
            <w:vAlign w:val="center"/>
          </w:tcPr>
          <w:p w14:paraId="7FEF7F0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全年执行数</w:t>
            </w:r>
          </w:p>
        </w:tc>
        <w:tc>
          <w:tcPr>
            <w:tcW w:w="394" w:type="pct"/>
            <w:shd w:val="clear" w:color="auto" w:fill="auto"/>
            <w:vAlign w:val="center"/>
          </w:tcPr>
          <w:p w14:paraId="0B04E1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398" w:type="pct"/>
            <w:shd w:val="clear" w:color="auto" w:fill="auto"/>
            <w:vAlign w:val="center"/>
          </w:tcPr>
          <w:p w14:paraId="72C90AC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执行率</w:t>
            </w:r>
          </w:p>
        </w:tc>
        <w:tc>
          <w:tcPr>
            <w:tcW w:w="548" w:type="pct"/>
            <w:shd w:val="clear" w:color="auto" w:fill="auto"/>
            <w:vAlign w:val="center"/>
          </w:tcPr>
          <w:p w14:paraId="2253AC8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r>
      <w:tr w14:paraId="4CFC1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462" w:hRule="atLeast"/>
        </w:trPr>
        <w:tc>
          <w:tcPr>
            <w:tcW w:w="462" w:type="pct"/>
            <w:vMerge w:val="continue"/>
            <w:shd w:val="clear" w:color="auto" w:fill="auto"/>
            <w:vAlign w:val="center"/>
          </w:tcPr>
          <w:p w14:paraId="3A916DF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13" w:type="pct"/>
            <w:gridSpan w:val="2"/>
            <w:shd w:val="clear" w:color="auto" w:fill="auto"/>
            <w:vAlign w:val="center"/>
          </w:tcPr>
          <w:p w14:paraId="213D9CD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年度资金总额</w:t>
            </w:r>
          </w:p>
        </w:tc>
        <w:tc>
          <w:tcPr>
            <w:tcW w:w="982" w:type="pct"/>
            <w:shd w:val="clear" w:color="auto" w:fill="auto"/>
            <w:vAlign w:val="center"/>
          </w:tcPr>
          <w:p w14:paraId="3470DBF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89,849.48</w:t>
            </w:r>
          </w:p>
        </w:tc>
        <w:tc>
          <w:tcPr>
            <w:tcW w:w="676" w:type="pct"/>
            <w:shd w:val="clear" w:color="auto" w:fill="auto"/>
            <w:vAlign w:val="center"/>
          </w:tcPr>
          <w:p w14:paraId="7A55D56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154,763.41</w:t>
            </w:r>
          </w:p>
        </w:tc>
        <w:tc>
          <w:tcPr>
            <w:tcW w:w="724" w:type="pct"/>
            <w:shd w:val="clear" w:color="auto" w:fill="auto"/>
            <w:vAlign w:val="center"/>
          </w:tcPr>
          <w:p w14:paraId="6F10D51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xml:space="preserve">125,989.25 </w:t>
            </w:r>
          </w:p>
        </w:tc>
        <w:tc>
          <w:tcPr>
            <w:tcW w:w="394" w:type="pct"/>
            <w:shd w:val="clear" w:color="auto" w:fill="auto"/>
            <w:vAlign w:val="center"/>
          </w:tcPr>
          <w:p w14:paraId="6803FA5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w:t>
            </w:r>
          </w:p>
        </w:tc>
        <w:tc>
          <w:tcPr>
            <w:tcW w:w="398" w:type="pct"/>
            <w:shd w:val="clear" w:color="auto" w:fill="auto"/>
            <w:vAlign w:val="center"/>
          </w:tcPr>
          <w:p w14:paraId="5080FD1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81.41%</w:t>
            </w:r>
          </w:p>
        </w:tc>
        <w:tc>
          <w:tcPr>
            <w:tcW w:w="548" w:type="pct"/>
            <w:shd w:val="clear" w:color="auto" w:fill="auto"/>
            <w:vAlign w:val="center"/>
          </w:tcPr>
          <w:p w14:paraId="69608E9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8.14</w:t>
            </w:r>
          </w:p>
        </w:tc>
      </w:tr>
      <w:tr w14:paraId="53146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shd w:val="clear" w:color="auto" w:fill="auto"/>
            <w:vAlign w:val="center"/>
          </w:tcPr>
          <w:p w14:paraId="1FD6200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5A1700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按收入性质分：</w:t>
            </w:r>
          </w:p>
        </w:tc>
        <w:tc>
          <w:tcPr>
            <w:tcW w:w="2065" w:type="pct"/>
            <w:gridSpan w:val="4"/>
            <w:shd w:val="clear" w:color="auto" w:fill="auto"/>
            <w:vAlign w:val="center"/>
          </w:tcPr>
          <w:p w14:paraId="27231AB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按支出性质分：</w:t>
            </w:r>
          </w:p>
        </w:tc>
      </w:tr>
      <w:tr w14:paraId="532D9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shd w:val="clear" w:color="auto" w:fill="auto"/>
            <w:noWrap/>
            <w:vAlign w:val="center"/>
          </w:tcPr>
          <w:p w14:paraId="740F487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2348394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其中：一般公共预算：113,780.26</w:t>
            </w:r>
          </w:p>
        </w:tc>
        <w:tc>
          <w:tcPr>
            <w:tcW w:w="2065" w:type="pct"/>
            <w:gridSpan w:val="4"/>
            <w:shd w:val="clear" w:color="auto" w:fill="auto"/>
            <w:vAlign w:val="center"/>
          </w:tcPr>
          <w:p w14:paraId="4E996A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其中：基本支出：38,407.27</w:t>
            </w:r>
          </w:p>
        </w:tc>
      </w:tr>
      <w:tr w14:paraId="2F07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shd w:val="clear" w:color="auto" w:fill="auto"/>
            <w:noWrap/>
            <w:vAlign w:val="center"/>
          </w:tcPr>
          <w:p w14:paraId="7F8ED5E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3FD26CE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政府性基金拨款：986.00</w:t>
            </w:r>
          </w:p>
        </w:tc>
        <w:tc>
          <w:tcPr>
            <w:tcW w:w="2065" w:type="pct"/>
            <w:gridSpan w:val="4"/>
            <w:shd w:val="clear" w:color="auto" w:fill="auto"/>
            <w:vAlign w:val="center"/>
          </w:tcPr>
          <w:p w14:paraId="557BC3C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项目支出：116,239.31</w:t>
            </w:r>
          </w:p>
        </w:tc>
      </w:tr>
      <w:tr w14:paraId="3FF92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4" w:hRule="atLeast"/>
        </w:trPr>
        <w:tc>
          <w:tcPr>
            <w:tcW w:w="462" w:type="pct"/>
            <w:vMerge w:val="continue"/>
            <w:shd w:val="clear" w:color="auto" w:fill="auto"/>
            <w:noWrap/>
            <w:vAlign w:val="center"/>
          </w:tcPr>
          <w:p w14:paraId="5AC2B3F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636B950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事业收入：11,183.34</w:t>
            </w:r>
          </w:p>
        </w:tc>
        <w:tc>
          <w:tcPr>
            <w:tcW w:w="2065" w:type="pct"/>
            <w:gridSpan w:val="4"/>
            <w:shd w:val="clear" w:color="auto" w:fill="auto"/>
            <w:vAlign w:val="center"/>
          </w:tcPr>
          <w:p w14:paraId="262DFC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经营支出：116.83</w:t>
            </w:r>
          </w:p>
        </w:tc>
      </w:tr>
      <w:tr w14:paraId="1CF59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462" w:type="pct"/>
            <w:vMerge w:val="continue"/>
            <w:shd w:val="clear" w:color="auto" w:fill="auto"/>
            <w:noWrap/>
            <w:vAlign w:val="center"/>
          </w:tcPr>
          <w:p w14:paraId="428B3A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6239CB4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其他资金：779.32</w:t>
            </w:r>
          </w:p>
        </w:tc>
        <w:tc>
          <w:tcPr>
            <w:tcW w:w="2065" w:type="pct"/>
            <w:gridSpan w:val="4"/>
            <w:shd w:val="clear" w:color="auto" w:fill="auto"/>
            <w:vAlign w:val="center"/>
          </w:tcPr>
          <w:p w14:paraId="19863D6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09C1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462" w:type="pct"/>
            <w:vMerge w:val="restart"/>
            <w:shd w:val="clear" w:color="auto" w:fill="auto"/>
            <w:vAlign w:val="center"/>
          </w:tcPr>
          <w:p w14:paraId="42BB237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年度总体目标</w:t>
            </w:r>
          </w:p>
        </w:tc>
        <w:tc>
          <w:tcPr>
            <w:tcW w:w="2471" w:type="pct"/>
            <w:gridSpan w:val="4"/>
            <w:shd w:val="clear" w:color="auto" w:fill="auto"/>
            <w:vAlign w:val="center"/>
          </w:tcPr>
          <w:p w14:paraId="13E2F25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预期目标</w:t>
            </w:r>
          </w:p>
        </w:tc>
        <w:tc>
          <w:tcPr>
            <w:tcW w:w="2065" w:type="pct"/>
            <w:gridSpan w:val="4"/>
            <w:shd w:val="clear" w:color="auto" w:fill="auto"/>
            <w:vAlign w:val="center"/>
          </w:tcPr>
          <w:p w14:paraId="159054B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实际完成情况</w:t>
            </w:r>
          </w:p>
        </w:tc>
      </w:tr>
      <w:tr w14:paraId="12FCC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2745" w:hRule="atLeast"/>
        </w:trPr>
        <w:tc>
          <w:tcPr>
            <w:tcW w:w="462" w:type="pct"/>
            <w:vMerge w:val="continue"/>
            <w:shd w:val="clear" w:color="auto" w:fill="auto"/>
            <w:vAlign w:val="center"/>
          </w:tcPr>
          <w:p w14:paraId="178338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471" w:type="pct"/>
            <w:gridSpan w:val="4"/>
            <w:shd w:val="clear" w:color="auto" w:fill="auto"/>
            <w:vAlign w:val="center"/>
          </w:tcPr>
          <w:p w14:paraId="69C1CFD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坚持以习近平新时代中国特色社会主义思想和习近平文化思想为指导，全面贯彻党的二十大和二十届三中全会精神，坚决执行省委省政府相关会议精神与决策部署；不断创新宣传方式让更多人有机会近距离接触和了解传统艺术、走进剧场感受传统艺术的独特魅力；按照“一馆一院一网一策”总体思路，加快建设数字博物馆，加强人才队伍建设，打造“全省一体、上下联动”全省博物馆“一张网”，推动中国语言资源博物馆建设；完成主动性考古发掘项目工作任务，实施基本建设工程文物调查勘探和考古发掘项目；做好“阅读+</w:t>
            </w:r>
            <w:r>
              <w:rPr>
                <w:rFonts w:hint="default" w:ascii="Times New Roman" w:hAnsi="Times New Roman" w:cs="Times New Roman"/>
                <w:sz w:val="20"/>
                <w:szCs w:val="20"/>
                <w:lang w:val="en-US" w:eastAsia="zh-CN"/>
              </w:rPr>
              <w:t>”“</w:t>
            </w:r>
            <w:r>
              <w:rPr>
                <w:rFonts w:hint="default" w:ascii="Times New Roman" w:hAnsi="Times New Roman" w:eastAsia="仿宋_GB2312" w:cs="Times New Roman"/>
                <w:sz w:val="20"/>
                <w:szCs w:val="20"/>
                <w:lang w:val="en-US" w:eastAsia="zh-CN"/>
              </w:rPr>
              <w:t>图书馆+”文章，引入研学、文创等手段，拓宽传统文化、非遗传承等服务业态，实现图书馆高质量发展；通过公共文化活动、艺术人才培养等多种形式，繁荣群众文化事业，丰富群众精神文化生活。"</w:t>
            </w:r>
          </w:p>
        </w:tc>
        <w:tc>
          <w:tcPr>
            <w:tcW w:w="2065" w:type="pct"/>
            <w:gridSpan w:val="4"/>
            <w:shd w:val="clear" w:color="auto" w:fill="auto"/>
            <w:vAlign w:val="center"/>
          </w:tcPr>
          <w:p w14:paraId="6A86830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圆满完成年度既定目标任务，全省文旅经济稳步增长，文旅产业支柱作用持续凸显；传统艺术宣传推广形式不断创新，群众文化获得感显著提升；数字博物馆建设有序推进，全省博物馆一体化网络布局加快成型，中国语言资源博物馆建设稳步落地；顺利完成年度主动性考古发掘、基建工程文物勘探发掘全部任务；图书馆 “阅读+”“图书馆+” 新业态持续扩容，研学、文创、非遗服务业态不断丰富；公共文化惠民活动常态化开展，艺术创作与人才培养力度加大，城乡群众精神文化生活持续丰富充实；文旅公共服务、文物保护、艺术创作、产业融合、人才队伍建设等各领域工作达到年度预期成效。</w:t>
            </w:r>
          </w:p>
        </w:tc>
      </w:tr>
      <w:tr w14:paraId="7FD36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restart"/>
            <w:shd w:val="clear" w:color="auto" w:fill="auto"/>
            <w:vAlign w:val="center"/>
          </w:tcPr>
          <w:p w14:paraId="7E547E1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绩</w:t>
            </w:r>
          </w:p>
          <w:p w14:paraId="4EB7A1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w:t>
            </w:r>
          </w:p>
          <w:p w14:paraId="0F1B582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w:t>
            </w:r>
          </w:p>
          <w:p w14:paraId="6075E7C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标</w:t>
            </w:r>
          </w:p>
        </w:tc>
        <w:tc>
          <w:tcPr>
            <w:tcW w:w="402" w:type="pct"/>
            <w:shd w:val="clear" w:color="auto" w:fill="auto"/>
            <w:vAlign w:val="center"/>
          </w:tcPr>
          <w:p w14:paraId="242547F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一级</w:t>
            </w:r>
          </w:p>
          <w:p w14:paraId="4C730E2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指标</w:t>
            </w:r>
          </w:p>
        </w:tc>
        <w:tc>
          <w:tcPr>
            <w:tcW w:w="410" w:type="pct"/>
            <w:shd w:val="clear" w:color="auto" w:fill="auto"/>
            <w:vAlign w:val="center"/>
          </w:tcPr>
          <w:p w14:paraId="74B933A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二级指标</w:t>
            </w:r>
          </w:p>
        </w:tc>
        <w:tc>
          <w:tcPr>
            <w:tcW w:w="982" w:type="pct"/>
            <w:shd w:val="clear" w:color="auto" w:fill="auto"/>
            <w:vAlign w:val="center"/>
          </w:tcPr>
          <w:p w14:paraId="3EB405C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三级指标</w:t>
            </w:r>
          </w:p>
        </w:tc>
        <w:tc>
          <w:tcPr>
            <w:tcW w:w="676" w:type="pct"/>
            <w:shd w:val="clear" w:color="auto" w:fill="auto"/>
            <w:vAlign w:val="center"/>
          </w:tcPr>
          <w:p w14:paraId="5FA6F31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年度指标值</w:t>
            </w:r>
          </w:p>
        </w:tc>
        <w:tc>
          <w:tcPr>
            <w:tcW w:w="724" w:type="pct"/>
            <w:shd w:val="clear" w:color="auto" w:fill="auto"/>
            <w:vAlign w:val="center"/>
          </w:tcPr>
          <w:p w14:paraId="76249A7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实际完成值</w:t>
            </w:r>
          </w:p>
        </w:tc>
        <w:tc>
          <w:tcPr>
            <w:tcW w:w="394" w:type="pct"/>
            <w:shd w:val="clear" w:color="auto" w:fill="auto"/>
            <w:vAlign w:val="center"/>
          </w:tcPr>
          <w:p w14:paraId="60C792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398" w:type="pct"/>
            <w:shd w:val="clear" w:color="auto" w:fill="auto"/>
            <w:vAlign w:val="center"/>
          </w:tcPr>
          <w:p w14:paraId="59EC1E5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c>
          <w:tcPr>
            <w:tcW w:w="548" w:type="pct"/>
            <w:shd w:val="clear" w:color="auto" w:fill="auto"/>
            <w:vAlign w:val="center"/>
          </w:tcPr>
          <w:p w14:paraId="42EDB8B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偏差原因分析及改进措施</w:t>
            </w:r>
          </w:p>
        </w:tc>
      </w:tr>
      <w:tr w14:paraId="0C503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vAlign w:val="center"/>
          </w:tcPr>
          <w:p w14:paraId="784CCD7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restart"/>
            <w:shd w:val="clear" w:color="auto" w:fill="auto"/>
            <w:vAlign w:val="bottom"/>
          </w:tcPr>
          <w:p w14:paraId="1F6E648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产出指标</w:t>
            </w:r>
          </w:p>
          <w:p w14:paraId="5BE211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（52</w:t>
            </w:r>
            <w:r>
              <w:rPr>
                <w:rFonts w:hint="default" w:ascii="Times New Roman" w:hAnsi="Times New Roman" w:eastAsia="仿宋_GB2312" w:cs="Times New Roman"/>
                <w:sz w:val="20"/>
                <w:szCs w:val="20"/>
                <w:lang w:val="en-US" w:eastAsia="zh-CN"/>
              </w:rPr>
              <w:t>分</w:t>
            </w:r>
            <w:r>
              <w:rPr>
                <w:rFonts w:hint="default" w:ascii="Times New Roman" w:hAnsi="Times New Roman" w:cs="Times New Roman"/>
                <w:sz w:val="20"/>
                <w:szCs w:val="20"/>
                <w:lang w:val="en-US" w:eastAsia="zh-CN"/>
              </w:rPr>
              <w:t>）</w:t>
            </w:r>
          </w:p>
        </w:tc>
        <w:tc>
          <w:tcPr>
            <w:tcW w:w="410" w:type="pct"/>
            <w:vMerge w:val="restart"/>
            <w:shd w:val="clear" w:color="auto" w:fill="auto"/>
            <w:vAlign w:val="center"/>
          </w:tcPr>
          <w:p w14:paraId="2BB9E49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2398A22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5DE1502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3E1E740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7D14EB3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15A103B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408F81E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791E722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4568A93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2533D73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09945EA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6350E40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7235D27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568693E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7BF801D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数量指标</w:t>
            </w:r>
          </w:p>
        </w:tc>
        <w:tc>
          <w:tcPr>
            <w:tcW w:w="982" w:type="pct"/>
            <w:shd w:val="clear" w:color="auto" w:fill="auto"/>
            <w:vAlign w:val="center"/>
          </w:tcPr>
          <w:p w14:paraId="4C42BDC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服务导游</w:t>
            </w:r>
          </w:p>
        </w:tc>
        <w:tc>
          <w:tcPr>
            <w:tcW w:w="676" w:type="pct"/>
            <w:shd w:val="clear" w:color="auto" w:fill="auto"/>
            <w:vAlign w:val="center"/>
          </w:tcPr>
          <w:p w14:paraId="6EAB26E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w:t>
            </w:r>
            <w:r>
              <w:rPr>
                <w:rFonts w:hint="default" w:ascii="Times New Roman" w:hAnsi="Times New Roman" w:cs="Times New Roman"/>
                <w:sz w:val="20"/>
                <w:szCs w:val="20"/>
                <w:lang w:val="en-US" w:eastAsia="zh-CN"/>
              </w:rPr>
              <w:t>2000名</w:t>
            </w:r>
          </w:p>
        </w:tc>
        <w:tc>
          <w:tcPr>
            <w:tcW w:w="724" w:type="pct"/>
            <w:shd w:val="clear" w:color="auto" w:fill="auto"/>
            <w:vAlign w:val="center"/>
          </w:tcPr>
          <w:p w14:paraId="74AEF4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4000</w:t>
            </w:r>
            <w:r>
              <w:rPr>
                <w:rFonts w:hint="default" w:ascii="Times New Roman" w:hAnsi="Times New Roman" w:eastAsia="仿宋_GB2312" w:cs="Times New Roman"/>
                <w:sz w:val="20"/>
                <w:szCs w:val="20"/>
                <w:lang w:val="en-US" w:eastAsia="zh-CN"/>
              </w:rPr>
              <w:t xml:space="preserve"> 名</w:t>
            </w:r>
          </w:p>
        </w:tc>
        <w:tc>
          <w:tcPr>
            <w:tcW w:w="394" w:type="pct"/>
            <w:shd w:val="clear" w:color="auto" w:fill="auto"/>
            <w:vAlign w:val="center"/>
          </w:tcPr>
          <w:p w14:paraId="4A2A9EE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FF00A8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3A91DA0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639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vAlign w:val="center"/>
          </w:tcPr>
          <w:p w14:paraId="58BA825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577ED1A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54A887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E4C80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省博物馆藏品保护修复件数</w:t>
            </w:r>
          </w:p>
        </w:tc>
        <w:tc>
          <w:tcPr>
            <w:tcW w:w="676" w:type="pct"/>
            <w:shd w:val="clear" w:color="auto" w:fill="auto"/>
            <w:vAlign w:val="center"/>
          </w:tcPr>
          <w:p w14:paraId="4D8F0FB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≥100件</w:t>
            </w:r>
          </w:p>
        </w:tc>
        <w:tc>
          <w:tcPr>
            <w:tcW w:w="724" w:type="pct"/>
            <w:shd w:val="clear" w:color="auto" w:fill="auto"/>
            <w:vAlign w:val="center"/>
          </w:tcPr>
          <w:p w14:paraId="7132993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106 件</w:t>
            </w:r>
          </w:p>
        </w:tc>
        <w:tc>
          <w:tcPr>
            <w:tcW w:w="394" w:type="pct"/>
            <w:shd w:val="clear" w:color="auto" w:fill="auto"/>
            <w:vAlign w:val="center"/>
          </w:tcPr>
          <w:p w14:paraId="76B0894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63BAF10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17C29C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7DE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vAlign w:val="center"/>
          </w:tcPr>
          <w:p w14:paraId="18A50B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15A1937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CF759C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325B834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省博物馆免费开放天数</w:t>
            </w:r>
          </w:p>
        </w:tc>
        <w:tc>
          <w:tcPr>
            <w:tcW w:w="676" w:type="pct"/>
            <w:shd w:val="clear" w:color="auto" w:fill="auto"/>
            <w:vAlign w:val="center"/>
          </w:tcPr>
          <w:p w14:paraId="4480077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≥300天</w:t>
            </w:r>
          </w:p>
        </w:tc>
        <w:tc>
          <w:tcPr>
            <w:tcW w:w="724" w:type="pct"/>
            <w:shd w:val="clear" w:color="auto" w:fill="auto"/>
            <w:vAlign w:val="center"/>
          </w:tcPr>
          <w:p w14:paraId="1526001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312 天</w:t>
            </w:r>
          </w:p>
        </w:tc>
        <w:tc>
          <w:tcPr>
            <w:tcW w:w="394" w:type="pct"/>
            <w:shd w:val="clear" w:color="auto" w:fill="auto"/>
            <w:vAlign w:val="center"/>
          </w:tcPr>
          <w:p w14:paraId="0B9E123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3C4A085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066467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DC6A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vAlign w:val="center"/>
          </w:tcPr>
          <w:p w14:paraId="45F81B0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5883EED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16CBC3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4F59D5A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省图书馆采购书刊、地方文献册数</w:t>
            </w:r>
          </w:p>
        </w:tc>
        <w:tc>
          <w:tcPr>
            <w:tcW w:w="676" w:type="pct"/>
            <w:shd w:val="clear" w:color="auto" w:fill="auto"/>
            <w:vAlign w:val="center"/>
          </w:tcPr>
          <w:p w14:paraId="0F060D9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≥10万册</w:t>
            </w:r>
          </w:p>
        </w:tc>
        <w:tc>
          <w:tcPr>
            <w:tcW w:w="724" w:type="pct"/>
            <w:shd w:val="clear" w:color="auto" w:fill="auto"/>
            <w:vAlign w:val="center"/>
          </w:tcPr>
          <w:p w14:paraId="73B3BE2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10.8 万册</w:t>
            </w:r>
          </w:p>
        </w:tc>
        <w:tc>
          <w:tcPr>
            <w:tcW w:w="394" w:type="pct"/>
            <w:shd w:val="clear" w:color="auto" w:fill="auto"/>
            <w:vAlign w:val="center"/>
          </w:tcPr>
          <w:p w14:paraId="4210D6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766B4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2C74C1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47F0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D337F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C0063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BD1A09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57BEC5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厅艺术幼儿园全年招生人数</w:t>
            </w:r>
          </w:p>
        </w:tc>
        <w:tc>
          <w:tcPr>
            <w:tcW w:w="676" w:type="pct"/>
            <w:shd w:val="clear" w:color="auto" w:fill="auto"/>
            <w:vAlign w:val="center"/>
          </w:tcPr>
          <w:p w14:paraId="5BEC68A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≥1200人</w:t>
            </w:r>
          </w:p>
        </w:tc>
        <w:tc>
          <w:tcPr>
            <w:tcW w:w="724" w:type="pct"/>
            <w:shd w:val="clear" w:color="auto" w:fill="auto"/>
            <w:vAlign w:val="center"/>
          </w:tcPr>
          <w:p w14:paraId="2813739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124</w:t>
            </w:r>
            <w:r>
              <w:rPr>
                <w:rFonts w:hint="default" w:ascii="Times New Roman" w:hAnsi="Times New Roman" w:cs="Times New Roman"/>
                <w:sz w:val="20"/>
                <w:szCs w:val="20"/>
                <w:lang w:val="en-US" w:eastAsia="zh-CN"/>
              </w:rPr>
              <w:t>1</w:t>
            </w:r>
            <w:r>
              <w:rPr>
                <w:rFonts w:hint="default" w:ascii="Times New Roman" w:hAnsi="Times New Roman" w:eastAsia="仿宋_GB2312" w:cs="Times New Roman"/>
                <w:sz w:val="20"/>
                <w:szCs w:val="20"/>
                <w:lang w:val="en-US" w:eastAsia="zh-CN"/>
              </w:rPr>
              <w:t xml:space="preserve"> 人</w:t>
            </w:r>
          </w:p>
        </w:tc>
        <w:tc>
          <w:tcPr>
            <w:tcW w:w="394" w:type="pct"/>
            <w:shd w:val="clear" w:color="auto" w:fill="auto"/>
            <w:vAlign w:val="center"/>
          </w:tcPr>
          <w:p w14:paraId="5A717E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BCC8D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B8437A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EC49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0E5878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B14CC2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E2EB34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07833CD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文化志愿服务系列活动次数</w:t>
            </w:r>
          </w:p>
        </w:tc>
        <w:tc>
          <w:tcPr>
            <w:tcW w:w="676" w:type="pct"/>
            <w:shd w:val="clear" w:color="auto" w:fill="auto"/>
            <w:vAlign w:val="center"/>
          </w:tcPr>
          <w:p w14:paraId="17CBA2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≥4场</w:t>
            </w:r>
          </w:p>
        </w:tc>
        <w:tc>
          <w:tcPr>
            <w:tcW w:w="724" w:type="pct"/>
            <w:shd w:val="clear" w:color="auto" w:fill="auto"/>
            <w:vAlign w:val="center"/>
          </w:tcPr>
          <w:p w14:paraId="0254B27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 场</w:t>
            </w:r>
          </w:p>
        </w:tc>
        <w:tc>
          <w:tcPr>
            <w:tcW w:w="394" w:type="pct"/>
            <w:shd w:val="clear" w:color="auto" w:fill="auto"/>
            <w:vAlign w:val="center"/>
          </w:tcPr>
          <w:p w14:paraId="02C9616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341EB05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11782FD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91AE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235682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50DB182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65741EE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DCBCEF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古籍展览次数</w:t>
            </w:r>
          </w:p>
        </w:tc>
        <w:tc>
          <w:tcPr>
            <w:tcW w:w="676" w:type="pct"/>
            <w:shd w:val="clear" w:color="auto" w:fill="auto"/>
            <w:vAlign w:val="center"/>
          </w:tcPr>
          <w:p w14:paraId="65E9FEB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≥3场</w:t>
            </w:r>
          </w:p>
        </w:tc>
        <w:tc>
          <w:tcPr>
            <w:tcW w:w="724" w:type="pct"/>
            <w:shd w:val="clear" w:color="auto" w:fill="auto"/>
            <w:vAlign w:val="center"/>
          </w:tcPr>
          <w:p w14:paraId="537215A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 场</w:t>
            </w:r>
          </w:p>
        </w:tc>
        <w:tc>
          <w:tcPr>
            <w:tcW w:w="394" w:type="pct"/>
            <w:shd w:val="clear" w:color="auto" w:fill="auto"/>
            <w:vAlign w:val="center"/>
          </w:tcPr>
          <w:p w14:paraId="6DE53F3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3E37A2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2A9DF92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C4A5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C3C605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72A4D08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231C0D9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6F2F97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打造“图书馆+”文旅融合新业态数量</w:t>
            </w:r>
          </w:p>
        </w:tc>
        <w:tc>
          <w:tcPr>
            <w:tcW w:w="676" w:type="pct"/>
            <w:shd w:val="clear" w:color="auto" w:fill="auto"/>
            <w:vAlign w:val="center"/>
          </w:tcPr>
          <w:p w14:paraId="52DCAC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≥10个</w:t>
            </w:r>
          </w:p>
        </w:tc>
        <w:tc>
          <w:tcPr>
            <w:tcW w:w="724" w:type="pct"/>
            <w:shd w:val="clear" w:color="auto" w:fill="auto"/>
            <w:vAlign w:val="center"/>
          </w:tcPr>
          <w:p w14:paraId="726C063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 个</w:t>
            </w:r>
          </w:p>
        </w:tc>
        <w:tc>
          <w:tcPr>
            <w:tcW w:w="394" w:type="pct"/>
            <w:shd w:val="clear" w:color="auto" w:fill="auto"/>
            <w:vAlign w:val="center"/>
          </w:tcPr>
          <w:p w14:paraId="675F45B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C3BB6C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7F5D49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1574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8E7A84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259EF6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4698E6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65EA32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创排、复排皮影戏、木偶剧数量</w:t>
            </w:r>
          </w:p>
        </w:tc>
        <w:tc>
          <w:tcPr>
            <w:tcW w:w="676" w:type="pct"/>
            <w:shd w:val="clear" w:color="auto" w:fill="auto"/>
            <w:vAlign w:val="center"/>
          </w:tcPr>
          <w:p w14:paraId="320F817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≥4个</w:t>
            </w:r>
          </w:p>
        </w:tc>
        <w:tc>
          <w:tcPr>
            <w:tcW w:w="724" w:type="pct"/>
            <w:shd w:val="clear" w:color="auto" w:fill="auto"/>
            <w:vAlign w:val="center"/>
          </w:tcPr>
          <w:p w14:paraId="2E000B3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 个</w:t>
            </w:r>
          </w:p>
        </w:tc>
        <w:tc>
          <w:tcPr>
            <w:tcW w:w="394" w:type="pct"/>
            <w:shd w:val="clear" w:color="auto" w:fill="auto"/>
            <w:vAlign w:val="center"/>
          </w:tcPr>
          <w:p w14:paraId="77B88C3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346636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293B9E7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54E4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E8E2A5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446D16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A0F1ED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8F2349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考古发掘项目数</w:t>
            </w:r>
          </w:p>
        </w:tc>
        <w:tc>
          <w:tcPr>
            <w:tcW w:w="676" w:type="pct"/>
            <w:shd w:val="clear" w:color="auto" w:fill="auto"/>
            <w:vAlign w:val="center"/>
          </w:tcPr>
          <w:p w14:paraId="66C403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≥10个</w:t>
            </w:r>
          </w:p>
        </w:tc>
        <w:tc>
          <w:tcPr>
            <w:tcW w:w="724" w:type="pct"/>
            <w:shd w:val="clear" w:color="auto" w:fill="auto"/>
            <w:vAlign w:val="center"/>
          </w:tcPr>
          <w:p w14:paraId="331F7A0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 个</w:t>
            </w:r>
          </w:p>
        </w:tc>
        <w:tc>
          <w:tcPr>
            <w:tcW w:w="394" w:type="pct"/>
            <w:shd w:val="clear" w:color="auto" w:fill="auto"/>
            <w:vAlign w:val="center"/>
          </w:tcPr>
          <w:p w14:paraId="731154F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7F1F3FF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73A5802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4476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B0873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6151A79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CBF75A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04D9A7F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创作复排花鼓戏剧目数量</w:t>
            </w:r>
          </w:p>
        </w:tc>
        <w:tc>
          <w:tcPr>
            <w:tcW w:w="676" w:type="pct"/>
            <w:shd w:val="clear" w:color="auto" w:fill="auto"/>
            <w:vAlign w:val="center"/>
          </w:tcPr>
          <w:p w14:paraId="686CD87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≥4台</w:t>
            </w:r>
          </w:p>
        </w:tc>
        <w:tc>
          <w:tcPr>
            <w:tcW w:w="724" w:type="pct"/>
            <w:shd w:val="clear" w:color="auto" w:fill="auto"/>
            <w:vAlign w:val="center"/>
          </w:tcPr>
          <w:p w14:paraId="45E81D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 台</w:t>
            </w:r>
          </w:p>
        </w:tc>
        <w:tc>
          <w:tcPr>
            <w:tcW w:w="394" w:type="pct"/>
            <w:shd w:val="clear" w:color="auto" w:fill="auto"/>
            <w:vAlign w:val="center"/>
          </w:tcPr>
          <w:p w14:paraId="6B4C79D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49CAD0C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2120E10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428C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5BC840D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66FC78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2D1615E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0E554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举办博物院展览数量</w:t>
            </w:r>
          </w:p>
        </w:tc>
        <w:tc>
          <w:tcPr>
            <w:tcW w:w="676" w:type="pct"/>
            <w:shd w:val="clear" w:color="auto" w:fill="auto"/>
            <w:vAlign w:val="center"/>
          </w:tcPr>
          <w:p w14:paraId="1EC3E48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≥8个</w:t>
            </w:r>
          </w:p>
        </w:tc>
        <w:tc>
          <w:tcPr>
            <w:tcW w:w="724" w:type="pct"/>
            <w:shd w:val="clear" w:color="auto" w:fill="auto"/>
            <w:vAlign w:val="center"/>
          </w:tcPr>
          <w:p w14:paraId="2FA5842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 个</w:t>
            </w:r>
          </w:p>
        </w:tc>
        <w:tc>
          <w:tcPr>
            <w:tcW w:w="394" w:type="pct"/>
            <w:shd w:val="clear" w:color="auto" w:fill="auto"/>
            <w:vAlign w:val="center"/>
          </w:tcPr>
          <w:p w14:paraId="641D36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3CA879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0D2738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6F1A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BD69D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4ADDFD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76DA2B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39BBE66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导游证考试信息咨询人次</w:t>
            </w:r>
          </w:p>
        </w:tc>
        <w:tc>
          <w:tcPr>
            <w:tcW w:w="676" w:type="pct"/>
            <w:shd w:val="clear" w:color="auto" w:fill="auto"/>
            <w:vAlign w:val="center"/>
          </w:tcPr>
          <w:p w14:paraId="153A38C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=8000人次</w:t>
            </w:r>
          </w:p>
        </w:tc>
        <w:tc>
          <w:tcPr>
            <w:tcW w:w="724" w:type="pct"/>
            <w:shd w:val="clear" w:color="auto" w:fill="auto"/>
            <w:vAlign w:val="center"/>
          </w:tcPr>
          <w:p w14:paraId="306260D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10000</w:t>
            </w:r>
            <w:r>
              <w:rPr>
                <w:rFonts w:hint="default" w:ascii="Times New Roman" w:hAnsi="Times New Roman" w:eastAsia="仿宋_GB2312" w:cs="Times New Roman"/>
                <w:sz w:val="20"/>
                <w:szCs w:val="20"/>
                <w:lang w:val="en-US" w:eastAsia="zh-CN"/>
              </w:rPr>
              <w:t xml:space="preserve"> 人次</w:t>
            </w:r>
          </w:p>
        </w:tc>
        <w:tc>
          <w:tcPr>
            <w:tcW w:w="394" w:type="pct"/>
            <w:shd w:val="clear" w:color="auto" w:fill="auto"/>
            <w:vAlign w:val="center"/>
          </w:tcPr>
          <w:p w14:paraId="33FEEB3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60B033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7043709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AC31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E98A6F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C32ABE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C4844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09523A0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旅游信息咨询人次</w:t>
            </w:r>
          </w:p>
        </w:tc>
        <w:tc>
          <w:tcPr>
            <w:tcW w:w="676" w:type="pct"/>
            <w:shd w:val="clear" w:color="auto" w:fill="auto"/>
            <w:vAlign w:val="center"/>
          </w:tcPr>
          <w:p w14:paraId="5DFA9B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=10000人次</w:t>
            </w:r>
          </w:p>
        </w:tc>
        <w:tc>
          <w:tcPr>
            <w:tcW w:w="724" w:type="pct"/>
            <w:shd w:val="clear" w:color="auto" w:fill="auto"/>
            <w:vAlign w:val="center"/>
          </w:tcPr>
          <w:p w14:paraId="543944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r>
              <w:rPr>
                <w:rFonts w:hint="default" w:ascii="Times New Roman" w:hAnsi="Times New Roman" w:cs="Times New Roman"/>
                <w:sz w:val="20"/>
                <w:szCs w:val="20"/>
                <w:lang w:val="en-US" w:eastAsia="zh-CN"/>
              </w:rPr>
              <w:t>2772</w:t>
            </w:r>
            <w:r>
              <w:rPr>
                <w:rFonts w:hint="default" w:ascii="Times New Roman" w:hAnsi="Times New Roman" w:eastAsia="仿宋_GB2312" w:cs="Times New Roman"/>
                <w:sz w:val="20"/>
                <w:szCs w:val="20"/>
                <w:lang w:val="en-US" w:eastAsia="zh-CN"/>
              </w:rPr>
              <w:t xml:space="preserve"> 人次</w:t>
            </w:r>
          </w:p>
        </w:tc>
        <w:tc>
          <w:tcPr>
            <w:tcW w:w="394" w:type="pct"/>
            <w:shd w:val="clear" w:color="auto" w:fill="auto"/>
            <w:vAlign w:val="center"/>
          </w:tcPr>
          <w:p w14:paraId="3AF4B0A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42F93F0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45C7D25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CA4B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F54A1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2140F4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restart"/>
            <w:shd w:val="clear" w:color="auto" w:fill="auto"/>
            <w:vAlign w:val="center"/>
          </w:tcPr>
          <w:p w14:paraId="3AC906A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质量指标</w:t>
            </w:r>
          </w:p>
        </w:tc>
        <w:tc>
          <w:tcPr>
            <w:tcW w:w="982" w:type="pct"/>
            <w:shd w:val="clear" w:color="auto" w:fill="auto"/>
            <w:vAlign w:val="center"/>
          </w:tcPr>
          <w:p w14:paraId="76DBF5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导游证书核发投诉人数占比</w:t>
            </w:r>
          </w:p>
        </w:tc>
        <w:tc>
          <w:tcPr>
            <w:tcW w:w="676" w:type="pct"/>
            <w:shd w:val="clear" w:color="auto" w:fill="auto"/>
            <w:vAlign w:val="center"/>
          </w:tcPr>
          <w:p w14:paraId="1DB7EB6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w:t>
            </w:r>
            <w:r>
              <w:rPr>
                <w:rFonts w:hint="default" w:ascii="Times New Roman" w:hAnsi="Times New Roman" w:eastAsia="仿宋_GB2312" w:cs="Times New Roman"/>
                <w:sz w:val="20"/>
                <w:szCs w:val="20"/>
                <w:lang w:val="en-US" w:eastAsia="zh-CN"/>
              </w:rPr>
              <w:t>5%</w:t>
            </w:r>
          </w:p>
        </w:tc>
        <w:tc>
          <w:tcPr>
            <w:tcW w:w="724" w:type="pct"/>
            <w:shd w:val="clear" w:color="auto" w:fill="auto"/>
            <w:vAlign w:val="center"/>
          </w:tcPr>
          <w:p w14:paraId="22CED86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0</w:t>
            </w:r>
          </w:p>
        </w:tc>
        <w:tc>
          <w:tcPr>
            <w:tcW w:w="394" w:type="pct"/>
            <w:shd w:val="clear" w:color="auto" w:fill="auto"/>
            <w:vAlign w:val="center"/>
          </w:tcPr>
          <w:p w14:paraId="1C8D538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712B61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42B5C72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F466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050DBC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75472AE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27DF53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ADF6EC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教师队伍培训达标率</w:t>
            </w:r>
          </w:p>
        </w:tc>
        <w:tc>
          <w:tcPr>
            <w:tcW w:w="676" w:type="pct"/>
            <w:shd w:val="clear" w:color="auto" w:fill="auto"/>
            <w:vAlign w:val="center"/>
          </w:tcPr>
          <w:p w14:paraId="317E4AE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62199AB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59BC1F7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37B52B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FDC2D9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5D6B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281611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EEE3BB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E9514A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4CC06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培训教学达标率</w:t>
            </w:r>
          </w:p>
        </w:tc>
        <w:tc>
          <w:tcPr>
            <w:tcW w:w="676" w:type="pct"/>
            <w:shd w:val="clear" w:color="auto" w:fill="auto"/>
            <w:vAlign w:val="center"/>
          </w:tcPr>
          <w:p w14:paraId="662787A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724" w:type="pct"/>
            <w:shd w:val="clear" w:color="auto" w:fill="auto"/>
            <w:vAlign w:val="center"/>
          </w:tcPr>
          <w:p w14:paraId="0C04869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w:t>
            </w:r>
          </w:p>
        </w:tc>
        <w:tc>
          <w:tcPr>
            <w:tcW w:w="394" w:type="pct"/>
            <w:shd w:val="clear" w:color="auto" w:fill="auto"/>
            <w:vAlign w:val="center"/>
          </w:tcPr>
          <w:p w14:paraId="4C3ED38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48C750A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710963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8EE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B49D2A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19C9B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40A1A4E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3E39F1C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免费开放时间达标率</w:t>
            </w:r>
          </w:p>
        </w:tc>
        <w:tc>
          <w:tcPr>
            <w:tcW w:w="676" w:type="pct"/>
            <w:shd w:val="clear" w:color="auto" w:fill="auto"/>
            <w:vAlign w:val="center"/>
          </w:tcPr>
          <w:p w14:paraId="234D4C2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3D87D0C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31ABCAF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C1B0D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F5982E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EAF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C83938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0AE69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61998D3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E21FE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资金发放合规率</w:t>
            </w:r>
          </w:p>
        </w:tc>
        <w:tc>
          <w:tcPr>
            <w:tcW w:w="676" w:type="pct"/>
            <w:shd w:val="clear" w:color="auto" w:fill="auto"/>
            <w:vAlign w:val="center"/>
          </w:tcPr>
          <w:p w14:paraId="7269957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1211E7A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3658F4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6166181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329F208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8F2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C1BB6B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747E48D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9769B7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356C8CA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图书总藏量增长率</w:t>
            </w:r>
          </w:p>
        </w:tc>
        <w:tc>
          <w:tcPr>
            <w:tcW w:w="676" w:type="pct"/>
            <w:shd w:val="clear" w:color="auto" w:fill="auto"/>
            <w:vAlign w:val="center"/>
          </w:tcPr>
          <w:p w14:paraId="36225B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724" w:type="pct"/>
            <w:shd w:val="clear" w:color="auto" w:fill="auto"/>
            <w:vAlign w:val="center"/>
          </w:tcPr>
          <w:p w14:paraId="46DA69A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5.6%</w:t>
            </w:r>
          </w:p>
        </w:tc>
        <w:tc>
          <w:tcPr>
            <w:tcW w:w="394" w:type="pct"/>
            <w:shd w:val="clear" w:color="auto" w:fill="auto"/>
            <w:vAlign w:val="center"/>
          </w:tcPr>
          <w:p w14:paraId="3AE1AF8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690002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16AB99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8A95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75824F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ACE692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66E0F97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37FC1A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剧目编排达标率</w:t>
            </w:r>
          </w:p>
        </w:tc>
        <w:tc>
          <w:tcPr>
            <w:tcW w:w="676" w:type="pct"/>
            <w:shd w:val="clear" w:color="auto" w:fill="auto"/>
            <w:vAlign w:val="center"/>
          </w:tcPr>
          <w:p w14:paraId="52DA645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532E256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5EAC739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48C0ADA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156CFB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EEBE7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67026B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07C8191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79DE98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92D85D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文物修复达标率</w:t>
            </w:r>
          </w:p>
        </w:tc>
        <w:tc>
          <w:tcPr>
            <w:tcW w:w="676" w:type="pct"/>
            <w:shd w:val="clear" w:color="auto" w:fill="auto"/>
            <w:vAlign w:val="center"/>
          </w:tcPr>
          <w:p w14:paraId="3D713D6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29BBCF2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3ACA6DC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A196BF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1AD0F74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BAFE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AEACF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21A523F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C5023B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3A73B9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项目验收合格率</w:t>
            </w:r>
          </w:p>
        </w:tc>
        <w:tc>
          <w:tcPr>
            <w:tcW w:w="676" w:type="pct"/>
            <w:shd w:val="clear" w:color="auto" w:fill="auto"/>
            <w:vAlign w:val="center"/>
          </w:tcPr>
          <w:p w14:paraId="79832D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14C0615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1DBE8A4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9DFF24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C08A3B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C9AB3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3401AD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5F0ACDE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73196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162F0B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演出项目完成率</w:t>
            </w:r>
          </w:p>
        </w:tc>
        <w:tc>
          <w:tcPr>
            <w:tcW w:w="676" w:type="pct"/>
            <w:shd w:val="clear" w:color="auto" w:fill="auto"/>
            <w:vAlign w:val="center"/>
          </w:tcPr>
          <w:p w14:paraId="52F65E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724" w:type="pct"/>
            <w:shd w:val="clear" w:color="auto" w:fill="auto"/>
            <w:vAlign w:val="center"/>
          </w:tcPr>
          <w:p w14:paraId="25DA71A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w:t>
            </w:r>
          </w:p>
        </w:tc>
        <w:tc>
          <w:tcPr>
            <w:tcW w:w="394" w:type="pct"/>
            <w:shd w:val="clear" w:color="auto" w:fill="auto"/>
            <w:vAlign w:val="center"/>
          </w:tcPr>
          <w:p w14:paraId="3B01E66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5C552EC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35A37EA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0D60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225446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A0DB44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28E0CA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7A2EE6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文旅服务受益人群增长率</w:t>
            </w:r>
          </w:p>
        </w:tc>
        <w:tc>
          <w:tcPr>
            <w:tcW w:w="676" w:type="pct"/>
            <w:shd w:val="clear" w:color="auto" w:fill="auto"/>
            <w:vAlign w:val="center"/>
          </w:tcPr>
          <w:p w14:paraId="1B09B92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724" w:type="pct"/>
            <w:shd w:val="clear" w:color="auto" w:fill="auto"/>
            <w:vAlign w:val="center"/>
          </w:tcPr>
          <w:p w14:paraId="0599243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2.8%</w:t>
            </w:r>
          </w:p>
        </w:tc>
        <w:tc>
          <w:tcPr>
            <w:tcW w:w="394" w:type="pct"/>
            <w:shd w:val="clear" w:color="auto" w:fill="auto"/>
            <w:vAlign w:val="center"/>
          </w:tcPr>
          <w:p w14:paraId="04D605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11B73BC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3187C34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F1964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1D82CE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4AC394A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restart"/>
            <w:shd w:val="clear" w:color="auto" w:fill="auto"/>
            <w:vAlign w:val="center"/>
          </w:tcPr>
          <w:p w14:paraId="4DB502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35D7631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4164CE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p w14:paraId="7E38CF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时效指标</w:t>
            </w:r>
          </w:p>
        </w:tc>
        <w:tc>
          <w:tcPr>
            <w:tcW w:w="982" w:type="pct"/>
            <w:shd w:val="clear" w:color="auto" w:fill="auto"/>
            <w:vAlign w:val="center"/>
          </w:tcPr>
          <w:p w14:paraId="454979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文旅业务活动开展时间</w:t>
            </w:r>
          </w:p>
        </w:tc>
        <w:tc>
          <w:tcPr>
            <w:tcW w:w="676" w:type="pct"/>
            <w:shd w:val="clear" w:color="auto" w:fill="auto"/>
            <w:vAlign w:val="center"/>
          </w:tcPr>
          <w:p w14:paraId="14F6EFE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2025年12月31日前</w:t>
            </w:r>
          </w:p>
        </w:tc>
        <w:tc>
          <w:tcPr>
            <w:tcW w:w="724" w:type="pct"/>
            <w:shd w:val="clear" w:color="auto" w:fill="auto"/>
            <w:vAlign w:val="center"/>
          </w:tcPr>
          <w:p w14:paraId="516ADC1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12 月 25 日前全部完成</w:t>
            </w:r>
          </w:p>
        </w:tc>
        <w:tc>
          <w:tcPr>
            <w:tcW w:w="394" w:type="pct"/>
            <w:shd w:val="clear" w:color="auto" w:fill="auto"/>
            <w:vAlign w:val="center"/>
          </w:tcPr>
          <w:p w14:paraId="4F7269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1AE5A6A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5E70C5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AF0B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501F48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B8BDD9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26B9ECE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560506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演出启动时间</w:t>
            </w:r>
          </w:p>
        </w:tc>
        <w:tc>
          <w:tcPr>
            <w:tcW w:w="676" w:type="pct"/>
            <w:shd w:val="clear" w:color="auto" w:fill="auto"/>
            <w:vAlign w:val="center"/>
          </w:tcPr>
          <w:p w14:paraId="6476BF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2025年6月30日前</w:t>
            </w:r>
          </w:p>
        </w:tc>
        <w:tc>
          <w:tcPr>
            <w:tcW w:w="724" w:type="pct"/>
            <w:shd w:val="clear" w:color="auto" w:fill="auto"/>
            <w:vAlign w:val="center"/>
          </w:tcPr>
          <w:p w14:paraId="29A3770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6 月中旬启动</w:t>
            </w:r>
          </w:p>
        </w:tc>
        <w:tc>
          <w:tcPr>
            <w:tcW w:w="394" w:type="pct"/>
            <w:shd w:val="clear" w:color="auto" w:fill="auto"/>
            <w:vAlign w:val="center"/>
          </w:tcPr>
          <w:p w14:paraId="36C3477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C2F11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51F8647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90DB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733E57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4E473D3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B9C28F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1B15D1F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艺术创作及展览项目启动时间</w:t>
            </w:r>
          </w:p>
        </w:tc>
        <w:tc>
          <w:tcPr>
            <w:tcW w:w="676" w:type="pct"/>
            <w:shd w:val="clear" w:color="auto" w:fill="auto"/>
            <w:vAlign w:val="center"/>
          </w:tcPr>
          <w:p w14:paraId="1B3866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2025年6月30日前</w:t>
            </w:r>
          </w:p>
        </w:tc>
        <w:tc>
          <w:tcPr>
            <w:tcW w:w="724" w:type="pct"/>
            <w:shd w:val="clear" w:color="auto" w:fill="auto"/>
            <w:vAlign w:val="center"/>
          </w:tcPr>
          <w:p w14:paraId="5823F18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6 月下旬全部启动</w:t>
            </w:r>
          </w:p>
        </w:tc>
        <w:tc>
          <w:tcPr>
            <w:tcW w:w="394" w:type="pct"/>
            <w:shd w:val="clear" w:color="auto" w:fill="auto"/>
            <w:vAlign w:val="center"/>
          </w:tcPr>
          <w:p w14:paraId="04B8D5B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10B7ED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2889A23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610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739768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04EFDCB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16EB2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41AB01C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项目验收及时率</w:t>
            </w:r>
          </w:p>
        </w:tc>
        <w:tc>
          <w:tcPr>
            <w:tcW w:w="676" w:type="pct"/>
            <w:shd w:val="clear" w:color="auto" w:fill="auto"/>
            <w:vAlign w:val="center"/>
          </w:tcPr>
          <w:p w14:paraId="6C3D519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4" w:type="pct"/>
            <w:shd w:val="clear" w:color="auto" w:fill="auto"/>
            <w:vAlign w:val="center"/>
          </w:tcPr>
          <w:p w14:paraId="2275609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4" w:type="pct"/>
            <w:shd w:val="clear" w:color="auto" w:fill="auto"/>
            <w:vAlign w:val="center"/>
          </w:tcPr>
          <w:p w14:paraId="602B574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7346958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3A34C1B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127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CC1C0B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7509DDC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72EE27F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81A00F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财政资金下拨时间</w:t>
            </w:r>
          </w:p>
        </w:tc>
        <w:tc>
          <w:tcPr>
            <w:tcW w:w="676" w:type="pct"/>
            <w:shd w:val="clear" w:color="auto" w:fill="auto"/>
            <w:vAlign w:val="center"/>
          </w:tcPr>
          <w:p w14:paraId="04453CD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2025年9月底前全部拨付完成</w:t>
            </w:r>
          </w:p>
        </w:tc>
        <w:tc>
          <w:tcPr>
            <w:tcW w:w="724" w:type="pct"/>
            <w:shd w:val="clear" w:color="auto" w:fill="auto"/>
            <w:vAlign w:val="center"/>
          </w:tcPr>
          <w:p w14:paraId="78A0E11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9 月 28 日前拨付到位</w:t>
            </w:r>
          </w:p>
        </w:tc>
        <w:tc>
          <w:tcPr>
            <w:tcW w:w="394" w:type="pct"/>
            <w:shd w:val="clear" w:color="auto" w:fill="auto"/>
            <w:vAlign w:val="center"/>
          </w:tcPr>
          <w:p w14:paraId="797E8CD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6924A9B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04A2FB8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49081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680D3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restart"/>
            <w:shd w:val="clear" w:color="auto" w:fill="auto"/>
            <w:vAlign w:val="center"/>
          </w:tcPr>
          <w:p w14:paraId="118EB66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成本指标（</w:t>
            </w:r>
            <w:r>
              <w:rPr>
                <w:rFonts w:hint="default" w:ascii="Times New Roman" w:hAnsi="Times New Roman" w:cs="Times New Roman"/>
                <w:sz w:val="20"/>
                <w:szCs w:val="20"/>
                <w:lang w:val="en-US" w:eastAsia="zh-CN"/>
              </w:rPr>
              <w:t>10</w:t>
            </w:r>
            <w:r>
              <w:rPr>
                <w:rFonts w:hint="default" w:ascii="Times New Roman" w:hAnsi="Times New Roman" w:eastAsia="仿宋_GB2312" w:cs="Times New Roman"/>
                <w:sz w:val="20"/>
                <w:szCs w:val="20"/>
                <w:lang w:val="en-US" w:eastAsia="zh-CN"/>
              </w:rPr>
              <w:t>分）</w:t>
            </w:r>
          </w:p>
        </w:tc>
        <w:tc>
          <w:tcPr>
            <w:tcW w:w="410" w:type="pct"/>
            <w:vMerge w:val="restart"/>
            <w:shd w:val="clear" w:color="auto" w:fill="auto"/>
            <w:vAlign w:val="center"/>
          </w:tcPr>
          <w:p w14:paraId="5C52D9C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经济成本指标</w:t>
            </w:r>
          </w:p>
        </w:tc>
        <w:tc>
          <w:tcPr>
            <w:tcW w:w="982" w:type="pct"/>
            <w:shd w:val="clear" w:color="auto" w:fill="auto"/>
            <w:vAlign w:val="center"/>
          </w:tcPr>
          <w:p w14:paraId="7F1CEEC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京剧大戏创排制作成本</w:t>
            </w:r>
          </w:p>
        </w:tc>
        <w:tc>
          <w:tcPr>
            <w:tcW w:w="676" w:type="pct"/>
            <w:shd w:val="clear" w:color="auto" w:fill="auto"/>
            <w:vAlign w:val="center"/>
          </w:tcPr>
          <w:p w14:paraId="2D92F7F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≤100万元</w:t>
            </w:r>
          </w:p>
        </w:tc>
        <w:tc>
          <w:tcPr>
            <w:tcW w:w="724" w:type="pct"/>
            <w:shd w:val="clear" w:color="auto" w:fill="auto"/>
            <w:vAlign w:val="center"/>
          </w:tcPr>
          <w:p w14:paraId="6C0213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96.8 万元</w:t>
            </w:r>
          </w:p>
        </w:tc>
        <w:tc>
          <w:tcPr>
            <w:tcW w:w="394" w:type="pct"/>
            <w:shd w:val="clear" w:color="auto" w:fill="auto"/>
            <w:vAlign w:val="center"/>
          </w:tcPr>
          <w:p w14:paraId="3462B0B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268803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0633D15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16C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6A243D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4D413A2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86BBDF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88B786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各类展演费用成本</w:t>
            </w:r>
          </w:p>
        </w:tc>
        <w:tc>
          <w:tcPr>
            <w:tcW w:w="676" w:type="pct"/>
            <w:shd w:val="clear" w:color="auto" w:fill="auto"/>
            <w:vAlign w:val="center"/>
          </w:tcPr>
          <w:p w14:paraId="5069B77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≤180万元</w:t>
            </w:r>
          </w:p>
        </w:tc>
        <w:tc>
          <w:tcPr>
            <w:tcW w:w="724" w:type="pct"/>
            <w:shd w:val="clear" w:color="auto" w:fill="auto"/>
            <w:vAlign w:val="center"/>
          </w:tcPr>
          <w:p w14:paraId="38B979E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172.6 万元</w:t>
            </w:r>
          </w:p>
        </w:tc>
        <w:tc>
          <w:tcPr>
            <w:tcW w:w="394" w:type="pct"/>
            <w:shd w:val="clear" w:color="auto" w:fill="auto"/>
            <w:vAlign w:val="center"/>
          </w:tcPr>
          <w:p w14:paraId="29C4EBB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3DEF1C2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71D17E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A13E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56E20B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6B27669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57A7E0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588BC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非遗展演剧场体质改造成本</w:t>
            </w:r>
          </w:p>
        </w:tc>
        <w:tc>
          <w:tcPr>
            <w:tcW w:w="676" w:type="pct"/>
            <w:shd w:val="clear" w:color="auto" w:fill="auto"/>
            <w:vAlign w:val="center"/>
          </w:tcPr>
          <w:p w14:paraId="4210836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≤368.3万元</w:t>
            </w:r>
          </w:p>
        </w:tc>
        <w:tc>
          <w:tcPr>
            <w:tcW w:w="724" w:type="pct"/>
            <w:shd w:val="clear" w:color="auto" w:fill="auto"/>
            <w:vAlign w:val="center"/>
          </w:tcPr>
          <w:p w14:paraId="0C9A058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361.2 万元</w:t>
            </w:r>
          </w:p>
        </w:tc>
        <w:tc>
          <w:tcPr>
            <w:tcW w:w="394" w:type="pct"/>
            <w:shd w:val="clear" w:color="auto" w:fill="auto"/>
            <w:vAlign w:val="center"/>
          </w:tcPr>
          <w:p w14:paraId="0D0E40A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2BC4B71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4E46A3D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DA01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8B5B6F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57DE391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647136C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449F0F5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文旅融合剧目费用成本</w:t>
            </w:r>
          </w:p>
        </w:tc>
        <w:tc>
          <w:tcPr>
            <w:tcW w:w="676" w:type="pct"/>
            <w:shd w:val="clear" w:color="auto" w:fill="auto"/>
            <w:vAlign w:val="center"/>
          </w:tcPr>
          <w:p w14:paraId="0E98DB1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≤271万元</w:t>
            </w:r>
          </w:p>
        </w:tc>
        <w:tc>
          <w:tcPr>
            <w:tcW w:w="724" w:type="pct"/>
            <w:shd w:val="clear" w:color="auto" w:fill="auto"/>
            <w:vAlign w:val="center"/>
          </w:tcPr>
          <w:p w14:paraId="6D04015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265.3 万元</w:t>
            </w:r>
          </w:p>
        </w:tc>
        <w:tc>
          <w:tcPr>
            <w:tcW w:w="394" w:type="pct"/>
            <w:shd w:val="clear" w:color="auto" w:fill="auto"/>
            <w:vAlign w:val="center"/>
          </w:tcPr>
          <w:p w14:paraId="7BCFD77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44C58A7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34EFD4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B211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56BCEF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0AA6CFC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3283C2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DE292E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景区评定复核经费</w:t>
            </w:r>
          </w:p>
        </w:tc>
        <w:tc>
          <w:tcPr>
            <w:tcW w:w="676" w:type="pct"/>
            <w:shd w:val="clear" w:color="auto" w:fill="auto"/>
            <w:vAlign w:val="center"/>
          </w:tcPr>
          <w:p w14:paraId="2E2719F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≤30万元</w:t>
            </w:r>
          </w:p>
        </w:tc>
        <w:tc>
          <w:tcPr>
            <w:tcW w:w="724" w:type="pct"/>
            <w:shd w:val="clear" w:color="auto" w:fill="auto"/>
            <w:vAlign w:val="center"/>
          </w:tcPr>
          <w:p w14:paraId="5FEA01C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28.5 万元</w:t>
            </w:r>
          </w:p>
        </w:tc>
        <w:tc>
          <w:tcPr>
            <w:tcW w:w="394" w:type="pct"/>
            <w:shd w:val="clear" w:color="auto" w:fill="auto"/>
            <w:vAlign w:val="center"/>
          </w:tcPr>
          <w:p w14:paraId="689F6C3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01D1CD9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18E74E5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34E23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7A0A7F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58C61EB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450E204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1DE0B43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日常办公软件运维经费</w:t>
            </w:r>
          </w:p>
        </w:tc>
        <w:tc>
          <w:tcPr>
            <w:tcW w:w="676" w:type="pct"/>
            <w:shd w:val="clear" w:color="auto" w:fill="auto"/>
            <w:vAlign w:val="center"/>
          </w:tcPr>
          <w:p w14:paraId="3E3E859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≤30万元</w:t>
            </w:r>
          </w:p>
        </w:tc>
        <w:tc>
          <w:tcPr>
            <w:tcW w:w="724" w:type="pct"/>
            <w:shd w:val="clear" w:color="auto" w:fill="auto"/>
            <w:vAlign w:val="center"/>
          </w:tcPr>
          <w:p w14:paraId="21CEE95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27.8 万元</w:t>
            </w:r>
          </w:p>
        </w:tc>
        <w:tc>
          <w:tcPr>
            <w:tcW w:w="394" w:type="pct"/>
            <w:shd w:val="clear" w:color="auto" w:fill="auto"/>
            <w:vAlign w:val="center"/>
          </w:tcPr>
          <w:p w14:paraId="24FE59C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37285C4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3395F15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E01B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2F6329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306CB54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9490B2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5870E4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文旅志愿服务经费</w:t>
            </w:r>
          </w:p>
        </w:tc>
        <w:tc>
          <w:tcPr>
            <w:tcW w:w="676" w:type="pct"/>
            <w:shd w:val="clear" w:color="auto" w:fill="auto"/>
            <w:vAlign w:val="center"/>
          </w:tcPr>
          <w:p w14:paraId="0F1729F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≤130万元</w:t>
            </w:r>
          </w:p>
        </w:tc>
        <w:tc>
          <w:tcPr>
            <w:tcW w:w="724" w:type="pct"/>
            <w:shd w:val="clear" w:color="auto" w:fill="auto"/>
            <w:vAlign w:val="center"/>
          </w:tcPr>
          <w:p w14:paraId="4732D2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125.4 万元</w:t>
            </w:r>
          </w:p>
        </w:tc>
        <w:tc>
          <w:tcPr>
            <w:tcW w:w="394" w:type="pct"/>
            <w:shd w:val="clear" w:color="auto" w:fill="auto"/>
            <w:vAlign w:val="center"/>
          </w:tcPr>
          <w:p w14:paraId="4F33FB8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4AC6C13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17BC6A9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50FC1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5199CC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0033E2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9B5E3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476C736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民宿酒店复核评定经费</w:t>
            </w:r>
          </w:p>
        </w:tc>
        <w:tc>
          <w:tcPr>
            <w:tcW w:w="676" w:type="pct"/>
            <w:shd w:val="clear" w:color="auto" w:fill="auto"/>
            <w:vAlign w:val="center"/>
          </w:tcPr>
          <w:p w14:paraId="377BB61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≤10万元</w:t>
            </w:r>
          </w:p>
        </w:tc>
        <w:tc>
          <w:tcPr>
            <w:tcW w:w="724" w:type="pct"/>
            <w:shd w:val="clear" w:color="auto" w:fill="auto"/>
            <w:vAlign w:val="center"/>
          </w:tcPr>
          <w:p w14:paraId="1EC70F7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9.2 万元</w:t>
            </w:r>
          </w:p>
        </w:tc>
        <w:tc>
          <w:tcPr>
            <w:tcW w:w="394" w:type="pct"/>
            <w:shd w:val="clear" w:color="auto" w:fill="auto"/>
            <w:vAlign w:val="center"/>
          </w:tcPr>
          <w:p w14:paraId="27A0411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1574DB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2916C76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0A30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DDB0CE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12092C1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7BFC29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596E2D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市场监管经费</w:t>
            </w:r>
          </w:p>
        </w:tc>
        <w:tc>
          <w:tcPr>
            <w:tcW w:w="676" w:type="pct"/>
            <w:shd w:val="clear" w:color="auto" w:fill="auto"/>
            <w:vAlign w:val="center"/>
          </w:tcPr>
          <w:p w14:paraId="2DF6F99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≤100万元</w:t>
            </w:r>
          </w:p>
        </w:tc>
        <w:tc>
          <w:tcPr>
            <w:tcW w:w="724" w:type="pct"/>
            <w:shd w:val="clear" w:color="auto" w:fill="auto"/>
            <w:vAlign w:val="center"/>
          </w:tcPr>
          <w:p w14:paraId="3DF8526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95.6 万元</w:t>
            </w:r>
          </w:p>
        </w:tc>
        <w:tc>
          <w:tcPr>
            <w:tcW w:w="394" w:type="pct"/>
            <w:shd w:val="clear" w:color="auto" w:fill="auto"/>
            <w:vAlign w:val="center"/>
          </w:tcPr>
          <w:p w14:paraId="623657E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754189D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774C73D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B3DD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E83A2C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5BF576A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896910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D3F5DA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青少年戏曲展演经费</w:t>
            </w:r>
          </w:p>
        </w:tc>
        <w:tc>
          <w:tcPr>
            <w:tcW w:w="676" w:type="pct"/>
            <w:shd w:val="clear" w:color="auto" w:fill="auto"/>
            <w:vAlign w:val="center"/>
          </w:tcPr>
          <w:p w14:paraId="1AE7876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≤15万元</w:t>
            </w:r>
          </w:p>
        </w:tc>
        <w:tc>
          <w:tcPr>
            <w:tcW w:w="724" w:type="pct"/>
            <w:shd w:val="clear" w:color="auto" w:fill="auto"/>
            <w:vAlign w:val="center"/>
          </w:tcPr>
          <w:p w14:paraId="64B8894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13.8 万元</w:t>
            </w:r>
          </w:p>
        </w:tc>
        <w:tc>
          <w:tcPr>
            <w:tcW w:w="394" w:type="pct"/>
            <w:shd w:val="clear" w:color="auto" w:fill="auto"/>
            <w:vAlign w:val="center"/>
          </w:tcPr>
          <w:p w14:paraId="27DCA7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6E4842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1CF368E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A2A1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0BA8B2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7B4B375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657C7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1F49AE0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艺海杂志经费</w:t>
            </w:r>
          </w:p>
        </w:tc>
        <w:tc>
          <w:tcPr>
            <w:tcW w:w="676" w:type="pct"/>
            <w:shd w:val="clear" w:color="auto" w:fill="auto"/>
            <w:vAlign w:val="center"/>
          </w:tcPr>
          <w:p w14:paraId="2C8327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≤18万元</w:t>
            </w:r>
          </w:p>
        </w:tc>
        <w:tc>
          <w:tcPr>
            <w:tcW w:w="724" w:type="pct"/>
            <w:shd w:val="clear" w:color="auto" w:fill="auto"/>
            <w:vAlign w:val="center"/>
          </w:tcPr>
          <w:p w14:paraId="6C433BE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16.5 万元</w:t>
            </w:r>
          </w:p>
        </w:tc>
        <w:tc>
          <w:tcPr>
            <w:tcW w:w="394" w:type="pct"/>
            <w:shd w:val="clear" w:color="auto" w:fill="auto"/>
            <w:vAlign w:val="center"/>
          </w:tcPr>
          <w:p w14:paraId="571C639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0DD8ECA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324A13E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7406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6105B6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20C474A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4B0107D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4A965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艺术基金</w:t>
            </w:r>
          </w:p>
        </w:tc>
        <w:tc>
          <w:tcPr>
            <w:tcW w:w="676" w:type="pct"/>
            <w:shd w:val="clear" w:color="auto" w:fill="auto"/>
            <w:vAlign w:val="center"/>
          </w:tcPr>
          <w:p w14:paraId="31A4BC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≤6万元</w:t>
            </w:r>
          </w:p>
        </w:tc>
        <w:tc>
          <w:tcPr>
            <w:tcW w:w="724" w:type="pct"/>
            <w:shd w:val="clear" w:color="auto" w:fill="auto"/>
            <w:vAlign w:val="center"/>
          </w:tcPr>
          <w:p w14:paraId="3280346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 万元</w:t>
            </w:r>
          </w:p>
        </w:tc>
        <w:tc>
          <w:tcPr>
            <w:tcW w:w="394" w:type="pct"/>
            <w:shd w:val="clear" w:color="auto" w:fill="auto"/>
            <w:vAlign w:val="center"/>
          </w:tcPr>
          <w:p w14:paraId="6B60E2F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50BC9F4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17FA168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A3FE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4F5C34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3F2EF65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F9B58E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422670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创排、复排皮影戏木偶戏费用成本</w:t>
            </w:r>
          </w:p>
        </w:tc>
        <w:tc>
          <w:tcPr>
            <w:tcW w:w="676" w:type="pct"/>
            <w:shd w:val="clear" w:color="auto" w:fill="auto"/>
            <w:vAlign w:val="center"/>
          </w:tcPr>
          <w:p w14:paraId="3A851E4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≤462.6万元</w:t>
            </w:r>
          </w:p>
        </w:tc>
        <w:tc>
          <w:tcPr>
            <w:tcW w:w="724" w:type="pct"/>
            <w:shd w:val="clear" w:color="auto" w:fill="auto"/>
            <w:vAlign w:val="center"/>
          </w:tcPr>
          <w:p w14:paraId="19A7724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r>
              <w:rPr>
                <w:rFonts w:hint="default" w:ascii="Times New Roman" w:hAnsi="Times New Roman" w:cs="Times New Roman"/>
                <w:sz w:val="20"/>
                <w:szCs w:val="20"/>
                <w:lang w:val="en-US" w:eastAsia="zh-CN"/>
              </w:rPr>
              <w:t>62.1</w:t>
            </w:r>
            <w:r>
              <w:rPr>
                <w:rFonts w:hint="default" w:ascii="Times New Roman" w:hAnsi="Times New Roman" w:eastAsia="仿宋_GB2312" w:cs="Times New Roman"/>
                <w:sz w:val="20"/>
                <w:szCs w:val="20"/>
                <w:lang w:val="en-US" w:eastAsia="zh-CN"/>
              </w:rPr>
              <w:t>万元</w:t>
            </w:r>
          </w:p>
        </w:tc>
        <w:tc>
          <w:tcPr>
            <w:tcW w:w="394" w:type="pct"/>
            <w:shd w:val="clear" w:color="auto" w:fill="auto"/>
            <w:vAlign w:val="center"/>
          </w:tcPr>
          <w:p w14:paraId="798B336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59F2C31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7805A08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8B5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D17572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0271683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3A5FCA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3AE62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《一念·辛追梦》演出更新维护成本</w:t>
            </w:r>
          </w:p>
        </w:tc>
        <w:tc>
          <w:tcPr>
            <w:tcW w:w="676" w:type="pct"/>
            <w:shd w:val="clear" w:color="auto" w:fill="auto"/>
            <w:vAlign w:val="center"/>
          </w:tcPr>
          <w:p w14:paraId="18DEE0E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≤60万元</w:t>
            </w:r>
          </w:p>
        </w:tc>
        <w:tc>
          <w:tcPr>
            <w:tcW w:w="724" w:type="pct"/>
            <w:shd w:val="clear" w:color="auto" w:fill="auto"/>
            <w:vAlign w:val="center"/>
          </w:tcPr>
          <w:p w14:paraId="0068183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57.9 万元</w:t>
            </w:r>
          </w:p>
        </w:tc>
        <w:tc>
          <w:tcPr>
            <w:tcW w:w="394" w:type="pct"/>
            <w:shd w:val="clear" w:color="auto" w:fill="auto"/>
            <w:vAlign w:val="center"/>
          </w:tcPr>
          <w:p w14:paraId="2618334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398" w:type="pct"/>
            <w:shd w:val="clear" w:color="auto" w:fill="auto"/>
            <w:vAlign w:val="center"/>
          </w:tcPr>
          <w:p w14:paraId="20368A8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0.5</w:t>
            </w:r>
          </w:p>
        </w:tc>
        <w:tc>
          <w:tcPr>
            <w:tcW w:w="548" w:type="pct"/>
            <w:shd w:val="clear" w:color="auto" w:fill="auto"/>
            <w:vAlign w:val="center"/>
          </w:tcPr>
          <w:p w14:paraId="0D5B7CA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EEB4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03AF06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7CC12C6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shd w:val="clear" w:color="auto" w:fill="auto"/>
            <w:vAlign w:val="center"/>
          </w:tcPr>
          <w:p w14:paraId="2A1135C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社会成本指标</w:t>
            </w:r>
          </w:p>
        </w:tc>
        <w:tc>
          <w:tcPr>
            <w:tcW w:w="982" w:type="pct"/>
            <w:shd w:val="clear" w:color="auto" w:fill="auto"/>
            <w:vAlign w:val="center"/>
          </w:tcPr>
          <w:p w14:paraId="776FA2D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公共文化服务体系</w:t>
            </w:r>
          </w:p>
        </w:tc>
        <w:tc>
          <w:tcPr>
            <w:tcW w:w="676" w:type="pct"/>
            <w:shd w:val="clear" w:color="auto" w:fill="auto"/>
            <w:vAlign w:val="center"/>
          </w:tcPr>
          <w:p w14:paraId="42D474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进一步提升</w:t>
            </w:r>
          </w:p>
        </w:tc>
        <w:tc>
          <w:tcPr>
            <w:tcW w:w="724" w:type="pct"/>
            <w:shd w:val="clear" w:color="auto" w:fill="auto"/>
            <w:vAlign w:val="center"/>
          </w:tcPr>
          <w:p w14:paraId="19FC61C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持续完善提升</w:t>
            </w:r>
          </w:p>
        </w:tc>
        <w:tc>
          <w:tcPr>
            <w:tcW w:w="394" w:type="pct"/>
            <w:shd w:val="clear" w:color="auto" w:fill="auto"/>
            <w:vAlign w:val="center"/>
          </w:tcPr>
          <w:p w14:paraId="05C4D8F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398" w:type="pct"/>
            <w:shd w:val="clear" w:color="auto" w:fill="auto"/>
            <w:vAlign w:val="center"/>
          </w:tcPr>
          <w:p w14:paraId="71EC446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548" w:type="pct"/>
            <w:shd w:val="clear" w:color="auto" w:fill="auto"/>
            <w:vAlign w:val="center"/>
          </w:tcPr>
          <w:p w14:paraId="572D46D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0127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527E53E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449A728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shd w:val="clear" w:color="auto" w:fill="auto"/>
            <w:vAlign w:val="center"/>
          </w:tcPr>
          <w:p w14:paraId="6D8BEBE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生态环境成本指标</w:t>
            </w:r>
          </w:p>
        </w:tc>
        <w:tc>
          <w:tcPr>
            <w:tcW w:w="982" w:type="pct"/>
            <w:shd w:val="clear" w:color="auto" w:fill="auto"/>
            <w:vAlign w:val="center"/>
          </w:tcPr>
          <w:p w14:paraId="067264D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生态旅游产业开发面积</w:t>
            </w:r>
          </w:p>
        </w:tc>
        <w:tc>
          <w:tcPr>
            <w:tcW w:w="676" w:type="pct"/>
            <w:shd w:val="clear" w:color="auto" w:fill="auto"/>
            <w:vAlign w:val="center"/>
          </w:tcPr>
          <w:p w14:paraId="3DD8D3F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724" w:type="pct"/>
            <w:shd w:val="clear" w:color="auto" w:fill="auto"/>
            <w:vAlign w:val="center"/>
          </w:tcPr>
          <w:p w14:paraId="39232F2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2.1%</w:t>
            </w:r>
          </w:p>
        </w:tc>
        <w:tc>
          <w:tcPr>
            <w:tcW w:w="394" w:type="pct"/>
            <w:shd w:val="clear" w:color="auto" w:fill="auto"/>
            <w:vAlign w:val="center"/>
          </w:tcPr>
          <w:p w14:paraId="7A1A623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4DAF46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10EF844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C187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252482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restart"/>
            <w:shd w:val="clear" w:color="auto" w:fill="auto"/>
            <w:vAlign w:val="center"/>
          </w:tcPr>
          <w:p w14:paraId="7E13360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效益指标（</w:t>
            </w:r>
            <w:r>
              <w:rPr>
                <w:rFonts w:hint="default" w:ascii="Times New Roman" w:hAnsi="Times New Roman" w:cs="Times New Roman"/>
                <w:sz w:val="20"/>
                <w:szCs w:val="20"/>
                <w:lang w:val="en-US" w:eastAsia="zh-CN"/>
              </w:rPr>
              <w:t>2</w:t>
            </w:r>
            <w:r>
              <w:rPr>
                <w:rFonts w:hint="default" w:ascii="Times New Roman" w:hAnsi="Times New Roman" w:eastAsia="仿宋_GB2312" w:cs="Times New Roman"/>
                <w:sz w:val="20"/>
                <w:szCs w:val="20"/>
                <w:lang w:val="en-US" w:eastAsia="zh-CN"/>
              </w:rPr>
              <w:t>0分）</w:t>
            </w:r>
          </w:p>
        </w:tc>
        <w:tc>
          <w:tcPr>
            <w:tcW w:w="410" w:type="pct"/>
            <w:vMerge w:val="restart"/>
            <w:shd w:val="clear" w:color="auto" w:fill="auto"/>
            <w:vAlign w:val="center"/>
          </w:tcPr>
          <w:p w14:paraId="309A6C3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经济效益指标</w:t>
            </w:r>
          </w:p>
        </w:tc>
        <w:tc>
          <w:tcPr>
            <w:tcW w:w="982" w:type="pct"/>
            <w:shd w:val="clear" w:color="auto" w:fill="auto"/>
            <w:vAlign w:val="center"/>
          </w:tcPr>
          <w:p w14:paraId="549BF38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省博物院门票收入</w:t>
            </w:r>
          </w:p>
        </w:tc>
        <w:tc>
          <w:tcPr>
            <w:tcW w:w="676" w:type="pct"/>
            <w:shd w:val="clear" w:color="auto" w:fill="auto"/>
            <w:vAlign w:val="center"/>
          </w:tcPr>
          <w:p w14:paraId="1A44DDB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≥3000万元</w:t>
            </w:r>
          </w:p>
        </w:tc>
        <w:tc>
          <w:tcPr>
            <w:tcW w:w="724" w:type="pct"/>
            <w:shd w:val="clear" w:color="auto" w:fill="auto"/>
            <w:vAlign w:val="center"/>
          </w:tcPr>
          <w:p w14:paraId="4627819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3265 万元</w:t>
            </w:r>
          </w:p>
        </w:tc>
        <w:tc>
          <w:tcPr>
            <w:tcW w:w="394" w:type="pct"/>
            <w:shd w:val="clear" w:color="auto" w:fill="auto"/>
            <w:vAlign w:val="center"/>
          </w:tcPr>
          <w:p w14:paraId="479A58F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D1E948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3C4C25A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8420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47E4BC7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34021E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1E7B9F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29435F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演出收入增长率</w:t>
            </w:r>
          </w:p>
        </w:tc>
        <w:tc>
          <w:tcPr>
            <w:tcW w:w="676" w:type="pct"/>
            <w:shd w:val="clear" w:color="auto" w:fill="auto"/>
            <w:vAlign w:val="center"/>
          </w:tcPr>
          <w:p w14:paraId="2996D73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724" w:type="pct"/>
            <w:shd w:val="clear" w:color="auto" w:fill="auto"/>
            <w:vAlign w:val="center"/>
          </w:tcPr>
          <w:p w14:paraId="114949E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6.8%</w:t>
            </w:r>
          </w:p>
        </w:tc>
        <w:tc>
          <w:tcPr>
            <w:tcW w:w="394" w:type="pct"/>
            <w:shd w:val="clear" w:color="auto" w:fill="auto"/>
            <w:vAlign w:val="center"/>
          </w:tcPr>
          <w:p w14:paraId="09D440F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7F4A7FF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9C462E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1B5DD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7BCA03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773BC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restart"/>
            <w:shd w:val="clear" w:color="auto" w:fill="auto"/>
            <w:vAlign w:val="center"/>
          </w:tcPr>
          <w:p w14:paraId="7E4781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社会效益指标</w:t>
            </w:r>
          </w:p>
        </w:tc>
        <w:tc>
          <w:tcPr>
            <w:tcW w:w="982" w:type="pct"/>
            <w:shd w:val="clear" w:color="auto" w:fill="auto"/>
            <w:vAlign w:val="center"/>
          </w:tcPr>
          <w:p w14:paraId="06D3C66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考古发掘工地新增就业人数</w:t>
            </w:r>
          </w:p>
        </w:tc>
        <w:tc>
          <w:tcPr>
            <w:tcW w:w="676" w:type="pct"/>
            <w:shd w:val="clear" w:color="auto" w:fill="auto"/>
            <w:vAlign w:val="center"/>
          </w:tcPr>
          <w:p w14:paraId="1FA388C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≥300人</w:t>
            </w:r>
          </w:p>
        </w:tc>
        <w:tc>
          <w:tcPr>
            <w:tcW w:w="724" w:type="pct"/>
            <w:shd w:val="clear" w:color="auto" w:fill="auto"/>
            <w:vAlign w:val="center"/>
          </w:tcPr>
          <w:p w14:paraId="35341C0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342 人</w:t>
            </w:r>
          </w:p>
        </w:tc>
        <w:tc>
          <w:tcPr>
            <w:tcW w:w="394" w:type="pct"/>
            <w:shd w:val="clear" w:color="auto" w:fill="auto"/>
            <w:vAlign w:val="center"/>
          </w:tcPr>
          <w:p w14:paraId="6525E8B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B51C0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4F2877A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27E2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16DF9F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4EC3DF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C4E8CC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252877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区域文化知名度</w:t>
            </w:r>
          </w:p>
        </w:tc>
        <w:tc>
          <w:tcPr>
            <w:tcW w:w="676" w:type="pct"/>
            <w:shd w:val="clear" w:color="auto" w:fill="auto"/>
            <w:vAlign w:val="center"/>
          </w:tcPr>
          <w:p w14:paraId="3D2F0AD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明显提升</w:t>
            </w:r>
          </w:p>
        </w:tc>
        <w:tc>
          <w:tcPr>
            <w:tcW w:w="724" w:type="pct"/>
            <w:shd w:val="clear" w:color="auto" w:fill="auto"/>
            <w:vAlign w:val="center"/>
          </w:tcPr>
          <w:p w14:paraId="3E95934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显著提升</w:t>
            </w:r>
          </w:p>
        </w:tc>
        <w:tc>
          <w:tcPr>
            <w:tcW w:w="394" w:type="pct"/>
            <w:shd w:val="clear" w:color="auto" w:fill="auto"/>
            <w:vAlign w:val="center"/>
          </w:tcPr>
          <w:p w14:paraId="178C2E1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0C51A25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7A7B13C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5493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18A2C7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7E2E46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noWrap/>
            <w:vAlign w:val="center"/>
          </w:tcPr>
          <w:p w14:paraId="31F8D6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5039CF4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优秀传统文化传播度</w:t>
            </w:r>
          </w:p>
        </w:tc>
        <w:tc>
          <w:tcPr>
            <w:tcW w:w="676" w:type="pct"/>
            <w:shd w:val="clear" w:color="auto" w:fill="auto"/>
            <w:vAlign w:val="center"/>
          </w:tcPr>
          <w:p w14:paraId="3EBFA85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明显提升</w:t>
            </w:r>
          </w:p>
        </w:tc>
        <w:tc>
          <w:tcPr>
            <w:tcW w:w="724" w:type="pct"/>
            <w:shd w:val="clear" w:color="auto" w:fill="auto"/>
            <w:vAlign w:val="center"/>
          </w:tcPr>
          <w:p w14:paraId="2631D6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显著提升</w:t>
            </w:r>
          </w:p>
        </w:tc>
        <w:tc>
          <w:tcPr>
            <w:tcW w:w="394" w:type="pct"/>
            <w:shd w:val="clear" w:color="auto" w:fill="auto"/>
            <w:vAlign w:val="center"/>
          </w:tcPr>
          <w:p w14:paraId="6CA6C5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436AE7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B3648F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6F5D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E9C33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5E4F32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noWrap/>
            <w:vAlign w:val="center"/>
          </w:tcPr>
          <w:p w14:paraId="0C852CE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758BBEB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传承与发展非遗项目</w:t>
            </w:r>
          </w:p>
        </w:tc>
        <w:tc>
          <w:tcPr>
            <w:tcW w:w="676" w:type="pct"/>
            <w:shd w:val="clear" w:color="auto" w:fill="auto"/>
            <w:vAlign w:val="center"/>
          </w:tcPr>
          <w:p w14:paraId="7E05F7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进一步提升</w:t>
            </w:r>
          </w:p>
        </w:tc>
        <w:tc>
          <w:tcPr>
            <w:tcW w:w="724" w:type="pct"/>
            <w:shd w:val="clear" w:color="auto" w:fill="auto"/>
            <w:vAlign w:val="center"/>
          </w:tcPr>
          <w:p w14:paraId="2DA9895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持续深化提升</w:t>
            </w:r>
          </w:p>
        </w:tc>
        <w:tc>
          <w:tcPr>
            <w:tcW w:w="394" w:type="pct"/>
            <w:shd w:val="clear" w:color="auto" w:fill="auto"/>
            <w:vAlign w:val="center"/>
          </w:tcPr>
          <w:p w14:paraId="457878E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14E04E0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F27F24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7028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91573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3949570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noWrap/>
            <w:vAlign w:val="center"/>
          </w:tcPr>
          <w:p w14:paraId="601619D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03EB8CC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公共文化信息资源的共建共享水平</w:t>
            </w:r>
          </w:p>
        </w:tc>
        <w:tc>
          <w:tcPr>
            <w:tcW w:w="676" w:type="pct"/>
            <w:shd w:val="clear" w:color="auto" w:fill="auto"/>
            <w:vAlign w:val="center"/>
          </w:tcPr>
          <w:p w14:paraId="2BED7AE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进一步提升</w:t>
            </w:r>
          </w:p>
        </w:tc>
        <w:tc>
          <w:tcPr>
            <w:tcW w:w="724" w:type="pct"/>
            <w:shd w:val="clear" w:color="auto" w:fill="auto"/>
            <w:vAlign w:val="center"/>
          </w:tcPr>
          <w:p w14:paraId="5D2CD4D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全域统筹共享水平显著提高</w:t>
            </w:r>
          </w:p>
        </w:tc>
        <w:tc>
          <w:tcPr>
            <w:tcW w:w="394" w:type="pct"/>
            <w:shd w:val="clear" w:color="auto" w:fill="auto"/>
            <w:vAlign w:val="center"/>
          </w:tcPr>
          <w:p w14:paraId="5708B4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3793C3A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4B2F69B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53F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331C17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00ED63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shd w:val="clear" w:color="auto" w:fill="auto"/>
            <w:noWrap/>
            <w:vAlign w:val="center"/>
          </w:tcPr>
          <w:p w14:paraId="42FB151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生态效益指标</w:t>
            </w:r>
          </w:p>
        </w:tc>
        <w:tc>
          <w:tcPr>
            <w:tcW w:w="982" w:type="pct"/>
            <w:shd w:val="clear" w:color="auto" w:fill="auto"/>
            <w:vAlign w:val="center"/>
          </w:tcPr>
          <w:p w14:paraId="14F8F54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因违规操作引发的生态环境重大破坏次数</w:t>
            </w:r>
          </w:p>
        </w:tc>
        <w:tc>
          <w:tcPr>
            <w:tcW w:w="676" w:type="pct"/>
            <w:shd w:val="clear" w:color="auto" w:fill="auto"/>
            <w:vAlign w:val="center"/>
          </w:tcPr>
          <w:p w14:paraId="305B5BB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724" w:type="pct"/>
            <w:shd w:val="clear" w:color="auto" w:fill="auto"/>
            <w:vAlign w:val="center"/>
          </w:tcPr>
          <w:p w14:paraId="717651F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 次</w:t>
            </w:r>
          </w:p>
        </w:tc>
        <w:tc>
          <w:tcPr>
            <w:tcW w:w="394" w:type="pct"/>
            <w:shd w:val="clear" w:color="auto" w:fill="auto"/>
            <w:vAlign w:val="center"/>
          </w:tcPr>
          <w:p w14:paraId="744CE3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00D4F9A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5BE242D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404B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2553ADD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CCEB30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restart"/>
            <w:shd w:val="clear" w:color="auto" w:fill="auto"/>
            <w:noWrap/>
            <w:vAlign w:val="center"/>
          </w:tcPr>
          <w:p w14:paraId="2DC24B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可持续影响指标</w:t>
            </w:r>
          </w:p>
        </w:tc>
        <w:tc>
          <w:tcPr>
            <w:tcW w:w="982" w:type="pct"/>
            <w:shd w:val="clear" w:color="auto" w:fill="auto"/>
            <w:vAlign w:val="center"/>
          </w:tcPr>
          <w:p w14:paraId="660FF38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文旅融合发展</w:t>
            </w:r>
          </w:p>
        </w:tc>
        <w:tc>
          <w:tcPr>
            <w:tcW w:w="676" w:type="pct"/>
            <w:shd w:val="clear" w:color="auto" w:fill="auto"/>
            <w:vAlign w:val="center"/>
          </w:tcPr>
          <w:p w14:paraId="1DA6F33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进一步提升</w:t>
            </w:r>
          </w:p>
        </w:tc>
        <w:tc>
          <w:tcPr>
            <w:tcW w:w="724" w:type="pct"/>
            <w:shd w:val="clear" w:color="auto" w:fill="auto"/>
            <w:vAlign w:val="center"/>
          </w:tcPr>
          <w:p w14:paraId="3B94EBC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深度融合、业态丰富</w:t>
            </w:r>
          </w:p>
        </w:tc>
        <w:tc>
          <w:tcPr>
            <w:tcW w:w="394" w:type="pct"/>
            <w:shd w:val="clear" w:color="auto" w:fill="auto"/>
            <w:vAlign w:val="center"/>
          </w:tcPr>
          <w:p w14:paraId="34CB340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BC1CBA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41D37A4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44AA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E8C710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noWrap/>
            <w:vAlign w:val="center"/>
          </w:tcPr>
          <w:p w14:paraId="141B68E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noWrap/>
            <w:vAlign w:val="center"/>
          </w:tcPr>
          <w:p w14:paraId="55A4A2C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78A155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旅游住宿业竞争力和吸引力</w:t>
            </w:r>
          </w:p>
        </w:tc>
        <w:tc>
          <w:tcPr>
            <w:tcW w:w="676" w:type="pct"/>
            <w:shd w:val="clear" w:color="auto" w:fill="auto"/>
            <w:vAlign w:val="center"/>
          </w:tcPr>
          <w:p w14:paraId="47C3195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进一步增强</w:t>
            </w:r>
          </w:p>
        </w:tc>
        <w:tc>
          <w:tcPr>
            <w:tcW w:w="724" w:type="pct"/>
            <w:shd w:val="clear" w:color="auto" w:fill="auto"/>
            <w:vAlign w:val="center"/>
          </w:tcPr>
          <w:p w14:paraId="6355627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行业品质、品牌吸引力显著增强</w:t>
            </w:r>
          </w:p>
        </w:tc>
        <w:tc>
          <w:tcPr>
            <w:tcW w:w="394" w:type="pct"/>
            <w:shd w:val="clear" w:color="auto" w:fill="auto"/>
            <w:vAlign w:val="center"/>
          </w:tcPr>
          <w:p w14:paraId="6023FE9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1CB3DB3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5277A0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8B8E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722FDC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restart"/>
            <w:shd w:val="clear" w:color="auto" w:fill="auto"/>
            <w:vAlign w:val="center"/>
          </w:tcPr>
          <w:p w14:paraId="35B3D5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满意度指标（</w:t>
            </w:r>
            <w:r>
              <w:rPr>
                <w:rFonts w:hint="default" w:ascii="Times New Roman" w:hAnsi="Times New Roman" w:cs="Times New Roman"/>
                <w:sz w:val="20"/>
                <w:szCs w:val="20"/>
                <w:lang w:val="en-US" w:eastAsia="zh-CN"/>
              </w:rPr>
              <w:t>8</w:t>
            </w:r>
            <w:r>
              <w:rPr>
                <w:rFonts w:hint="default" w:ascii="Times New Roman" w:hAnsi="Times New Roman" w:eastAsia="仿宋_GB2312" w:cs="Times New Roman"/>
                <w:sz w:val="20"/>
                <w:szCs w:val="20"/>
                <w:lang w:val="en-US" w:eastAsia="zh-CN"/>
              </w:rPr>
              <w:t>分）</w:t>
            </w:r>
          </w:p>
        </w:tc>
        <w:tc>
          <w:tcPr>
            <w:tcW w:w="410" w:type="pct"/>
            <w:vMerge w:val="restart"/>
            <w:shd w:val="clear" w:color="auto" w:fill="auto"/>
            <w:vAlign w:val="center"/>
          </w:tcPr>
          <w:p w14:paraId="05DC8A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服务对象满意度指标</w:t>
            </w:r>
          </w:p>
        </w:tc>
        <w:tc>
          <w:tcPr>
            <w:tcW w:w="982" w:type="pct"/>
            <w:shd w:val="clear" w:color="auto" w:fill="auto"/>
            <w:vAlign w:val="center"/>
          </w:tcPr>
          <w:p w14:paraId="695EEDA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当地群众满意度</w:t>
            </w:r>
          </w:p>
        </w:tc>
        <w:tc>
          <w:tcPr>
            <w:tcW w:w="676" w:type="pct"/>
            <w:shd w:val="clear" w:color="auto" w:fill="auto"/>
            <w:vAlign w:val="center"/>
          </w:tcPr>
          <w:p w14:paraId="70F09E4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724" w:type="pct"/>
            <w:shd w:val="clear" w:color="auto" w:fill="auto"/>
            <w:vAlign w:val="center"/>
          </w:tcPr>
          <w:p w14:paraId="55EFFCB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96.2%</w:t>
            </w:r>
          </w:p>
        </w:tc>
        <w:tc>
          <w:tcPr>
            <w:tcW w:w="394" w:type="pct"/>
            <w:shd w:val="clear" w:color="auto" w:fill="auto"/>
            <w:vAlign w:val="center"/>
          </w:tcPr>
          <w:p w14:paraId="2B0A8DF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3508F77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082A445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266B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6B5D35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1BF20AE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515C37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2806927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游客满意度</w:t>
            </w:r>
          </w:p>
        </w:tc>
        <w:tc>
          <w:tcPr>
            <w:tcW w:w="676" w:type="pct"/>
            <w:shd w:val="clear" w:color="auto" w:fill="auto"/>
            <w:vAlign w:val="center"/>
          </w:tcPr>
          <w:p w14:paraId="58CE4EC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724" w:type="pct"/>
            <w:shd w:val="clear" w:color="auto" w:fill="auto"/>
            <w:vAlign w:val="center"/>
          </w:tcPr>
          <w:p w14:paraId="4C13794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97.5%</w:t>
            </w:r>
          </w:p>
        </w:tc>
        <w:tc>
          <w:tcPr>
            <w:tcW w:w="394" w:type="pct"/>
            <w:shd w:val="clear" w:color="auto" w:fill="auto"/>
            <w:vAlign w:val="center"/>
          </w:tcPr>
          <w:p w14:paraId="2D90209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0E497C6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76ABF50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30E2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73907F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797FF2A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08615A3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0E2FEF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艺术创作者满意度</w:t>
            </w:r>
          </w:p>
        </w:tc>
        <w:tc>
          <w:tcPr>
            <w:tcW w:w="676" w:type="pct"/>
            <w:shd w:val="clear" w:color="auto" w:fill="auto"/>
            <w:vAlign w:val="center"/>
          </w:tcPr>
          <w:p w14:paraId="6EF3356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724" w:type="pct"/>
            <w:shd w:val="clear" w:color="auto" w:fill="auto"/>
            <w:vAlign w:val="center"/>
          </w:tcPr>
          <w:p w14:paraId="66BF3EF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94.8%</w:t>
            </w:r>
          </w:p>
        </w:tc>
        <w:tc>
          <w:tcPr>
            <w:tcW w:w="394" w:type="pct"/>
            <w:shd w:val="clear" w:color="auto" w:fill="auto"/>
            <w:vAlign w:val="center"/>
          </w:tcPr>
          <w:p w14:paraId="1E8645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2C720FC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6C9275B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DBEF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62" w:type="pct"/>
            <w:vMerge w:val="continue"/>
            <w:shd w:val="clear" w:color="auto" w:fill="auto"/>
            <w:noWrap/>
            <w:vAlign w:val="center"/>
          </w:tcPr>
          <w:p w14:paraId="1AB1E8F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02" w:type="pct"/>
            <w:vMerge w:val="continue"/>
            <w:shd w:val="clear" w:color="auto" w:fill="auto"/>
            <w:vAlign w:val="center"/>
          </w:tcPr>
          <w:p w14:paraId="7F91AEE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0" w:type="pct"/>
            <w:vMerge w:val="continue"/>
            <w:shd w:val="clear" w:color="auto" w:fill="auto"/>
            <w:vAlign w:val="center"/>
          </w:tcPr>
          <w:p w14:paraId="3EF203B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82" w:type="pct"/>
            <w:shd w:val="clear" w:color="auto" w:fill="auto"/>
            <w:vAlign w:val="center"/>
          </w:tcPr>
          <w:p w14:paraId="6D0ABAE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旅游企业满意度</w:t>
            </w:r>
          </w:p>
        </w:tc>
        <w:tc>
          <w:tcPr>
            <w:tcW w:w="676" w:type="pct"/>
            <w:shd w:val="clear" w:color="auto" w:fill="auto"/>
            <w:vAlign w:val="center"/>
          </w:tcPr>
          <w:p w14:paraId="2D09631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724" w:type="pct"/>
            <w:shd w:val="clear" w:color="auto" w:fill="auto"/>
            <w:vAlign w:val="center"/>
          </w:tcPr>
          <w:p w14:paraId="53B4782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93.6%</w:t>
            </w:r>
          </w:p>
        </w:tc>
        <w:tc>
          <w:tcPr>
            <w:tcW w:w="394" w:type="pct"/>
            <w:shd w:val="clear" w:color="auto" w:fill="auto"/>
            <w:vAlign w:val="center"/>
          </w:tcPr>
          <w:p w14:paraId="3CA8D39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398" w:type="pct"/>
            <w:shd w:val="clear" w:color="auto" w:fill="auto"/>
            <w:vAlign w:val="center"/>
          </w:tcPr>
          <w:p w14:paraId="514B9DE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48" w:type="pct"/>
            <w:shd w:val="clear" w:color="auto" w:fill="auto"/>
            <w:vAlign w:val="center"/>
          </w:tcPr>
          <w:p w14:paraId="251F46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82DC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300" w:hRule="atLeast"/>
        </w:trPr>
        <w:tc>
          <w:tcPr>
            <w:tcW w:w="3658" w:type="pct"/>
            <w:gridSpan w:val="6"/>
            <w:shd w:val="clear" w:color="auto" w:fill="auto"/>
            <w:vAlign w:val="center"/>
          </w:tcPr>
          <w:p w14:paraId="43C3765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总分</w:t>
            </w:r>
          </w:p>
        </w:tc>
        <w:tc>
          <w:tcPr>
            <w:tcW w:w="394" w:type="pct"/>
            <w:shd w:val="clear" w:color="auto" w:fill="auto"/>
            <w:vAlign w:val="center"/>
          </w:tcPr>
          <w:p w14:paraId="489FA2F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8" w:type="pct"/>
            <w:shd w:val="clear" w:color="auto" w:fill="auto"/>
            <w:vAlign w:val="center"/>
          </w:tcPr>
          <w:p w14:paraId="2CAA864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98.14</w:t>
            </w:r>
          </w:p>
        </w:tc>
        <w:tc>
          <w:tcPr>
            <w:tcW w:w="548" w:type="pct"/>
            <w:shd w:val="clear" w:color="auto" w:fill="auto"/>
            <w:vAlign w:val="center"/>
          </w:tcPr>
          <w:p w14:paraId="0FDA2A8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bl>
    <w:p w14:paraId="630C20DC">
      <w:pPr>
        <w:pStyle w:val="56"/>
        <w:rPr>
          <w:rFonts w:hint="default" w:ascii="Times New Roman" w:hAnsi="Times New Roman" w:cs="Times New Roman"/>
          <w:sz w:val="18"/>
          <w:szCs w:val="18"/>
          <w:lang w:val="en-US" w:eastAsia="zh-CN"/>
        </w:rPr>
      </w:pPr>
    </w:p>
    <w:p w14:paraId="2496F7C8">
      <w:pPr>
        <w:pStyle w:val="56"/>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填表人：</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填报日期：202</w:t>
      </w:r>
      <w:r>
        <w:rPr>
          <w:rFonts w:hint="default"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 xml:space="preserve">10      </w:t>
      </w:r>
      <w:r>
        <w:rPr>
          <w:rFonts w:hint="default" w:ascii="Times New Roman" w:hAnsi="Times New Roman" w:cs="Times New Roman"/>
          <w:sz w:val="18"/>
          <w:szCs w:val="18"/>
          <w:lang w:val="en-US" w:eastAsia="zh-CN"/>
        </w:rPr>
        <w:t>联系电话：</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单位负责人签字：</w:t>
      </w:r>
      <w:r>
        <w:rPr>
          <w:rFonts w:hint="default" w:ascii="Times New Roman" w:hAnsi="Times New Roman" w:cs="Times New Roman"/>
          <w:sz w:val="18"/>
          <w:szCs w:val="18"/>
          <w:lang w:val="en-US" w:eastAsia="zh-CN"/>
        </w:rPr>
        <w:t xml:space="preserve"> </w:t>
      </w:r>
    </w:p>
    <w:p w14:paraId="229FC646">
      <w:pPr>
        <w:pStyle w:val="56"/>
        <w:rPr>
          <w:rFonts w:hint="default" w:ascii="Times New Roman" w:hAnsi="Times New Roman" w:cs="Times New Roman"/>
          <w:lang w:val="en-US" w:eastAsia="zh-CN"/>
        </w:rPr>
      </w:pPr>
    </w:p>
    <w:p w14:paraId="4EEC6CFA">
      <w:pPr>
        <w:pStyle w:val="56"/>
        <w:rPr>
          <w:rFonts w:hint="default" w:ascii="Times New Roman" w:hAnsi="Times New Roman" w:cs="Times New Roman"/>
          <w:lang w:val="en-US" w:eastAsia="zh-CN"/>
        </w:rPr>
      </w:pPr>
      <w:r>
        <w:rPr>
          <w:rFonts w:hint="default" w:ascii="Times New Roman" w:hAnsi="Times New Roman" w:cs="Times New Roman"/>
          <w:lang w:val="en-US" w:eastAsia="zh-CN"/>
        </w:rPr>
        <w:br w:type="page"/>
      </w:r>
    </w:p>
    <w:p w14:paraId="2A3AE5D9">
      <w:pPr>
        <w:pStyle w:val="56"/>
        <w:rPr>
          <w:rFonts w:hint="default" w:ascii="Times New Roman" w:hAnsi="Times New Roman" w:cs="Times New Roman"/>
          <w:lang w:val="en-US" w:eastAsia="zh-CN"/>
        </w:rPr>
      </w:pPr>
      <w:r>
        <w:rPr>
          <w:rFonts w:hint="default" w:ascii="Times New Roman" w:hAnsi="Times New Roman" w:cs="Times New Roman"/>
          <w:b/>
          <w:bCs/>
          <w:lang w:val="en-US" w:eastAsia="zh-CN"/>
        </w:rPr>
        <w:t>附件3-1</w:t>
      </w:r>
    </w:p>
    <w:p w14:paraId="471B3C12">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2025年度项目支出绩效自评表</w:t>
      </w:r>
    </w:p>
    <w:tbl>
      <w:tblPr>
        <w:tblStyle w:val="24"/>
        <w:tblW w:w="52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55"/>
        <w:gridCol w:w="652"/>
        <w:gridCol w:w="722"/>
        <w:gridCol w:w="247"/>
        <w:gridCol w:w="1217"/>
        <w:gridCol w:w="580"/>
        <w:gridCol w:w="775"/>
        <w:gridCol w:w="407"/>
        <w:gridCol w:w="1097"/>
        <w:gridCol w:w="750"/>
        <w:gridCol w:w="812"/>
        <w:gridCol w:w="1160"/>
      </w:tblGrid>
      <w:tr w14:paraId="7EB50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noWrap w:val="0"/>
            <w:vAlign w:val="center"/>
          </w:tcPr>
          <w:p w14:paraId="7E4BCCC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项目支出名称</w:t>
            </w:r>
          </w:p>
        </w:tc>
        <w:tc>
          <w:tcPr>
            <w:tcW w:w="4443" w:type="pct"/>
            <w:gridSpan w:val="11"/>
            <w:noWrap w:val="0"/>
            <w:vAlign w:val="center"/>
          </w:tcPr>
          <w:p w14:paraId="219490D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业务工作经费</w:t>
            </w:r>
          </w:p>
        </w:tc>
      </w:tr>
      <w:tr w14:paraId="43743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noWrap w:val="0"/>
            <w:vAlign w:val="center"/>
          </w:tcPr>
          <w:p w14:paraId="20EB049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主管部门</w:t>
            </w:r>
          </w:p>
        </w:tc>
        <w:tc>
          <w:tcPr>
            <w:tcW w:w="2212" w:type="pct"/>
            <w:gridSpan w:val="6"/>
            <w:noWrap w:val="0"/>
            <w:vAlign w:val="center"/>
          </w:tcPr>
          <w:p w14:paraId="65844E2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c>
          <w:tcPr>
            <w:tcW w:w="793" w:type="pct"/>
            <w:gridSpan w:val="2"/>
            <w:noWrap w:val="0"/>
            <w:vAlign w:val="center"/>
          </w:tcPr>
          <w:p w14:paraId="00877D1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实施单位</w:t>
            </w:r>
          </w:p>
        </w:tc>
        <w:tc>
          <w:tcPr>
            <w:tcW w:w="1436" w:type="pct"/>
            <w:gridSpan w:val="3"/>
            <w:noWrap w:val="0"/>
            <w:vAlign w:val="center"/>
          </w:tcPr>
          <w:p w14:paraId="571AFEE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r>
      <w:tr w14:paraId="05D1B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vMerge w:val="restart"/>
            <w:noWrap w:val="0"/>
            <w:vAlign w:val="center"/>
          </w:tcPr>
          <w:p w14:paraId="5AB5668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项目资金</w:t>
            </w:r>
          </w:p>
          <w:p w14:paraId="2E85D2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（万元）</w:t>
            </w:r>
          </w:p>
        </w:tc>
        <w:tc>
          <w:tcPr>
            <w:tcW w:w="725" w:type="pct"/>
            <w:gridSpan w:val="2"/>
            <w:noWrap w:val="0"/>
            <w:vAlign w:val="center"/>
          </w:tcPr>
          <w:p w14:paraId="4393B24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c>
          <w:tcPr>
            <w:tcW w:w="772" w:type="pct"/>
            <w:gridSpan w:val="2"/>
            <w:noWrap w:val="0"/>
            <w:vAlign w:val="center"/>
          </w:tcPr>
          <w:p w14:paraId="0157D1B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年初预算数</w:t>
            </w:r>
          </w:p>
        </w:tc>
        <w:tc>
          <w:tcPr>
            <w:tcW w:w="715" w:type="pct"/>
            <w:gridSpan w:val="2"/>
            <w:noWrap w:val="0"/>
            <w:vAlign w:val="center"/>
          </w:tcPr>
          <w:p w14:paraId="358A6E3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全年预算数</w:t>
            </w:r>
          </w:p>
        </w:tc>
        <w:tc>
          <w:tcPr>
            <w:tcW w:w="793" w:type="pct"/>
            <w:gridSpan w:val="2"/>
            <w:noWrap w:val="0"/>
            <w:vAlign w:val="center"/>
          </w:tcPr>
          <w:p w14:paraId="5E62E12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全年执行数</w:t>
            </w:r>
          </w:p>
        </w:tc>
        <w:tc>
          <w:tcPr>
            <w:tcW w:w="395" w:type="pct"/>
            <w:noWrap w:val="0"/>
            <w:vAlign w:val="center"/>
          </w:tcPr>
          <w:p w14:paraId="4CB3FC3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428" w:type="pct"/>
            <w:noWrap w:val="0"/>
            <w:vAlign w:val="center"/>
          </w:tcPr>
          <w:p w14:paraId="041B901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执行率</w:t>
            </w:r>
          </w:p>
        </w:tc>
        <w:tc>
          <w:tcPr>
            <w:tcW w:w="612" w:type="pct"/>
            <w:noWrap w:val="0"/>
            <w:vAlign w:val="center"/>
          </w:tcPr>
          <w:p w14:paraId="671E04E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r>
      <w:tr w14:paraId="1866C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vMerge w:val="continue"/>
            <w:noWrap w:val="0"/>
            <w:vAlign w:val="center"/>
          </w:tcPr>
          <w:p w14:paraId="23A45C0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25" w:type="pct"/>
            <w:gridSpan w:val="2"/>
            <w:noWrap w:val="0"/>
            <w:vAlign w:val="center"/>
          </w:tcPr>
          <w:p w14:paraId="48244DB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年度资金总额　</w:t>
            </w:r>
          </w:p>
        </w:tc>
        <w:tc>
          <w:tcPr>
            <w:tcW w:w="772" w:type="pct"/>
            <w:gridSpan w:val="2"/>
            <w:shd w:val="clear" w:color="auto" w:fill="auto"/>
            <w:noWrap w:val="0"/>
            <w:vAlign w:val="center"/>
          </w:tcPr>
          <w:p w14:paraId="3989ED1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10,205.98</w:t>
            </w:r>
          </w:p>
        </w:tc>
        <w:tc>
          <w:tcPr>
            <w:tcW w:w="715" w:type="pct"/>
            <w:gridSpan w:val="2"/>
            <w:shd w:val="clear" w:color="auto" w:fill="auto"/>
            <w:noWrap w:val="0"/>
            <w:vAlign w:val="center"/>
          </w:tcPr>
          <w:p w14:paraId="31024C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10,196.98</w:t>
            </w:r>
          </w:p>
        </w:tc>
        <w:tc>
          <w:tcPr>
            <w:tcW w:w="793" w:type="pct"/>
            <w:gridSpan w:val="2"/>
            <w:shd w:val="clear" w:color="auto" w:fill="auto"/>
            <w:noWrap w:val="0"/>
            <w:vAlign w:val="center"/>
          </w:tcPr>
          <w:p w14:paraId="587880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7,515.32</w:t>
            </w:r>
          </w:p>
        </w:tc>
        <w:tc>
          <w:tcPr>
            <w:tcW w:w="395" w:type="pct"/>
            <w:noWrap w:val="0"/>
            <w:vAlign w:val="center"/>
          </w:tcPr>
          <w:p w14:paraId="7F5D69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10</w:t>
            </w:r>
          </w:p>
        </w:tc>
        <w:tc>
          <w:tcPr>
            <w:tcW w:w="428" w:type="pct"/>
            <w:noWrap w:val="0"/>
            <w:vAlign w:val="center"/>
          </w:tcPr>
          <w:p w14:paraId="66B5B3E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73.70%</w:t>
            </w:r>
          </w:p>
        </w:tc>
        <w:tc>
          <w:tcPr>
            <w:tcW w:w="612" w:type="pct"/>
            <w:noWrap w:val="0"/>
            <w:vAlign w:val="center"/>
          </w:tcPr>
          <w:p w14:paraId="45D7CC7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7.37</w:t>
            </w:r>
          </w:p>
        </w:tc>
      </w:tr>
      <w:tr w14:paraId="7A448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vMerge w:val="continue"/>
            <w:noWrap w:val="0"/>
            <w:vAlign w:val="center"/>
          </w:tcPr>
          <w:p w14:paraId="0463AF2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25" w:type="pct"/>
            <w:gridSpan w:val="2"/>
            <w:noWrap w:val="0"/>
            <w:vAlign w:val="center"/>
          </w:tcPr>
          <w:p w14:paraId="347C3CA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其中：当年财政拨款　</w:t>
            </w:r>
          </w:p>
        </w:tc>
        <w:tc>
          <w:tcPr>
            <w:tcW w:w="772" w:type="pct"/>
            <w:gridSpan w:val="2"/>
            <w:noWrap w:val="0"/>
            <w:vAlign w:val="center"/>
          </w:tcPr>
          <w:p w14:paraId="45D6BE4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6,556.40</w:t>
            </w:r>
          </w:p>
        </w:tc>
        <w:tc>
          <w:tcPr>
            <w:tcW w:w="715" w:type="pct"/>
            <w:gridSpan w:val="2"/>
            <w:noWrap w:val="0"/>
            <w:vAlign w:val="center"/>
          </w:tcPr>
          <w:p w14:paraId="4F6CE0E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6,547.40</w:t>
            </w:r>
          </w:p>
        </w:tc>
        <w:tc>
          <w:tcPr>
            <w:tcW w:w="793" w:type="pct"/>
            <w:gridSpan w:val="2"/>
            <w:noWrap w:val="0"/>
            <w:vAlign w:val="center"/>
          </w:tcPr>
          <w:p w14:paraId="3E0ADF6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4,610.00</w:t>
            </w:r>
          </w:p>
        </w:tc>
        <w:tc>
          <w:tcPr>
            <w:tcW w:w="395" w:type="pct"/>
            <w:noWrap w:val="0"/>
            <w:vAlign w:val="center"/>
          </w:tcPr>
          <w:p w14:paraId="5AC0AC8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28" w:type="pct"/>
            <w:noWrap w:val="0"/>
            <w:vAlign w:val="center"/>
          </w:tcPr>
          <w:p w14:paraId="1499C66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12" w:type="pct"/>
            <w:noWrap w:val="0"/>
            <w:vAlign w:val="center"/>
          </w:tcPr>
          <w:p w14:paraId="7E65062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4533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56" w:type="pct"/>
            <w:vMerge w:val="continue"/>
            <w:noWrap w:val="0"/>
            <w:vAlign w:val="center"/>
          </w:tcPr>
          <w:p w14:paraId="171ADFD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25" w:type="pct"/>
            <w:gridSpan w:val="2"/>
            <w:noWrap w:val="0"/>
            <w:vAlign w:val="center"/>
          </w:tcPr>
          <w:p w14:paraId="080EAF8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上年结转资金　</w:t>
            </w:r>
          </w:p>
        </w:tc>
        <w:tc>
          <w:tcPr>
            <w:tcW w:w="772" w:type="pct"/>
            <w:gridSpan w:val="2"/>
            <w:shd w:val="clear" w:color="auto" w:fill="auto"/>
            <w:noWrap w:val="0"/>
            <w:vAlign w:val="center"/>
          </w:tcPr>
          <w:p w14:paraId="6FAF3F0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3,649.58</w:t>
            </w:r>
          </w:p>
        </w:tc>
        <w:tc>
          <w:tcPr>
            <w:tcW w:w="715" w:type="pct"/>
            <w:gridSpan w:val="2"/>
            <w:noWrap w:val="0"/>
            <w:vAlign w:val="center"/>
          </w:tcPr>
          <w:p w14:paraId="2447BCB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3,649.58</w:t>
            </w:r>
          </w:p>
        </w:tc>
        <w:tc>
          <w:tcPr>
            <w:tcW w:w="793" w:type="pct"/>
            <w:gridSpan w:val="2"/>
            <w:shd w:val="clear" w:color="auto" w:fill="auto"/>
            <w:noWrap w:val="0"/>
            <w:vAlign w:val="center"/>
          </w:tcPr>
          <w:p w14:paraId="536ECF2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2,905.33</w:t>
            </w:r>
          </w:p>
        </w:tc>
        <w:tc>
          <w:tcPr>
            <w:tcW w:w="395" w:type="pct"/>
            <w:noWrap w:val="0"/>
            <w:vAlign w:val="center"/>
          </w:tcPr>
          <w:p w14:paraId="08FC218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28" w:type="pct"/>
            <w:noWrap w:val="0"/>
            <w:vAlign w:val="center"/>
          </w:tcPr>
          <w:p w14:paraId="7B3C7FF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12" w:type="pct"/>
            <w:noWrap w:val="0"/>
            <w:vAlign w:val="center"/>
          </w:tcPr>
          <w:p w14:paraId="4BE5AAE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82B4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restart"/>
            <w:noWrap w:val="0"/>
            <w:vAlign w:val="center"/>
          </w:tcPr>
          <w:p w14:paraId="49A4D48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年度总体目标</w:t>
            </w:r>
          </w:p>
        </w:tc>
        <w:tc>
          <w:tcPr>
            <w:tcW w:w="2212" w:type="pct"/>
            <w:gridSpan w:val="6"/>
            <w:noWrap w:val="0"/>
            <w:vAlign w:val="center"/>
          </w:tcPr>
          <w:p w14:paraId="4825B28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预期目标</w:t>
            </w:r>
          </w:p>
        </w:tc>
        <w:tc>
          <w:tcPr>
            <w:tcW w:w="2230" w:type="pct"/>
            <w:gridSpan w:val="5"/>
            <w:noWrap w:val="0"/>
            <w:vAlign w:val="center"/>
          </w:tcPr>
          <w:p w14:paraId="4BC58A2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实际完成情况</w:t>
            </w:r>
          </w:p>
        </w:tc>
      </w:tr>
      <w:tr w14:paraId="73DAA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5BE6FB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212" w:type="pct"/>
            <w:gridSpan w:val="6"/>
            <w:noWrap w:val="0"/>
            <w:vAlign w:val="center"/>
          </w:tcPr>
          <w:p w14:paraId="0EE89EA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编制</w:t>
            </w:r>
            <w:r>
              <w:rPr>
                <w:rFonts w:hint="default" w:ascii="Times New Roman" w:hAnsi="Times New Roman" w:cs="Times New Roman"/>
                <w:sz w:val="20"/>
                <w:szCs w:val="20"/>
                <w:lang w:val="en-US" w:eastAsia="zh-CN"/>
              </w:rPr>
              <w:t>“十五五”</w:t>
            </w:r>
            <w:r>
              <w:rPr>
                <w:rFonts w:hint="default" w:ascii="Times New Roman" w:hAnsi="Times New Roman" w:eastAsia="仿宋_GB2312" w:cs="Times New Roman"/>
                <w:sz w:val="20"/>
                <w:szCs w:val="20"/>
                <w:lang w:val="en-US" w:eastAsia="zh-CN"/>
              </w:rPr>
              <w:t>行业规划；持续推进文化市场综合执法监管。加强旅游领域执法监管，持续深化旅游领域“顽瘴痼疾”综合治理行动，对旅游购物场所开展专项整治；完成景区评定复核、名宿酒店复核评定、国家级省级文明旅游单位认定、研学基地复核评定及国家级申报指导、社会组织认定及评估抽查、国家级省级非遗传承人评估认定、非遗普查及国家级非遗项目申报前期工作；做好港澳台、日本青少年来湘研学交流活动；依托中非经贸博览会、日本大阪世博会等重大活动，中国国际旅游交易会、东盟旅游交易会、</w:t>
            </w:r>
            <w:r>
              <w:rPr>
                <w:rFonts w:hint="default" w:ascii="Times New Roman" w:hAnsi="Times New Roman" w:cs="Times New Roman"/>
                <w:sz w:val="20"/>
                <w:szCs w:val="20"/>
                <w:lang w:val="en-US" w:eastAsia="zh-CN"/>
              </w:rPr>
              <w:t>中国香港</w:t>
            </w:r>
            <w:r>
              <w:rPr>
                <w:rFonts w:hint="default" w:ascii="Times New Roman" w:hAnsi="Times New Roman" w:eastAsia="仿宋_GB2312" w:cs="Times New Roman"/>
                <w:sz w:val="20"/>
                <w:szCs w:val="20"/>
                <w:lang w:val="en-US" w:eastAsia="zh-CN"/>
              </w:rPr>
              <w:t>、</w:t>
            </w:r>
            <w:r>
              <w:rPr>
                <w:rFonts w:hint="default" w:ascii="Times New Roman" w:hAnsi="Times New Roman" w:cs="Times New Roman"/>
                <w:sz w:val="20"/>
                <w:szCs w:val="20"/>
                <w:lang w:val="en-US" w:eastAsia="zh-CN"/>
              </w:rPr>
              <w:t>中国澳门</w:t>
            </w:r>
            <w:r>
              <w:rPr>
                <w:rFonts w:hint="default" w:ascii="Times New Roman" w:hAnsi="Times New Roman" w:eastAsia="仿宋_GB2312" w:cs="Times New Roman"/>
                <w:sz w:val="20"/>
                <w:szCs w:val="20"/>
                <w:lang w:val="en-US" w:eastAsia="zh-CN"/>
              </w:rPr>
              <w:t>、英国等国际旅展，加强“三湘四水相约湖南”文旅品牌推广及文旅交流合作，深化“三湘四水相约湖南”文旅品牌在央视头部新闻栏目和湖南卫视高收视栏目的形象推广。</w:t>
            </w:r>
          </w:p>
        </w:tc>
        <w:tc>
          <w:tcPr>
            <w:tcW w:w="2230" w:type="pct"/>
            <w:gridSpan w:val="5"/>
            <w:noWrap w:val="0"/>
            <w:vAlign w:val="center"/>
          </w:tcPr>
          <w:p w14:paraId="7208750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完成全省文旅 “十五五” 规划编制前期调研及框架起草工作；常态化开展文化和旅游市场综合执法，深入推进旅游行业顽瘴痼疾专项整治，旅游购物场所乱象得到有效规范；圆满完成景区、民宿酒店、文明旅游单位、研学基地、社会组织、非遗传承人等年度评定、复核、评估及项目申报储备各项工作；成功举办港澳台及日本青少年来湘研学交流活动；积极参与国内外重大文旅展会及经贸活动，持续在央视、湖南卫视主流平台投放文旅品牌宣传，“三湘四水 相约湖南” 品牌影响力、对外开放交流水平稳步提升，全面达成年度既定工作目标。</w:t>
            </w:r>
          </w:p>
        </w:tc>
      </w:tr>
      <w:tr w14:paraId="11378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restart"/>
            <w:noWrap w:val="0"/>
            <w:vAlign w:val="center"/>
          </w:tcPr>
          <w:p w14:paraId="1ED74A4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绩</w:t>
            </w:r>
          </w:p>
          <w:p w14:paraId="157FA01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w:t>
            </w:r>
          </w:p>
          <w:p w14:paraId="1BB839F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w:t>
            </w:r>
          </w:p>
          <w:p w14:paraId="5E14F1D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标</w:t>
            </w:r>
          </w:p>
        </w:tc>
        <w:tc>
          <w:tcPr>
            <w:tcW w:w="344" w:type="pct"/>
            <w:noWrap w:val="0"/>
            <w:vAlign w:val="center"/>
          </w:tcPr>
          <w:p w14:paraId="3AF02B8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一级指标</w:t>
            </w:r>
          </w:p>
        </w:tc>
        <w:tc>
          <w:tcPr>
            <w:tcW w:w="511" w:type="pct"/>
            <w:gridSpan w:val="2"/>
            <w:noWrap w:val="0"/>
            <w:vAlign w:val="center"/>
          </w:tcPr>
          <w:p w14:paraId="660456F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二级指标</w:t>
            </w:r>
          </w:p>
        </w:tc>
        <w:tc>
          <w:tcPr>
            <w:tcW w:w="948" w:type="pct"/>
            <w:gridSpan w:val="2"/>
            <w:noWrap w:val="0"/>
            <w:vAlign w:val="center"/>
          </w:tcPr>
          <w:p w14:paraId="631A71A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三级指标</w:t>
            </w:r>
          </w:p>
        </w:tc>
        <w:tc>
          <w:tcPr>
            <w:tcW w:w="623" w:type="pct"/>
            <w:gridSpan w:val="2"/>
            <w:noWrap w:val="0"/>
            <w:vAlign w:val="center"/>
          </w:tcPr>
          <w:p w14:paraId="39F653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年度指标值</w:t>
            </w:r>
          </w:p>
        </w:tc>
        <w:tc>
          <w:tcPr>
            <w:tcW w:w="578" w:type="pct"/>
            <w:noWrap w:val="0"/>
            <w:vAlign w:val="center"/>
          </w:tcPr>
          <w:p w14:paraId="29ABE0E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实际完成值</w:t>
            </w:r>
          </w:p>
        </w:tc>
        <w:tc>
          <w:tcPr>
            <w:tcW w:w="395" w:type="pct"/>
            <w:noWrap w:val="0"/>
            <w:vAlign w:val="center"/>
          </w:tcPr>
          <w:p w14:paraId="3EBEBB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428" w:type="pct"/>
            <w:noWrap w:val="0"/>
            <w:vAlign w:val="center"/>
          </w:tcPr>
          <w:p w14:paraId="69EBAD4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c>
          <w:tcPr>
            <w:tcW w:w="612" w:type="pct"/>
            <w:noWrap w:val="0"/>
            <w:vAlign w:val="center"/>
          </w:tcPr>
          <w:p w14:paraId="13E819D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偏差原因分析及改进措施</w:t>
            </w:r>
          </w:p>
        </w:tc>
      </w:tr>
      <w:tr w14:paraId="03BBF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2A95E1F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restart"/>
            <w:noWrap w:val="0"/>
            <w:vAlign w:val="center"/>
          </w:tcPr>
          <w:p w14:paraId="2EBB3A0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产出指标</w:t>
            </w:r>
          </w:p>
          <w:p w14:paraId="65AE6FD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（45</w:t>
            </w:r>
            <w:r>
              <w:rPr>
                <w:rFonts w:hint="default" w:ascii="Times New Roman" w:hAnsi="Times New Roman" w:eastAsia="仿宋_GB2312" w:cs="Times New Roman"/>
                <w:sz w:val="20"/>
                <w:szCs w:val="20"/>
                <w:lang w:val="en-US" w:eastAsia="zh-CN"/>
              </w:rPr>
              <w:t>分</w:t>
            </w:r>
            <w:r>
              <w:rPr>
                <w:rFonts w:hint="default" w:ascii="Times New Roman" w:hAnsi="Times New Roman" w:cs="Times New Roman"/>
                <w:sz w:val="20"/>
                <w:szCs w:val="20"/>
                <w:lang w:val="en-US" w:eastAsia="zh-CN"/>
              </w:rPr>
              <w:t>）</w:t>
            </w:r>
          </w:p>
        </w:tc>
        <w:tc>
          <w:tcPr>
            <w:tcW w:w="511" w:type="pct"/>
            <w:gridSpan w:val="2"/>
            <w:vMerge w:val="restart"/>
            <w:noWrap w:val="0"/>
            <w:vAlign w:val="center"/>
          </w:tcPr>
          <w:p w14:paraId="37CEB02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数量指标</w:t>
            </w:r>
          </w:p>
        </w:tc>
        <w:tc>
          <w:tcPr>
            <w:tcW w:w="948" w:type="pct"/>
            <w:gridSpan w:val="2"/>
            <w:noWrap w:val="0"/>
            <w:vAlign w:val="center"/>
          </w:tcPr>
          <w:p w14:paraId="1AD0E70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旅游信息咨询人次</w:t>
            </w:r>
          </w:p>
        </w:tc>
        <w:tc>
          <w:tcPr>
            <w:tcW w:w="623" w:type="pct"/>
            <w:gridSpan w:val="2"/>
            <w:noWrap w:val="0"/>
            <w:vAlign w:val="center"/>
          </w:tcPr>
          <w:p w14:paraId="1ED4390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≥10000人次</w:t>
            </w:r>
          </w:p>
        </w:tc>
        <w:tc>
          <w:tcPr>
            <w:tcW w:w="578" w:type="pct"/>
            <w:noWrap w:val="0"/>
            <w:vAlign w:val="center"/>
          </w:tcPr>
          <w:p w14:paraId="231D9F1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10620 人次</w:t>
            </w:r>
          </w:p>
        </w:tc>
        <w:tc>
          <w:tcPr>
            <w:tcW w:w="395" w:type="pct"/>
            <w:noWrap w:val="0"/>
            <w:vAlign w:val="center"/>
          </w:tcPr>
          <w:p w14:paraId="73834E0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428" w:type="pct"/>
            <w:noWrap w:val="0"/>
            <w:vAlign w:val="center"/>
          </w:tcPr>
          <w:p w14:paraId="4873B91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612" w:type="pct"/>
            <w:noWrap w:val="0"/>
            <w:vAlign w:val="center"/>
          </w:tcPr>
          <w:p w14:paraId="550E2DB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501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F574AC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2746172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1920B62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BB8C73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导游证考试信息咨询人次</w:t>
            </w:r>
          </w:p>
        </w:tc>
        <w:tc>
          <w:tcPr>
            <w:tcW w:w="623" w:type="pct"/>
            <w:gridSpan w:val="2"/>
            <w:noWrap w:val="0"/>
            <w:vAlign w:val="center"/>
          </w:tcPr>
          <w:p w14:paraId="21A7708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≥8000人次</w:t>
            </w:r>
          </w:p>
        </w:tc>
        <w:tc>
          <w:tcPr>
            <w:tcW w:w="578" w:type="pct"/>
            <w:noWrap w:val="0"/>
            <w:vAlign w:val="center"/>
          </w:tcPr>
          <w:p w14:paraId="3F8CB4A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8350 人次</w:t>
            </w:r>
          </w:p>
        </w:tc>
        <w:tc>
          <w:tcPr>
            <w:tcW w:w="395" w:type="pct"/>
            <w:noWrap w:val="0"/>
            <w:vAlign w:val="center"/>
          </w:tcPr>
          <w:p w14:paraId="7C53BA7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3E0CC67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3BCE08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04AC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A15C7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58FF2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4253492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BC3668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举办博物院展览个数</w:t>
            </w:r>
          </w:p>
        </w:tc>
        <w:tc>
          <w:tcPr>
            <w:tcW w:w="623" w:type="pct"/>
            <w:gridSpan w:val="2"/>
            <w:noWrap w:val="0"/>
            <w:vAlign w:val="center"/>
          </w:tcPr>
          <w:p w14:paraId="0253CD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≥8个</w:t>
            </w:r>
          </w:p>
        </w:tc>
        <w:tc>
          <w:tcPr>
            <w:tcW w:w="578" w:type="pct"/>
            <w:noWrap w:val="0"/>
            <w:vAlign w:val="center"/>
          </w:tcPr>
          <w:p w14:paraId="355D22A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 个</w:t>
            </w:r>
          </w:p>
        </w:tc>
        <w:tc>
          <w:tcPr>
            <w:tcW w:w="395" w:type="pct"/>
            <w:noWrap w:val="0"/>
            <w:vAlign w:val="center"/>
          </w:tcPr>
          <w:p w14:paraId="7198296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1EA2DAF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3C0876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9EB5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000C6C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4E3589F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1446A15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948" w:type="pct"/>
            <w:gridSpan w:val="2"/>
            <w:shd w:val="clear" w:color="auto" w:fill="auto"/>
            <w:noWrap w:val="0"/>
            <w:vAlign w:val="center"/>
          </w:tcPr>
          <w:p w14:paraId="0F253D5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创作复排花鼓戏剧目</w:t>
            </w:r>
          </w:p>
        </w:tc>
        <w:tc>
          <w:tcPr>
            <w:tcW w:w="623" w:type="pct"/>
            <w:gridSpan w:val="2"/>
            <w:shd w:val="clear" w:color="auto" w:fill="auto"/>
            <w:noWrap w:val="0"/>
            <w:vAlign w:val="center"/>
          </w:tcPr>
          <w:p w14:paraId="1D6DC9E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≥4台</w:t>
            </w:r>
          </w:p>
        </w:tc>
        <w:tc>
          <w:tcPr>
            <w:tcW w:w="578" w:type="pct"/>
            <w:shd w:val="clear" w:color="auto" w:fill="auto"/>
            <w:noWrap w:val="0"/>
            <w:vAlign w:val="center"/>
          </w:tcPr>
          <w:p w14:paraId="0003B1B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 台</w:t>
            </w:r>
          </w:p>
        </w:tc>
        <w:tc>
          <w:tcPr>
            <w:tcW w:w="395" w:type="pct"/>
            <w:noWrap w:val="0"/>
            <w:vAlign w:val="center"/>
          </w:tcPr>
          <w:p w14:paraId="0B8B04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4B1AA4C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79B0D3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833D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5D198B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06C76EB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2ADF7EF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948" w:type="pct"/>
            <w:gridSpan w:val="2"/>
            <w:shd w:val="clear" w:color="auto" w:fill="auto"/>
            <w:noWrap w:val="0"/>
            <w:vAlign w:val="center"/>
          </w:tcPr>
          <w:p w14:paraId="3C8A849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考古发掘项目</w:t>
            </w:r>
          </w:p>
        </w:tc>
        <w:tc>
          <w:tcPr>
            <w:tcW w:w="623" w:type="pct"/>
            <w:gridSpan w:val="2"/>
            <w:shd w:val="clear" w:color="auto" w:fill="auto"/>
            <w:noWrap w:val="0"/>
            <w:vAlign w:val="center"/>
          </w:tcPr>
          <w:p w14:paraId="7699137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≥10个</w:t>
            </w:r>
          </w:p>
        </w:tc>
        <w:tc>
          <w:tcPr>
            <w:tcW w:w="578" w:type="pct"/>
            <w:shd w:val="clear" w:color="auto" w:fill="auto"/>
            <w:noWrap w:val="0"/>
            <w:vAlign w:val="center"/>
          </w:tcPr>
          <w:p w14:paraId="4F3E705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 个</w:t>
            </w:r>
          </w:p>
        </w:tc>
        <w:tc>
          <w:tcPr>
            <w:tcW w:w="395" w:type="pct"/>
            <w:shd w:val="clear" w:color="auto" w:fill="auto"/>
            <w:noWrap w:val="0"/>
            <w:vAlign w:val="center"/>
          </w:tcPr>
          <w:p w14:paraId="41E2B30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shd w:val="clear" w:color="auto" w:fill="auto"/>
            <w:noWrap w:val="0"/>
            <w:vAlign w:val="center"/>
          </w:tcPr>
          <w:p w14:paraId="566399E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3EC27DE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991F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60A089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2E3F6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30B3D88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948" w:type="pct"/>
            <w:gridSpan w:val="2"/>
            <w:shd w:val="clear" w:color="auto" w:fill="auto"/>
            <w:noWrap w:val="0"/>
            <w:vAlign w:val="center"/>
          </w:tcPr>
          <w:p w14:paraId="1011914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文化志愿服务系列活动场次</w:t>
            </w:r>
          </w:p>
        </w:tc>
        <w:tc>
          <w:tcPr>
            <w:tcW w:w="623" w:type="pct"/>
            <w:gridSpan w:val="2"/>
            <w:shd w:val="clear" w:color="auto" w:fill="auto"/>
            <w:noWrap w:val="0"/>
            <w:vAlign w:val="center"/>
          </w:tcPr>
          <w:p w14:paraId="3007781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≥4场</w:t>
            </w:r>
          </w:p>
        </w:tc>
        <w:tc>
          <w:tcPr>
            <w:tcW w:w="578" w:type="pct"/>
            <w:shd w:val="clear" w:color="auto" w:fill="auto"/>
            <w:noWrap w:val="0"/>
            <w:vAlign w:val="center"/>
          </w:tcPr>
          <w:p w14:paraId="5DF5376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 场</w:t>
            </w:r>
          </w:p>
        </w:tc>
        <w:tc>
          <w:tcPr>
            <w:tcW w:w="395" w:type="pct"/>
            <w:shd w:val="clear" w:color="auto" w:fill="auto"/>
            <w:noWrap w:val="0"/>
            <w:vAlign w:val="center"/>
          </w:tcPr>
          <w:p w14:paraId="1FF4C3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shd w:val="clear" w:color="auto" w:fill="auto"/>
            <w:noWrap w:val="0"/>
            <w:vAlign w:val="center"/>
          </w:tcPr>
          <w:p w14:paraId="4483037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798B04F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30AD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78CE56C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615A254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511" w:type="pct"/>
            <w:gridSpan w:val="2"/>
            <w:vMerge w:val="restart"/>
            <w:noWrap w:val="0"/>
            <w:vAlign w:val="center"/>
          </w:tcPr>
          <w:p w14:paraId="108EC5E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质量指标</w:t>
            </w:r>
          </w:p>
        </w:tc>
        <w:tc>
          <w:tcPr>
            <w:tcW w:w="948" w:type="pct"/>
            <w:gridSpan w:val="2"/>
            <w:noWrap w:val="0"/>
            <w:vAlign w:val="center"/>
          </w:tcPr>
          <w:p w14:paraId="7479554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导游证书核发投诉人数占比</w:t>
            </w:r>
          </w:p>
        </w:tc>
        <w:tc>
          <w:tcPr>
            <w:tcW w:w="623" w:type="pct"/>
            <w:gridSpan w:val="2"/>
            <w:noWrap w:val="0"/>
            <w:vAlign w:val="center"/>
          </w:tcPr>
          <w:p w14:paraId="42F9A48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78" w:type="pct"/>
            <w:noWrap w:val="0"/>
            <w:vAlign w:val="center"/>
          </w:tcPr>
          <w:p w14:paraId="3642D59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2.10%</w:t>
            </w:r>
          </w:p>
        </w:tc>
        <w:tc>
          <w:tcPr>
            <w:tcW w:w="395" w:type="pct"/>
            <w:noWrap w:val="0"/>
            <w:vAlign w:val="center"/>
          </w:tcPr>
          <w:p w14:paraId="65FB280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428E58E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A5E8CB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17430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15F9C04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A67742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5038022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831B66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文旅服务受益人群增长率</w:t>
            </w:r>
          </w:p>
        </w:tc>
        <w:tc>
          <w:tcPr>
            <w:tcW w:w="623" w:type="pct"/>
            <w:gridSpan w:val="2"/>
            <w:noWrap w:val="0"/>
            <w:vAlign w:val="center"/>
          </w:tcPr>
          <w:p w14:paraId="1F3B1AA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578" w:type="pct"/>
            <w:noWrap w:val="0"/>
            <w:vAlign w:val="center"/>
          </w:tcPr>
          <w:p w14:paraId="5F21249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2.70%</w:t>
            </w:r>
          </w:p>
        </w:tc>
        <w:tc>
          <w:tcPr>
            <w:tcW w:w="395" w:type="pct"/>
            <w:noWrap w:val="0"/>
            <w:vAlign w:val="center"/>
          </w:tcPr>
          <w:p w14:paraId="3B585DE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313953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2241582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06D5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2C81A5D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4F7935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432FAF0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75E1298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演出项目完成率</w:t>
            </w:r>
          </w:p>
        </w:tc>
        <w:tc>
          <w:tcPr>
            <w:tcW w:w="623" w:type="pct"/>
            <w:gridSpan w:val="2"/>
            <w:noWrap w:val="0"/>
            <w:vAlign w:val="center"/>
          </w:tcPr>
          <w:p w14:paraId="1282D7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578" w:type="pct"/>
            <w:noWrap w:val="0"/>
            <w:vAlign w:val="center"/>
          </w:tcPr>
          <w:p w14:paraId="24B1962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w:t>
            </w:r>
          </w:p>
        </w:tc>
        <w:tc>
          <w:tcPr>
            <w:tcW w:w="395" w:type="pct"/>
            <w:noWrap w:val="0"/>
            <w:vAlign w:val="center"/>
          </w:tcPr>
          <w:p w14:paraId="7545CA9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7C99C74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4B7AE50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7FBC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1A1E029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5C471A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4EBBBE8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1763E7C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文物修复达标率</w:t>
            </w:r>
          </w:p>
        </w:tc>
        <w:tc>
          <w:tcPr>
            <w:tcW w:w="623" w:type="pct"/>
            <w:gridSpan w:val="2"/>
            <w:noWrap w:val="0"/>
            <w:vAlign w:val="center"/>
          </w:tcPr>
          <w:p w14:paraId="000ECE4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78" w:type="pct"/>
            <w:noWrap w:val="0"/>
            <w:vAlign w:val="center"/>
          </w:tcPr>
          <w:p w14:paraId="292ED12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5" w:type="pct"/>
            <w:noWrap w:val="0"/>
            <w:vAlign w:val="center"/>
          </w:tcPr>
          <w:p w14:paraId="7A049CB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05A3D3B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DC87C3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F0C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2F7BE45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216164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209603F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6A60C1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免费开放时间达标率</w:t>
            </w:r>
          </w:p>
        </w:tc>
        <w:tc>
          <w:tcPr>
            <w:tcW w:w="623" w:type="pct"/>
            <w:gridSpan w:val="2"/>
            <w:noWrap w:val="0"/>
            <w:vAlign w:val="center"/>
          </w:tcPr>
          <w:p w14:paraId="6022369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78" w:type="pct"/>
            <w:noWrap w:val="0"/>
            <w:vAlign w:val="center"/>
          </w:tcPr>
          <w:p w14:paraId="4E4F19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5" w:type="pct"/>
            <w:noWrap w:val="0"/>
            <w:vAlign w:val="center"/>
          </w:tcPr>
          <w:p w14:paraId="7FB5E65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05E8793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4A1A72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BE9D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2373A1E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EDF081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1E36FB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615FA0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培训教学达标率</w:t>
            </w:r>
          </w:p>
        </w:tc>
        <w:tc>
          <w:tcPr>
            <w:tcW w:w="623" w:type="pct"/>
            <w:gridSpan w:val="2"/>
            <w:noWrap w:val="0"/>
            <w:vAlign w:val="center"/>
          </w:tcPr>
          <w:p w14:paraId="09CD332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578" w:type="pct"/>
            <w:noWrap w:val="0"/>
            <w:vAlign w:val="center"/>
          </w:tcPr>
          <w:p w14:paraId="50A2B90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97%</w:t>
            </w:r>
          </w:p>
        </w:tc>
        <w:tc>
          <w:tcPr>
            <w:tcW w:w="395" w:type="pct"/>
            <w:noWrap w:val="0"/>
            <w:vAlign w:val="center"/>
          </w:tcPr>
          <w:p w14:paraId="3606A6B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4FABE80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3C0356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030FD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7951C9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30E268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restart"/>
            <w:noWrap w:val="0"/>
            <w:vAlign w:val="center"/>
          </w:tcPr>
          <w:p w14:paraId="12FF69D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时效指标</w:t>
            </w:r>
          </w:p>
        </w:tc>
        <w:tc>
          <w:tcPr>
            <w:tcW w:w="948" w:type="pct"/>
            <w:gridSpan w:val="2"/>
            <w:noWrap w:val="0"/>
            <w:vAlign w:val="center"/>
          </w:tcPr>
          <w:p w14:paraId="045B0FE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项目验收及时率</w:t>
            </w:r>
          </w:p>
        </w:tc>
        <w:tc>
          <w:tcPr>
            <w:tcW w:w="623" w:type="pct"/>
            <w:gridSpan w:val="2"/>
            <w:noWrap w:val="0"/>
            <w:vAlign w:val="center"/>
          </w:tcPr>
          <w:p w14:paraId="0C3A583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78" w:type="pct"/>
            <w:noWrap w:val="0"/>
            <w:vAlign w:val="center"/>
          </w:tcPr>
          <w:p w14:paraId="27CC925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5" w:type="pct"/>
            <w:noWrap w:val="0"/>
            <w:vAlign w:val="center"/>
          </w:tcPr>
          <w:p w14:paraId="594F4C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3344749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444BBEA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0F0E1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169A96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EBFA00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71019C3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DFB165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艺术创作及展览项目启动时间</w:t>
            </w:r>
          </w:p>
        </w:tc>
        <w:tc>
          <w:tcPr>
            <w:tcW w:w="623" w:type="pct"/>
            <w:gridSpan w:val="2"/>
            <w:noWrap w:val="0"/>
            <w:vAlign w:val="center"/>
          </w:tcPr>
          <w:p w14:paraId="3C7444A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2025年6月30日前</w:t>
            </w:r>
          </w:p>
        </w:tc>
        <w:tc>
          <w:tcPr>
            <w:tcW w:w="578" w:type="pct"/>
            <w:noWrap w:val="0"/>
            <w:vAlign w:val="center"/>
          </w:tcPr>
          <w:p w14:paraId="4F010D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6 月 25 日前启动</w:t>
            </w:r>
          </w:p>
        </w:tc>
        <w:tc>
          <w:tcPr>
            <w:tcW w:w="395" w:type="pct"/>
            <w:noWrap w:val="0"/>
            <w:vAlign w:val="center"/>
          </w:tcPr>
          <w:p w14:paraId="67209A6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0ADFEA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50DE9B2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D45F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7128517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1A1C172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4BB888C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59C8568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演出启动时间</w:t>
            </w:r>
          </w:p>
        </w:tc>
        <w:tc>
          <w:tcPr>
            <w:tcW w:w="623" w:type="pct"/>
            <w:gridSpan w:val="2"/>
            <w:noWrap w:val="0"/>
            <w:vAlign w:val="center"/>
          </w:tcPr>
          <w:p w14:paraId="0C48D14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2025年6月30日前</w:t>
            </w:r>
          </w:p>
        </w:tc>
        <w:tc>
          <w:tcPr>
            <w:tcW w:w="578" w:type="pct"/>
            <w:noWrap w:val="0"/>
            <w:vAlign w:val="center"/>
          </w:tcPr>
          <w:p w14:paraId="53E50D2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6 月 20 日前启动</w:t>
            </w:r>
          </w:p>
        </w:tc>
        <w:tc>
          <w:tcPr>
            <w:tcW w:w="395" w:type="pct"/>
            <w:noWrap w:val="0"/>
            <w:vAlign w:val="center"/>
          </w:tcPr>
          <w:p w14:paraId="7A79B8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E278EF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2EE12CF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A587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F2927D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68E04A3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5D95DC7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ED0D53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文旅业务活动开展时间</w:t>
            </w:r>
          </w:p>
        </w:tc>
        <w:tc>
          <w:tcPr>
            <w:tcW w:w="623" w:type="pct"/>
            <w:gridSpan w:val="2"/>
            <w:noWrap w:val="0"/>
            <w:vAlign w:val="center"/>
          </w:tcPr>
          <w:p w14:paraId="037A00E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2025年12月31日前</w:t>
            </w:r>
          </w:p>
        </w:tc>
        <w:tc>
          <w:tcPr>
            <w:tcW w:w="578" w:type="pct"/>
            <w:noWrap w:val="0"/>
            <w:vAlign w:val="center"/>
          </w:tcPr>
          <w:p w14:paraId="0576A8C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12 月 28 日前全部办结</w:t>
            </w:r>
          </w:p>
        </w:tc>
        <w:tc>
          <w:tcPr>
            <w:tcW w:w="395" w:type="pct"/>
            <w:noWrap w:val="0"/>
            <w:vAlign w:val="center"/>
          </w:tcPr>
          <w:p w14:paraId="3CB6908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7247931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5AD9E53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85AC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51D894F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633798F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noWrap w:val="0"/>
            <w:vAlign w:val="center"/>
          </w:tcPr>
          <w:p w14:paraId="2F714BB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成本指标</w:t>
            </w:r>
          </w:p>
        </w:tc>
        <w:tc>
          <w:tcPr>
            <w:tcW w:w="948" w:type="pct"/>
            <w:gridSpan w:val="2"/>
            <w:noWrap w:val="0"/>
            <w:vAlign w:val="center"/>
          </w:tcPr>
          <w:p w14:paraId="493AA0F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预算控制率</w:t>
            </w:r>
          </w:p>
        </w:tc>
        <w:tc>
          <w:tcPr>
            <w:tcW w:w="623" w:type="pct"/>
            <w:gridSpan w:val="2"/>
            <w:noWrap w:val="0"/>
            <w:vAlign w:val="center"/>
          </w:tcPr>
          <w:p w14:paraId="25BE67F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78" w:type="pct"/>
            <w:noWrap w:val="0"/>
            <w:vAlign w:val="center"/>
          </w:tcPr>
          <w:p w14:paraId="6DCDF60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5" w:type="pct"/>
            <w:noWrap w:val="0"/>
            <w:vAlign w:val="center"/>
          </w:tcPr>
          <w:p w14:paraId="261E692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3EB8E2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0DA507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73687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635CCC5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restart"/>
            <w:noWrap w:val="0"/>
            <w:vAlign w:val="center"/>
          </w:tcPr>
          <w:p w14:paraId="5A32882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成本指标</w:t>
            </w:r>
            <w:r>
              <w:rPr>
                <w:rFonts w:hint="default" w:ascii="Times New Roman" w:hAnsi="Times New Roman" w:cs="Times New Roman"/>
                <w:sz w:val="20"/>
                <w:szCs w:val="20"/>
                <w:lang w:val="en-US" w:eastAsia="zh-CN"/>
              </w:rPr>
              <w:t>（15分）</w:t>
            </w:r>
          </w:p>
        </w:tc>
        <w:tc>
          <w:tcPr>
            <w:tcW w:w="511" w:type="pct"/>
            <w:gridSpan w:val="2"/>
            <w:vMerge w:val="restart"/>
            <w:noWrap w:val="0"/>
            <w:vAlign w:val="center"/>
          </w:tcPr>
          <w:p w14:paraId="0A7DB6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经济成本指标</w:t>
            </w:r>
          </w:p>
        </w:tc>
        <w:tc>
          <w:tcPr>
            <w:tcW w:w="948" w:type="pct"/>
            <w:gridSpan w:val="2"/>
            <w:noWrap w:val="0"/>
            <w:vAlign w:val="center"/>
          </w:tcPr>
          <w:p w14:paraId="57D598B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京剧大戏创排制作成本</w:t>
            </w:r>
          </w:p>
        </w:tc>
        <w:tc>
          <w:tcPr>
            <w:tcW w:w="623" w:type="pct"/>
            <w:gridSpan w:val="2"/>
            <w:noWrap w:val="0"/>
            <w:vAlign w:val="center"/>
          </w:tcPr>
          <w:p w14:paraId="215522A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≤100万元</w:t>
            </w:r>
          </w:p>
        </w:tc>
        <w:tc>
          <w:tcPr>
            <w:tcW w:w="578" w:type="pct"/>
            <w:noWrap w:val="0"/>
            <w:vAlign w:val="center"/>
          </w:tcPr>
          <w:p w14:paraId="18BB0D6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95.2 万元</w:t>
            </w:r>
          </w:p>
        </w:tc>
        <w:tc>
          <w:tcPr>
            <w:tcW w:w="395" w:type="pct"/>
            <w:noWrap w:val="0"/>
            <w:vAlign w:val="center"/>
          </w:tcPr>
          <w:p w14:paraId="4262332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46820C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55375BA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E4C1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2AC395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368F42F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2EDED2C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578B18C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《一念·辛追梦》演出更新维护成本</w:t>
            </w:r>
          </w:p>
        </w:tc>
        <w:tc>
          <w:tcPr>
            <w:tcW w:w="623" w:type="pct"/>
            <w:gridSpan w:val="2"/>
            <w:noWrap w:val="0"/>
            <w:vAlign w:val="center"/>
          </w:tcPr>
          <w:p w14:paraId="2097817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≤60万元</w:t>
            </w:r>
          </w:p>
        </w:tc>
        <w:tc>
          <w:tcPr>
            <w:tcW w:w="578" w:type="pct"/>
            <w:noWrap w:val="0"/>
            <w:vAlign w:val="center"/>
          </w:tcPr>
          <w:p w14:paraId="6B3956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58.1 万元</w:t>
            </w:r>
          </w:p>
        </w:tc>
        <w:tc>
          <w:tcPr>
            <w:tcW w:w="395" w:type="pct"/>
            <w:noWrap w:val="0"/>
            <w:vAlign w:val="center"/>
          </w:tcPr>
          <w:p w14:paraId="567EB91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CD47D4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171388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2953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92D04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2570C7A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40C1B59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3656856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各类展演费用成本</w:t>
            </w:r>
          </w:p>
        </w:tc>
        <w:tc>
          <w:tcPr>
            <w:tcW w:w="623" w:type="pct"/>
            <w:gridSpan w:val="2"/>
            <w:noWrap w:val="0"/>
            <w:vAlign w:val="center"/>
          </w:tcPr>
          <w:p w14:paraId="67452FC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≤180万元</w:t>
            </w:r>
          </w:p>
        </w:tc>
        <w:tc>
          <w:tcPr>
            <w:tcW w:w="578" w:type="pct"/>
            <w:noWrap w:val="0"/>
            <w:vAlign w:val="center"/>
          </w:tcPr>
          <w:p w14:paraId="6E47486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173.5 万元</w:t>
            </w:r>
          </w:p>
        </w:tc>
        <w:tc>
          <w:tcPr>
            <w:tcW w:w="395" w:type="pct"/>
            <w:noWrap w:val="0"/>
            <w:vAlign w:val="center"/>
          </w:tcPr>
          <w:p w14:paraId="128E2B7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7AD058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0C03828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2E5B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127BD62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D8FB1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6B6C4B9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7B27E3F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青少年戏曲展演经费</w:t>
            </w:r>
          </w:p>
        </w:tc>
        <w:tc>
          <w:tcPr>
            <w:tcW w:w="623" w:type="pct"/>
            <w:gridSpan w:val="2"/>
            <w:noWrap w:val="0"/>
            <w:vAlign w:val="center"/>
          </w:tcPr>
          <w:p w14:paraId="430AA3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≤15万元</w:t>
            </w:r>
          </w:p>
        </w:tc>
        <w:tc>
          <w:tcPr>
            <w:tcW w:w="578" w:type="pct"/>
            <w:noWrap w:val="0"/>
            <w:vAlign w:val="center"/>
          </w:tcPr>
          <w:p w14:paraId="74518D7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13.6 万元</w:t>
            </w:r>
          </w:p>
        </w:tc>
        <w:tc>
          <w:tcPr>
            <w:tcW w:w="395" w:type="pct"/>
            <w:noWrap w:val="0"/>
            <w:vAlign w:val="center"/>
          </w:tcPr>
          <w:p w14:paraId="3EEF9CB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2E15A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755E57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4D60D6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7715C98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0DBD4E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noWrap w:val="0"/>
            <w:vAlign w:val="center"/>
          </w:tcPr>
          <w:p w14:paraId="4E9E1D0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社会成本指标</w:t>
            </w:r>
          </w:p>
        </w:tc>
        <w:tc>
          <w:tcPr>
            <w:tcW w:w="948" w:type="pct"/>
            <w:gridSpan w:val="2"/>
            <w:noWrap w:val="0"/>
            <w:vAlign w:val="center"/>
          </w:tcPr>
          <w:p w14:paraId="08795EB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因违规操作导致的重大安全事故</w:t>
            </w:r>
          </w:p>
        </w:tc>
        <w:tc>
          <w:tcPr>
            <w:tcW w:w="623" w:type="pct"/>
            <w:gridSpan w:val="2"/>
            <w:noWrap w:val="0"/>
            <w:vAlign w:val="center"/>
          </w:tcPr>
          <w:p w14:paraId="3347CD6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578" w:type="pct"/>
            <w:noWrap w:val="0"/>
            <w:vAlign w:val="center"/>
          </w:tcPr>
          <w:p w14:paraId="22E193B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 次</w:t>
            </w:r>
          </w:p>
        </w:tc>
        <w:tc>
          <w:tcPr>
            <w:tcW w:w="395" w:type="pct"/>
            <w:noWrap w:val="0"/>
            <w:vAlign w:val="center"/>
          </w:tcPr>
          <w:p w14:paraId="47BE4E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304AAAD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0C06789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CE98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673CCB5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26C3218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noWrap w:val="0"/>
            <w:vAlign w:val="center"/>
          </w:tcPr>
          <w:p w14:paraId="42556C2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生态环境成本指标</w:t>
            </w:r>
          </w:p>
        </w:tc>
        <w:tc>
          <w:tcPr>
            <w:tcW w:w="948" w:type="pct"/>
            <w:gridSpan w:val="2"/>
            <w:noWrap w:val="0"/>
            <w:vAlign w:val="center"/>
          </w:tcPr>
          <w:p w14:paraId="2850C6E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因违规操作引发的生态环境重大破坏次数</w:t>
            </w:r>
          </w:p>
        </w:tc>
        <w:tc>
          <w:tcPr>
            <w:tcW w:w="623" w:type="pct"/>
            <w:gridSpan w:val="2"/>
            <w:noWrap w:val="0"/>
            <w:vAlign w:val="center"/>
          </w:tcPr>
          <w:p w14:paraId="72BAAF4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578" w:type="pct"/>
            <w:noWrap w:val="0"/>
            <w:vAlign w:val="center"/>
          </w:tcPr>
          <w:p w14:paraId="3EDB3C0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 次</w:t>
            </w:r>
          </w:p>
        </w:tc>
        <w:tc>
          <w:tcPr>
            <w:tcW w:w="395" w:type="pct"/>
            <w:noWrap w:val="0"/>
            <w:vAlign w:val="center"/>
          </w:tcPr>
          <w:p w14:paraId="3933BDC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578236F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0ECB2F2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7029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AE8E77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restart"/>
            <w:noWrap w:val="0"/>
            <w:vAlign w:val="center"/>
          </w:tcPr>
          <w:p w14:paraId="55C43C8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效益指标（</w:t>
            </w:r>
            <w:r>
              <w:rPr>
                <w:rFonts w:hint="default" w:ascii="Times New Roman" w:hAnsi="Times New Roman" w:cs="Times New Roman"/>
                <w:sz w:val="20"/>
                <w:szCs w:val="20"/>
                <w:lang w:val="en-US" w:eastAsia="zh-CN"/>
              </w:rPr>
              <w:t>21</w:t>
            </w:r>
            <w:r>
              <w:rPr>
                <w:rFonts w:hint="default" w:ascii="Times New Roman" w:hAnsi="Times New Roman" w:eastAsia="仿宋_GB2312" w:cs="Times New Roman"/>
                <w:sz w:val="20"/>
                <w:szCs w:val="20"/>
                <w:lang w:val="en-US" w:eastAsia="zh-CN"/>
              </w:rPr>
              <w:t>分）</w:t>
            </w:r>
          </w:p>
          <w:p w14:paraId="682D2BC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c>
          <w:tcPr>
            <w:tcW w:w="511" w:type="pct"/>
            <w:gridSpan w:val="2"/>
            <w:vMerge w:val="restart"/>
            <w:noWrap w:val="0"/>
            <w:vAlign w:val="center"/>
          </w:tcPr>
          <w:p w14:paraId="0DE92ED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经济效</w:t>
            </w:r>
          </w:p>
          <w:p w14:paraId="2601761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益指标</w:t>
            </w:r>
          </w:p>
        </w:tc>
        <w:tc>
          <w:tcPr>
            <w:tcW w:w="948" w:type="pct"/>
            <w:gridSpan w:val="2"/>
            <w:noWrap w:val="0"/>
            <w:vAlign w:val="center"/>
          </w:tcPr>
          <w:p w14:paraId="0B418E2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演出收入增长率</w:t>
            </w:r>
          </w:p>
        </w:tc>
        <w:tc>
          <w:tcPr>
            <w:tcW w:w="623" w:type="pct"/>
            <w:gridSpan w:val="2"/>
            <w:noWrap w:val="0"/>
            <w:vAlign w:val="center"/>
          </w:tcPr>
          <w:p w14:paraId="20089F0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78" w:type="pct"/>
            <w:noWrap w:val="0"/>
            <w:vAlign w:val="center"/>
          </w:tcPr>
          <w:p w14:paraId="7498391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6.50%</w:t>
            </w:r>
          </w:p>
        </w:tc>
        <w:tc>
          <w:tcPr>
            <w:tcW w:w="395" w:type="pct"/>
            <w:noWrap w:val="0"/>
            <w:vAlign w:val="center"/>
          </w:tcPr>
          <w:p w14:paraId="3877C5D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3BA946E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25878B2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46AE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24B3C38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447E31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03F99BF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75429CE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考古发掘工地新增就业人数</w:t>
            </w:r>
          </w:p>
        </w:tc>
        <w:tc>
          <w:tcPr>
            <w:tcW w:w="623" w:type="pct"/>
            <w:gridSpan w:val="2"/>
            <w:noWrap w:val="0"/>
            <w:vAlign w:val="center"/>
          </w:tcPr>
          <w:p w14:paraId="24E26C7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≥300人</w:t>
            </w:r>
          </w:p>
        </w:tc>
        <w:tc>
          <w:tcPr>
            <w:tcW w:w="578" w:type="pct"/>
            <w:noWrap w:val="0"/>
            <w:vAlign w:val="center"/>
          </w:tcPr>
          <w:p w14:paraId="146933A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336 人</w:t>
            </w:r>
          </w:p>
        </w:tc>
        <w:tc>
          <w:tcPr>
            <w:tcW w:w="395" w:type="pct"/>
            <w:noWrap w:val="0"/>
            <w:vAlign w:val="center"/>
          </w:tcPr>
          <w:p w14:paraId="7CF54E8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428" w:type="pct"/>
            <w:noWrap w:val="0"/>
            <w:vAlign w:val="center"/>
          </w:tcPr>
          <w:p w14:paraId="6ACB608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w:t>
            </w:r>
          </w:p>
        </w:tc>
        <w:tc>
          <w:tcPr>
            <w:tcW w:w="612" w:type="pct"/>
            <w:noWrap w:val="0"/>
            <w:vAlign w:val="center"/>
          </w:tcPr>
          <w:p w14:paraId="44A9B9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29235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339C6CF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4407FCA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restart"/>
            <w:noWrap w:val="0"/>
            <w:vAlign w:val="center"/>
          </w:tcPr>
          <w:p w14:paraId="643C16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社会效</w:t>
            </w:r>
          </w:p>
          <w:p w14:paraId="425584B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益指标</w:t>
            </w:r>
          </w:p>
        </w:tc>
        <w:tc>
          <w:tcPr>
            <w:tcW w:w="948" w:type="pct"/>
            <w:gridSpan w:val="2"/>
            <w:noWrap w:val="0"/>
            <w:vAlign w:val="center"/>
          </w:tcPr>
          <w:p w14:paraId="25BA822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优秀传统文化</w:t>
            </w:r>
          </w:p>
        </w:tc>
        <w:tc>
          <w:tcPr>
            <w:tcW w:w="623" w:type="pct"/>
            <w:gridSpan w:val="2"/>
            <w:noWrap w:val="0"/>
            <w:vAlign w:val="center"/>
          </w:tcPr>
          <w:p w14:paraId="50348C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传播</w:t>
            </w:r>
          </w:p>
        </w:tc>
        <w:tc>
          <w:tcPr>
            <w:tcW w:w="578" w:type="pct"/>
            <w:noWrap w:val="0"/>
            <w:vAlign w:val="center"/>
          </w:tcPr>
          <w:p w14:paraId="0905835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显著提升</w:t>
            </w:r>
          </w:p>
        </w:tc>
        <w:tc>
          <w:tcPr>
            <w:tcW w:w="395" w:type="pct"/>
            <w:noWrap w:val="0"/>
            <w:vAlign w:val="center"/>
          </w:tcPr>
          <w:p w14:paraId="13794B3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4AFFA8A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361A4A2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27D3B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4152198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075D293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1D747F1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60A8A35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区域文化知名度</w:t>
            </w:r>
          </w:p>
        </w:tc>
        <w:tc>
          <w:tcPr>
            <w:tcW w:w="623" w:type="pct"/>
            <w:gridSpan w:val="2"/>
            <w:noWrap w:val="0"/>
            <w:vAlign w:val="center"/>
          </w:tcPr>
          <w:p w14:paraId="17209A4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明显提升</w:t>
            </w:r>
          </w:p>
        </w:tc>
        <w:tc>
          <w:tcPr>
            <w:tcW w:w="578" w:type="pct"/>
            <w:noWrap w:val="0"/>
            <w:vAlign w:val="center"/>
          </w:tcPr>
          <w:p w14:paraId="1FEB30A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显著提升</w:t>
            </w:r>
          </w:p>
        </w:tc>
        <w:tc>
          <w:tcPr>
            <w:tcW w:w="395" w:type="pct"/>
            <w:noWrap w:val="0"/>
            <w:vAlign w:val="center"/>
          </w:tcPr>
          <w:p w14:paraId="2B507C0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60B2FDC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3A81EC9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6955C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49066A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1D6A5D1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0CFC423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2555971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非遗项目</w:t>
            </w:r>
          </w:p>
        </w:tc>
        <w:tc>
          <w:tcPr>
            <w:tcW w:w="623" w:type="pct"/>
            <w:gridSpan w:val="2"/>
            <w:noWrap w:val="0"/>
            <w:vAlign w:val="center"/>
          </w:tcPr>
          <w:p w14:paraId="40A3C90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传承与发展</w:t>
            </w:r>
          </w:p>
        </w:tc>
        <w:tc>
          <w:tcPr>
            <w:tcW w:w="578" w:type="pct"/>
            <w:noWrap w:val="0"/>
            <w:vAlign w:val="center"/>
          </w:tcPr>
          <w:p w14:paraId="421EA63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稳步提质</w:t>
            </w:r>
          </w:p>
        </w:tc>
        <w:tc>
          <w:tcPr>
            <w:tcW w:w="395" w:type="pct"/>
            <w:noWrap w:val="0"/>
            <w:vAlign w:val="center"/>
          </w:tcPr>
          <w:p w14:paraId="3260A1F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4E78874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02101BF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3EFA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0EF8F77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02B8D2B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356B061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4828D33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公共文化信息资源</w:t>
            </w:r>
          </w:p>
        </w:tc>
        <w:tc>
          <w:tcPr>
            <w:tcW w:w="623" w:type="pct"/>
            <w:gridSpan w:val="2"/>
            <w:noWrap w:val="0"/>
            <w:vAlign w:val="center"/>
          </w:tcPr>
          <w:p w14:paraId="4204139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共建共享</w:t>
            </w:r>
          </w:p>
        </w:tc>
        <w:tc>
          <w:tcPr>
            <w:tcW w:w="578" w:type="pct"/>
            <w:noWrap w:val="0"/>
            <w:vAlign w:val="center"/>
          </w:tcPr>
          <w:p w14:paraId="41AC9D7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全域共享水平提升</w:t>
            </w:r>
          </w:p>
        </w:tc>
        <w:tc>
          <w:tcPr>
            <w:tcW w:w="395" w:type="pct"/>
            <w:noWrap w:val="0"/>
            <w:vAlign w:val="center"/>
          </w:tcPr>
          <w:p w14:paraId="7967350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7BF41A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AD250C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17E7D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jc w:val="center"/>
        </w:trPr>
        <w:tc>
          <w:tcPr>
            <w:tcW w:w="556" w:type="pct"/>
            <w:vMerge w:val="continue"/>
            <w:noWrap w:val="0"/>
            <w:vAlign w:val="center"/>
          </w:tcPr>
          <w:p w14:paraId="498B8CD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E3EF17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3C58A8B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519E47A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公共文化服务体系</w:t>
            </w:r>
          </w:p>
        </w:tc>
        <w:tc>
          <w:tcPr>
            <w:tcW w:w="623" w:type="pct"/>
            <w:gridSpan w:val="2"/>
            <w:noWrap w:val="0"/>
            <w:vAlign w:val="center"/>
          </w:tcPr>
          <w:p w14:paraId="06AE3F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提升</w:t>
            </w:r>
          </w:p>
        </w:tc>
        <w:tc>
          <w:tcPr>
            <w:tcW w:w="578" w:type="pct"/>
            <w:noWrap w:val="0"/>
            <w:vAlign w:val="center"/>
          </w:tcPr>
          <w:p w14:paraId="730BB0B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持续优化完善</w:t>
            </w:r>
          </w:p>
        </w:tc>
        <w:tc>
          <w:tcPr>
            <w:tcW w:w="395" w:type="pct"/>
            <w:noWrap w:val="0"/>
            <w:vAlign w:val="center"/>
          </w:tcPr>
          <w:p w14:paraId="2600435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6D2F9C3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34FC0FD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597F8F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561F50F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4C9175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noWrap w:val="0"/>
            <w:vAlign w:val="center"/>
          </w:tcPr>
          <w:p w14:paraId="69BCF4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生态效益指标</w:t>
            </w:r>
          </w:p>
        </w:tc>
        <w:tc>
          <w:tcPr>
            <w:tcW w:w="948" w:type="pct"/>
            <w:gridSpan w:val="2"/>
            <w:noWrap w:val="0"/>
            <w:vAlign w:val="center"/>
          </w:tcPr>
          <w:p w14:paraId="5D2B344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演出环境保护率</w:t>
            </w:r>
          </w:p>
        </w:tc>
        <w:tc>
          <w:tcPr>
            <w:tcW w:w="623" w:type="pct"/>
            <w:gridSpan w:val="2"/>
            <w:noWrap w:val="0"/>
            <w:vAlign w:val="center"/>
          </w:tcPr>
          <w:p w14:paraId="4BA29B2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78" w:type="pct"/>
            <w:noWrap w:val="0"/>
            <w:vAlign w:val="center"/>
          </w:tcPr>
          <w:p w14:paraId="0077878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395" w:type="pct"/>
            <w:noWrap w:val="0"/>
            <w:vAlign w:val="center"/>
          </w:tcPr>
          <w:p w14:paraId="7A96EC9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35A8313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3D2B039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2848E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112E51E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95E711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noWrap w:val="0"/>
            <w:vAlign w:val="center"/>
          </w:tcPr>
          <w:p w14:paraId="5D14F9E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可持续影响指标</w:t>
            </w:r>
          </w:p>
        </w:tc>
        <w:tc>
          <w:tcPr>
            <w:tcW w:w="948" w:type="pct"/>
            <w:gridSpan w:val="2"/>
            <w:noWrap w:val="0"/>
            <w:vAlign w:val="center"/>
          </w:tcPr>
          <w:p w14:paraId="5CE445F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湖湘文化旅游影响力</w:t>
            </w:r>
          </w:p>
        </w:tc>
        <w:tc>
          <w:tcPr>
            <w:tcW w:w="623" w:type="pct"/>
            <w:gridSpan w:val="2"/>
            <w:noWrap w:val="0"/>
            <w:vAlign w:val="center"/>
          </w:tcPr>
          <w:p w14:paraId="18983CB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不断提升</w:t>
            </w:r>
          </w:p>
        </w:tc>
        <w:tc>
          <w:tcPr>
            <w:tcW w:w="578" w:type="pct"/>
            <w:noWrap w:val="0"/>
            <w:vAlign w:val="center"/>
          </w:tcPr>
          <w:p w14:paraId="1453122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逐年增强</w:t>
            </w:r>
          </w:p>
        </w:tc>
        <w:tc>
          <w:tcPr>
            <w:tcW w:w="395" w:type="pct"/>
            <w:noWrap w:val="0"/>
            <w:vAlign w:val="center"/>
          </w:tcPr>
          <w:p w14:paraId="635014C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428" w:type="pct"/>
            <w:noWrap w:val="0"/>
            <w:vAlign w:val="center"/>
          </w:tcPr>
          <w:p w14:paraId="574DA10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w:t>
            </w:r>
          </w:p>
        </w:tc>
        <w:tc>
          <w:tcPr>
            <w:tcW w:w="612" w:type="pct"/>
            <w:noWrap w:val="0"/>
            <w:vAlign w:val="center"/>
          </w:tcPr>
          <w:p w14:paraId="1AB0C86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4086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0994A15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restart"/>
            <w:noWrap w:val="0"/>
            <w:vAlign w:val="center"/>
          </w:tcPr>
          <w:p w14:paraId="443DF9D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满意度指标（</w:t>
            </w:r>
            <w:r>
              <w:rPr>
                <w:rFonts w:hint="default" w:ascii="Times New Roman" w:hAnsi="Times New Roman" w:cs="Times New Roman"/>
                <w:sz w:val="20"/>
                <w:szCs w:val="20"/>
                <w:lang w:val="en-US" w:eastAsia="zh-CN"/>
              </w:rPr>
              <w:t>9</w:t>
            </w:r>
            <w:r>
              <w:rPr>
                <w:rFonts w:hint="default" w:ascii="Times New Roman" w:hAnsi="Times New Roman" w:eastAsia="仿宋_GB2312" w:cs="Times New Roman"/>
                <w:sz w:val="20"/>
                <w:szCs w:val="20"/>
                <w:lang w:val="en-US" w:eastAsia="zh-CN"/>
              </w:rPr>
              <w:t>分）</w:t>
            </w:r>
          </w:p>
        </w:tc>
        <w:tc>
          <w:tcPr>
            <w:tcW w:w="511" w:type="pct"/>
            <w:gridSpan w:val="2"/>
            <w:vMerge w:val="restart"/>
            <w:noWrap w:val="0"/>
            <w:vAlign w:val="center"/>
          </w:tcPr>
          <w:p w14:paraId="64429B9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服务对象满意度指标</w:t>
            </w:r>
          </w:p>
        </w:tc>
        <w:tc>
          <w:tcPr>
            <w:tcW w:w="948" w:type="pct"/>
            <w:gridSpan w:val="2"/>
            <w:noWrap w:val="0"/>
            <w:vAlign w:val="center"/>
          </w:tcPr>
          <w:p w14:paraId="6B7106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当地群众满意度</w:t>
            </w:r>
          </w:p>
        </w:tc>
        <w:tc>
          <w:tcPr>
            <w:tcW w:w="623" w:type="pct"/>
            <w:gridSpan w:val="2"/>
            <w:noWrap w:val="0"/>
            <w:vAlign w:val="center"/>
          </w:tcPr>
          <w:p w14:paraId="6E4C8AD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578" w:type="pct"/>
            <w:noWrap w:val="0"/>
            <w:vAlign w:val="center"/>
          </w:tcPr>
          <w:p w14:paraId="5CAB654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95.80%</w:t>
            </w:r>
          </w:p>
        </w:tc>
        <w:tc>
          <w:tcPr>
            <w:tcW w:w="395" w:type="pct"/>
            <w:noWrap w:val="0"/>
            <w:vAlign w:val="center"/>
          </w:tcPr>
          <w:p w14:paraId="038700E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10E85E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06174D3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63FE9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50BA7C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548C890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141533D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6E17856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艺术创作者满意度</w:t>
            </w:r>
          </w:p>
        </w:tc>
        <w:tc>
          <w:tcPr>
            <w:tcW w:w="623" w:type="pct"/>
            <w:gridSpan w:val="2"/>
            <w:noWrap w:val="0"/>
            <w:vAlign w:val="center"/>
          </w:tcPr>
          <w:p w14:paraId="3380DA1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w:t>
            </w:r>
          </w:p>
        </w:tc>
        <w:tc>
          <w:tcPr>
            <w:tcW w:w="578" w:type="pct"/>
            <w:noWrap w:val="0"/>
            <w:vAlign w:val="center"/>
          </w:tcPr>
          <w:p w14:paraId="4FA799E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94.50%</w:t>
            </w:r>
          </w:p>
        </w:tc>
        <w:tc>
          <w:tcPr>
            <w:tcW w:w="395" w:type="pct"/>
            <w:noWrap w:val="0"/>
            <w:vAlign w:val="center"/>
          </w:tcPr>
          <w:p w14:paraId="0E64702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4ACE9F1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64ED063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48795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6" w:type="pct"/>
            <w:vMerge w:val="continue"/>
            <w:noWrap w:val="0"/>
            <w:vAlign w:val="center"/>
          </w:tcPr>
          <w:p w14:paraId="492CA2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44" w:type="pct"/>
            <w:vMerge w:val="continue"/>
            <w:noWrap w:val="0"/>
            <w:vAlign w:val="center"/>
          </w:tcPr>
          <w:p w14:paraId="7839BF5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511" w:type="pct"/>
            <w:gridSpan w:val="2"/>
            <w:vMerge w:val="continue"/>
            <w:noWrap w:val="0"/>
            <w:vAlign w:val="center"/>
          </w:tcPr>
          <w:p w14:paraId="6630475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948" w:type="pct"/>
            <w:gridSpan w:val="2"/>
            <w:noWrap w:val="0"/>
            <w:vAlign w:val="center"/>
          </w:tcPr>
          <w:p w14:paraId="12285E1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游客满意度</w:t>
            </w:r>
          </w:p>
        </w:tc>
        <w:tc>
          <w:tcPr>
            <w:tcW w:w="623" w:type="pct"/>
            <w:gridSpan w:val="2"/>
            <w:noWrap w:val="0"/>
            <w:vAlign w:val="center"/>
          </w:tcPr>
          <w:p w14:paraId="3ADB916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578" w:type="pct"/>
            <w:noWrap w:val="0"/>
            <w:vAlign w:val="center"/>
          </w:tcPr>
          <w:p w14:paraId="73A6731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97.20%</w:t>
            </w:r>
          </w:p>
        </w:tc>
        <w:tc>
          <w:tcPr>
            <w:tcW w:w="395" w:type="pct"/>
            <w:noWrap w:val="0"/>
            <w:vAlign w:val="center"/>
          </w:tcPr>
          <w:p w14:paraId="19F66D9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428" w:type="pct"/>
            <w:noWrap w:val="0"/>
            <w:vAlign w:val="center"/>
          </w:tcPr>
          <w:p w14:paraId="26C9DFB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12" w:type="pct"/>
            <w:noWrap w:val="0"/>
            <w:vAlign w:val="center"/>
          </w:tcPr>
          <w:p w14:paraId="1B7E2A0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040A67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63" w:type="pct"/>
            <w:gridSpan w:val="9"/>
            <w:noWrap w:val="0"/>
            <w:vAlign w:val="center"/>
          </w:tcPr>
          <w:p w14:paraId="1D917F6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总分</w:t>
            </w:r>
          </w:p>
        </w:tc>
        <w:tc>
          <w:tcPr>
            <w:tcW w:w="395" w:type="pct"/>
            <w:noWrap w:val="0"/>
            <w:vAlign w:val="center"/>
          </w:tcPr>
          <w:p w14:paraId="1715F1F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428" w:type="pct"/>
            <w:noWrap w:val="0"/>
            <w:vAlign w:val="center"/>
          </w:tcPr>
          <w:p w14:paraId="2B76324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97.37</w:t>
            </w:r>
          </w:p>
        </w:tc>
        <w:tc>
          <w:tcPr>
            <w:tcW w:w="612" w:type="pct"/>
            <w:noWrap w:val="0"/>
            <w:vAlign w:val="center"/>
          </w:tcPr>
          <w:p w14:paraId="3D41CD9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bl>
    <w:p w14:paraId="7F2C7C7A">
      <w:pPr>
        <w:pStyle w:val="56"/>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填表人：</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填报日期：202</w:t>
      </w:r>
      <w:r>
        <w:rPr>
          <w:rFonts w:hint="default"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 xml:space="preserve">10      </w:t>
      </w:r>
      <w:r>
        <w:rPr>
          <w:rFonts w:hint="default" w:ascii="Times New Roman" w:hAnsi="Times New Roman" w:cs="Times New Roman"/>
          <w:sz w:val="18"/>
          <w:szCs w:val="18"/>
          <w:lang w:val="en-US" w:eastAsia="zh-CN"/>
        </w:rPr>
        <w:t>联系电话：</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单位负责人签字：</w:t>
      </w:r>
      <w:r>
        <w:rPr>
          <w:rFonts w:hint="default" w:ascii="Times New Roman" w:hAnsi="Times New Roman" w:cs="Times New Roman"/>
          <w:sz w:val="18"/>
          <w:szCs w:val="18"/>
          <w:lang w:val="en-US" w:eastAsia="zh-CN"/>
        </w:rPr>
        <w:t xml:space="preserve"> </w:t>
      </w:r>
    </w:p>
    <w:p w14:paraId="23D9A195">
      <w:pPr>
        <w:rPr>
          <w:rFonts w:hint="default" w:ascii="Times New Roman" w:hAnsi="Times New Roman" w:cs="Times New Roman"/>
          <w:b/>
          <w:bCs/>
          <w:lang w:val="en-US" w:eastAsia="zh-CN"/>
        </w:rPr>
      </w:pPr>
      <w:r>
        <w:rPr>
          <w:rFonts w:hint="default" w:ascii="Times New Roman" w:hAnsi="Times New Roman" w:cs="Times New Roman"/>
          <w:b/>
          <w:bCs/>
          <w:lang w:val="en-US" w:eastAsia="zh-CN"/>
        </w:rPr>
        <w:br w:type="page"/>
      </w:r>
    </w:p>
    <w:p w14:paraId="21D3C155">
      <w:pPr>
        <w:pStyle w:val="56"/>
        <w:rPr>
          <w:rFonts w:hint="default" w:ascii="Times New Roman" w:hAnsi="Times New Roman" w:cs="Times New Roman"/>
          <w:b/>
          <w:bCs/>
          <w:lang w:val="en-US" w:eastAsia="zh-CN"/>
        </w:rPr>
      </w:pPr>
      <w:r>
        <w:rPr>
          <w:rFonts w:hint="default" w:ascii="Times New Roman" w:hAnsi="Times New Roman" w:cs="Times New Roman"/>
          <w:b/>
          <w:bCs/>
          <w:lang w:val="en-US" w:eastAsia="zh-CN"/>
        </w:rPr>
        <w:t>附件3-2</w:t>
      </w:r>
    </w:p>
    <w:p w14:paraId="584F75D6">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w:t>
      </w:r>
      <w:r>
        <w:rPr>
          <w:rFonts w:hint="default" w:ascii="Times New Roman" w:hAnsi="Times New Roman" w:eastAsia="方正小标宋_GBK" w:cs="Times New Roman"/>
          <w:sz w:val="32"/>
          <w:szCs w:val="32"/>
          <w:lang w:val="en-US" w:eastAsia="zh-CN"/>
        </w:rPr>
        <w:t>5</w:t>
      </w:r>
      <w:r>
        <w:rPr>
          <w:rFonts w:hint="default" w:ascii="Times New Roman" w:hAnsi="Times New Roman" w:eastAsia="方正小标宋_GBK" w:cs="Times New Roman"/>
          <w:sz w:val="32"/>
          <w:szCs w:val="32"/>
          <w:lang w:val="en-US" w:eastAsia="zh-CN"/>
        </w:rPr>
        <w:t>年度项目支出绩效自评表</w:t>
      </w:r>
    </w:p>
    <w:tbl>
      <w:tblPr>
        <w:tblStyle w:val="24"/>
        <w:tblW w:w="4997" w:type="pct"/>
        <w:jc w:val="center"/>
        <w:tblLayout w:type="autofit"/>
        <w:tblCellMar>
          <w:top w:w="0" w:type="dxa"/>
          <w:left w:w="108" w:type="dxa"/>
          <w:bottom w:w="0" w:type="dxa"/>
          <w:right w:w="108" w:type="dxa"/>
        </w:tblCellMar>
      </w:tblPr>
      <w:tblGrid>
        <w:gridCol w:w="839"/>
        <w:gridCol w:w="808"/>
        <w:gridCol w:w="640"/>
        <w:gridCol w:w="1180"/>
        <w:gridCol w:w="1288"/>
        <w:gridCol w:w="1231"/>
        <w:gridCol w:w="850"/>
        <w:gridCol w:w="1129"/>
        <w:gridCol w:w="978"/>
      </w:tblGrid>
      <w:tr w14:paraId="19FA148E">
        <w:tblPrEx>
          <w:tblCellMar>
            <w:top w:w="0" w:type="dxa"/>
            <w:left w:w="108" w:type="dxa"/>
            <w:bottom w:w="0" w:type="dxa"/>
            <w:right w:w="108" w:type="dxa"/>
          </w:tblCellMar>
        </w:tblPrEx>
        <w:trPr>
          <w:jc w:val="center"/>
        </w:trPr>
        <w:tc>
          <w:tcPr>
            <w:tcW w:w="469" w:type="pct"/>
            <w:tcBorders>
              <w:top w:val="single" w:color="auto" w:sz="4" w:space="0"/>
              <w:left w:val="single" w:color="auto" w:sz="4" w:space="0"/>
              <w:bottom w:val="single" w:color="auto" w:sz="4" w:space="0"/>
              <w:right w:val="single" w:color="auto" w:sz="4" w:space="0"/>
            </w:tcBorders>
            <w:noWrap w:val="0"/>
            <w:vAlign w:val="center"/>
          </w:tcPr>
          <w:p w14:paraId="30EFBCE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项目支出名称</w:t>
            </w:r>
          </w:p>
        </w:tc>
        <w:tc>
          <w:tcPr>
            <w:tcW w:w="4530" w:type="pct"/>
            <w:gridSpan w:val="8"/>
            <w:tcBorders>
              <w:top w:val="single" w:color="auto" w:sz="4" w:space="0"/>
              <w:left w:val="nil"/>
              <w:bottom w:val="single" w:color="auto" w:sz="4" w:space="0"/>
              <w:right w:val="single" w:color="auto" w:sz="4" w:space="0"/>
            </w:tcBorders>
            <w:noWrap w:val="0"/>
            <w:vAlign w:val="center"/>
          </w:tcPr>
          <w:p w14:paraId="1E1EFFC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运行维护经费</w:t>
            </w:r>
          </w:p>
        </w:tc>
      </w:tr>
      <w:tr w14:paraId="4D868048">
        <w:tblPrEx>
          <w:tblCellMar>
            <w:top w:w="0" w:type="dxa"/>
            <w:left w:w="108" w:type="dxa"/>
            <w:bottom w:w="0" w:type="dxa"/>
            <w:right w:w="108" w:type="dxa"/>
          </w:tblCellMar>
        </w:tblPrEx>
        <w:trPr>
          <w:jc w:val="center"/>
        </w:trPr>
        <w:tc>
          <w:tcPr>
            <w:tcW w:w="469" w:type="pct"/>
            <w:tcBorders>
              <w:top w:val="nil"/>
              <w:left w:val="single" w:color="auto" w:sz="4" w:space="0"/>
              <w:bottom w:val="single" w:color="auto" w:sz="4" w:space="0"/>
              <w:right w:val="single" w:color="auto" w:sz="4" w:space="0"/>
            </w:tcBorders>
            <w:noWrap w:val="0"/>
            <w:vAlign w:val="center"/>
          </w:tcPr>
          <w:p w14:paraId="0E51940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主管部门</w:t>
            </w:r>
          </w:p>
        </w:tc>
        <w:tc>
          <w:tcPr>
            <w:tcW w:w="2190" w:type="pct"/>
            <w:gridSpan w:val="4"/>
            <w:tcBorders>
              <w:top w:val="single" w:color="auto" w:sz="4" w:space="0"/>
              <w:left w:val="nil"/>
              <w:bottom w:val="single" w:color="auto" w:sz="4" w:space="0"/>
              <w:right w:val="single" w:color="auto" w:sz="4" w:space="0"/>
            </w:tcBorders>
            <w:noWrap w:val="0"/>
            <w:vAlign w:val="center"/>
          </w:tcPr>
          <w:p w14:paraId="2A927DE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c>
          <w:tcPr>
            <w:tcW w:w="684" w:type="pct"/>
            <w:tcBorders>
              <w:top w:val="single" w:color="auto" w:sz="4" w:space="0"/>
              <w:left w:val="nil"/>
              <w:bottom w:val="single" w:color="auto" w:sz="4" w:space="0"/>
              <w:right w:val="single" w:color="000000" w:sz="4" w:space="0"/>
            </w:tcBorders>
            <w:noWrap w:val="0"/>
            <w:vAlign w:val="center"/>
          </w:tcPr>
          <w:p w14:paraId="437BC5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实施单位</w:t>
            </w:r>
          </w:p>
        </w:tc>
        <w:tc>
          <w:tcPr>
            <w:tcW w:w="1655" w:type="pct"/>
            <w:gridSpan w:val="3"/>
            <w:tcBorders>
              <w:top w:val="single" w:color="auto" w:sz="4" w:space="0"/>
              <w:left w:val="nil"/>
              <w:bottom w:val="single" w:color="auto" w:sz="4" w:space="0"/>
              <w:right w:val="single" w:color="auto" w:sz="4" w:space="0"/>
            </w:tcBorders>
            <w:noWrap w:val="0"/>
            <w:vAlign w:val="center"/>
          </w:tcPr>
          <w:p w14:paraId="35EC6EE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r>
      <w:tr w14:paraId="0D8CA56E">
        <w:tblPrEx>
          <w:tblCellMar>
            <w:top w:w="0" w:type="dxa"/>
            <w:left w:w="108" w:type="dxa"/>
            <w:bottom w:w="0" w:type="dxa"/>
            <w:right w:w="108" w:type="dxa"/>
          </w:tblCellMar>
        </w:tblPrEx>
        <w:trPr>
          <w:jc w:val="center"/>
        </w:trPr>
        <w:tc>
          <w:tcPr>
            <w:tcW w:w="469" w:type="pct"/>
            <w:vMerge w:val="restart"/>
            <w:tcBorders>
              <w:top w:val="nil"/>
              <w:left w:val="single" w:color="auto" w:sz="4" w:space="0"/>
              <w:bottom w:val="single" w:color="000000" w:sz="4" w:space="0"/>
              <w:right w:val="single" w:color="auto" w:sz="4" w:space="0"/>
            </w:tcBorders>
            <w:noWrap w:val="0"/>
            <w:vAlign w:val="center"/>
          </w:tcPr>
          <w:p w14:paraId="47F0E2F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项目资金</w:t>
            </w:r>
          </w:p>
          <w:p w14:paraId="6E2CE17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（万元）</w:t>
            </w:r>
          </w:p>
        </w:tc>
        <w:tc>
          <w:tcPr>
            <w:tcW w:w="810" w:type="pct"/>
            <w:gridSpan w:val="2"/>
            <w:tcBorders>
              <w:top w:val="nil"/>
              <w:left w:val="nil"/>
              <w:bottom w:val="single" w:color="auto" w:sz="4" w:space="0"/>
              <w:right w:val="single" w:color="auto" w:sz="4" w:space="0"/>
            </w:tcBorders>
            <w:noWrap w:val="0"/>
            <w:vAlign w:val="center"/>
          </w:tcPr>
          <w:p w14:paraId="321F2F7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c>
          <w:tcPr>
            <w:tcW w:w="660" w:type="pct"/>
            <w:tcBorders>
              <w:top w:val="nil"/>
              <w:left w:val="nil"/>
              <w:bottom w:val="single" w:color="auto" w:sz="4" w:space="0"/>
              <w:right w:val="single" w:color="auto" w:sz="4" w:space="0"/>
            </w:tcBorders>
            <w:noWrap w:val="0"/>
            <w:vAlign w:val="center"/>
          </w:tcPr>
          <w:p w14:paraId="0E5F0F5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年初</w:t>
            </w:r>
          </w:p>
          <w:p w14:paraId="120D313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预算数</w:t>
            </w:r>
          </w:p>
        </w:tc>
        <w:tc>
          <w:tcPr>
            <w:tcW w:w="718" w:type="pct"/>
            <w:tcBorders>
              <w:top w:val="nil"/>
              <w:left w:val="nil"/>
              <w:bottom w:val="single" w:color="auto" w:sz="4" w:space="0"/>
              <w:right w:val="single" w:color="auto" w:sz="4" w:space="0"/>
            </w:tcBorders>
            <w:noWrap w:val="0"/>
            <w:vAlign w:val="center"/>
          </w:tcPr>
          <w:p w14:paraId="501FAA6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w:t>
            </w:r>
          </w:p>
          <w:p w14:paraId="414583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预算数</w:t>
            </w:r>
          </w:p>
        </w:tc>
        <w:tc>
          <w:tcPr>
            <w:tcW w:w="684" w:type="pct"/>
            <w:tcBorders>
              <w:top w:val="nil"/>
              <w:left w:val="nil"/>
              <w:bottom w:val="single" w:color="auto" w:sz="4" w:space="0"/>
              <w:right w:val="single" w:color="auto" w:sz="4" w:space="0"/>
            </w:tcBorders>
            <w:noWrap w:val="0"/>
            <w:vAlign w:val="center"/>
          </w:tcPr>
          <w:p w14:paraId="2182A8D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w:t>
            </w:r>
          </w:p>
          <w:p w14:paraId="499DD29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执行数</w:t>
            </w:r>
          </w:p>
        </w:tc>
        <w:tc>
          <w:tcPr>
            <w:tcW w:w="475" w:type="pct"/>
            <w:tcBorders>
              <w:top w:val="nil"/>
              <w:left w:val="nil"/>
              <w:bottom w:val="single" w:color="auto" w:sz="4" w:space="0"/>
              <w:right w:val="single" w:color="auto" w:sz="4" w:space="0"/>
            </w:tcBorders>
            <w:noWrap w:val="0"/>
            <w:vAlign w:val="center"/>
          </w:tcPr>
          <w:p w14:paraId="5E33A9F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631" w:type="pct"/>
            <w:tcBorders>
              <w:top w:val="nil"/>
              <w:left w:val="nil"/>
              <w:bottom w:val="single" w:color="auto" w:sz="4" w:space="0"/>
              <w:right w:val="single" w:color="auto" w:sz="4" w:space="0"/>
            </w:tcBorders>
            <w:noWrap w:val="0"/>
            <w:vAlign w:val="center"/>
          </w:tcPr>
          <w:p w14:paraId="327EF29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执行率</w:t>
            </w:r>
          </w:p>
        </w:tc>
        <w:tc>
          <w:tcPr>
            <w:tcW w:w="548" w:type="pct"/>
            <w:tcBorders>
              <w:top w:val="nil"/>
              <w:left w:val="nil"/>
              <w:bottom w:val="single" w:color="auto" w:sz="4" w:space="0"/>
              <w:right w:val="single" w:color="auto" w:sz="4" w:space="0"/>
            </w:tcBorders>
            <w:noWrap w:val="0"/>
            <w:vAlign w:val="center"/>
          </w:tcPr>
          <w:p w14:paraId="405EC43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r>
      <w:tr w14:paraId="6FF62F86">
        <w:tblPrEx>
          <w:tblCellMar>
            <w:top w:w="0" w:type="dxa"/>
            <w:left w:w="108" w:type="dxa"/>
            <w:bottom w:w="0" w:type="dxa"/>
            <w:right w:w="108" w:type="dxa"/>
          </w:tblCellMar>
        </w:tblPrEx>
        <w:trPr>
          <w:jc w:val="center"/>
        </w:trPr>
        <w:tc>
          <w:tcPr>
            <w:tcW w:w="469" w:type="pct"/>
            <w:vMerge w:val="continue"/>
            <w:tcBorders>
              <w:top w:val="nil"/>
              <w:left w:val="single" w:color="auto" w:sz="4" w:space="0"/>
              <w:bottom w:val="single" w:color="000000" w:sz="4" w:space="0"/>
              <w:right w:val="single" w:color="auto" w:sz="4" w:space="0"/>
            </w:tcBorders>
            <w:noWrap w:val="0"/>
            <w:vAlign w:val="center"/>
          </w:tcPr>
          <w:p w14:paraId="5D4AB7B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10" w:type="pct"/>
            <w:gridSpan w:val="2"/>
            <w:tcBorders>
              <w:top w:val="nil"/>
              <w:left w:val="nil"/>
              <w:bottom w:val="single" w:color="auto" w:sz="4" w:space="0"/>
              <w:right w:val="single" w:color="auto" w:sz="4" w:space="0"/>
            </w:tcBorders>
            <w:noWrap w:val="0"/>
            <w:vAlign w:val="center"/>
          </w:tcPr>
          <w:p w14:paraId="409A8C4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年度资金总额　</w:t>
            </w:r>
          </w:p>
        </w:tc>
        <w:tc>
          <w:tcPr>
            <w:tcW w:w="660" w:type="pct"/>
            <w:tcBorders>
              <w:top w:val="nil"/>
              <w:left w:val="nil"/>
              <w:bottom w:val="single" w:color="auto" w:sz="4" w:space="0"/>
              <w:right w:val="single" w:color="auto" w:sz="4" w:space="0"/>
            </w:tcBorders>
            <w:shd w:val="clear" w:color="auto" w:fill="auto"/>
            <w:noWrap w:val="0"/>
            <w:vAlign w:val="center"/>
          </w:tcPr>
          <w:p w14:paraId="17567B8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6,032.06</w:t>
            </w:r>
          </w:p>
        </w:tc>
        <w:tc>
          <w:tcPr>
            <w:tcW w:w="718" w:type="pct"/>
            <w:tcBorders>
              <w:top w:val="nil"/>
              <w:left w:val="nil"/>
              <w:bottom w:val="single" w:color="auto" w:sz="4" w:space="0"/>
              <w:right w:val="single" w:color="auto" w:sz="4" w:space="0"/>
            </w:tcBorders>
            <w:shd w:val="clear" w:color="auto" w:fill="auto"/>
            <w:noWrap w:val="0"/>
            <w:vAlign w:val="center"/>
          </w:tcPr>
          <w:p w14:paraId="129EE27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6,032.06</w:t>
            </w:r>
          </w:p>
        </w:tc>
        <w:tc>
          <w:tcPr>
            <w:tcW w:w="684" w:type="pct"/>
            <w:tcBorders>
              <w:top w:val="nil"/>
              <w:left w:val="nil"/>
              <w:bottom w:val="single" w:color="auto" w:sz="4" w:space="0"/>
              <w:right w:val="single" w:color="auto" w:sz="4" w:space="0"/>
            </w:tcBorders>
            <w:shd w:val="clear" w:color="auto" w:fill="auto"/>
            <w:noWrap w:val="0"/>
            <w:vAlign w:val="center"/>
          </w:tcPr>
          <w:p w14:paraId="562CF23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3,724.29</w:t>
            </w:r>
          </w:p>
        </w:tc>
        <w:tc>
          <w:tcPr>
            <w:tcW w:w="475" w:type="pct"/>
            <w:tcBorders>
              <w:top w:val="nil"/>
              <w:left w:val="nil"/>
              <w:bottom w:val="single" w:color="auto" w:sz="4" w:space="0"/>
              <w:right w:val="single" w:color="auto" w:sz="4" w:space="0"/>
            </w:tcBorders>
            <w:noWrap w:val="0"/>
            <w:vAlign w:val="center"/>
          </w:tcPr>
          <w:p w14:paraId="21D03BF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10</w:t>
            </w:r>
          </w:p>
        </w:tc>
        <w:tc>
          <w:tcPr>
            <w:tcW w:w="631" w:type="pct"/>
            <w:tcBorders>
              <w:top w:val="nil"/>
              <w:left w:val="nil"/>
              <w:bottom w:val="single" w:color="auto" w:sz="4" w:space="0"/>
              <w:right w:val="single" w:color="auto" w:sz="4" w:space="0"/>
            </w:tcBorders>
            <w:noWrap w:val="0"/>
            <w:vAlign w:val="center"/>
          </w:tcPr>
          <w:p w14:paraId="00CD957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61.74%</w:t>
            </w:r>
          </w:p>
        </w:tc>
        <w:tc>
          <w:tcPr>
            <w:tcW w:w="548" w:type="pct"/>
            <w:tcBorders>
              <w:top w:val="nil"/>
              <w:left w:val="nil"/>
              <w:bottom w:val="single" w:color="auto" w:sz="4" w:space="0"/>
              <w:right w:val="single" w:color="auto" w:sz="4" w:space="0"/>
            </w:tcBorders>
            <w:noWrap w:val="0"/>
            <w:vAlign w:val="center"/>
          </w:tcPr>
          <w:p w14:paraId="0562A34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6.17</w:t>
            </w:r>
          </w:p>
        </w:tc>
      </w:tr>
      <w:tr w14:paraId="61549FAF">
        <w:tblPrEx>
          <w:tblCellMar>
            <w:top w:w="0" w:type="dxa"/>
            <w:left w:w="108" w:type="dxa"/>
            <w:bottom w:w="0" w:type="dxa"/>
            <w:right w:w="108" w:type="dxa"/>
          </w:tblCellMar>
        </w:tblPrEx>
        <w:trPr>
          <w:jc w:val="center"/>
        </w:trPr>
        <w:tc>
          <w:tcPr>
            <w:tcW w:w="469" w:type="pct"/>
            <w:vMerge w:val="continue"/>
            <w:tcBorders>
              <w:top w:val="nil"/>
              <w:left w:val="single" w:color="auto" w:sz="4" w:space="0"/>
              <w:bottom w:val="single" w:color="000000" w:sz="4" w:space="0"/>
              <w:right w:val="single" w:color="auto" w:sz="4" w:space="0"/>
            </w:tcBorders>
            <w:noWrap w:val="0"/>
            <w:vAlign w:val="center"/>
          </w:tcPr>
          <w:p w14:paraId="57C1F8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10" w:type="pct"/>
            <w:gridSpan w:val="2"/>
            <w:tcBorders>
              <w:top w:val="nil"/>
              <w:left w:val="nil"/>
              <w:bottom w:val="single" w:color="auto" w:sz="4" w:space="0"/>
              <w:right w:val="single" w:color="auto" w:sz="4" w:space="0"/>
            </w:tcBorders>
            <w:noWrap w:val="0"/>
            <w:vAlign w:val="center"/>
          </w:tcPr>
          <w:p w14:paraId="32A2CF6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其中：当年财政拨款　</w:t>
            </w:r>
          </w:p>
        </w:tc>
        <w:tc>
          <w:tcPr>
            <w:tcW w:w="660" w:type="pct"/>
            <w:tcBorders>
              <w:top w:val="nil"/>
              <w:left w:val="nil"/>
              <w:bottom w:val="single" w:color="auto" w:sz="4" w:space="0"/>
              <w:right w:val="single" w:color="auto" w:sz="4" w:space="0"/>
            </w:tcBorders>
            <w:shd w:val="clear" w:color="auto" w:fill="auto"/>
            <w:noWrap w:val="0"/>
            <w:vAlign w:val="center"/>
          </w:tcPr>
          <w:p w14:paraId="1971A15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3,349.99</w:t>
            </w:r>
          </w:p>
        </w:tc>
        <w:tc>
          <w:tcPr>
            <w:tcW w:w="718" w:type="pct"/>
            <w:tcBorders>
              <w:top w:val="nil"/>
              <w:left w:val="nil"/>
              <w:bottom w:val="single" w:color="auto" w:sz="4" w:space="0"/>
              <w:right w:val="single" w:color="auto" w:sz="4" w:space="0"/>
            </w:tcBorders>
            <w:shd w:val="clear" w:color="auto" w:fill="auto"/>
            <w:noWrap w:val="0"/>
            <w:vAlign w:val="center"/>
          </w:tcPr>
          <w:p w14:paraId="7885049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3,349.99</w:t>
            </w:r>
          </w:p>
        </w:tc>
        <w:tc>
          <w:tcPr>
            <w:tcW w:w="684" w:type="pct"/>
            <w:tcBorders>
              <w:top w:val="nil"/>
              <w:left w:val="nil"/>
              <w:bottom w:val="single" w:color="auto" w:sz="4" w:space="0"/>
              <w:right w:val="single" w:color="auto" w:sz="4" w:space="0"/>
            </w:tcBorders>
            <w:shd w:val="clear" w:color="auto" w:fill="auto"/>
            <w:noWrap w:val="0"/>
            <w:vAlign w:val="center"/>
          </w:tcPr>
          <w:p w14:paraId="0CF9B44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2,263.77</w:t>
            </w:r>
          </w:p>
        </w:tc>
        <w:tc>
          <w:tcPr>
            <w:tcW w:w="475" w:type="pct"/>
            <w:tcBorders>
              <w:top w:val="nil"/>
              <w:left w:val="nil"/>
              <w:bottom w:val="single" w:color="auto" w:sz="4" w:space="0"/>
              <w:right w:val="single" w:color="auto" w:sz="4" w:space="0"/>
            </w:tcBorders>
            <w:noWrap w:val="0"/>
            <w:vAlign w:val="center"/>
          </w:tcPr>
          <w:p w14:paraId="5B31DE4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31" w:type="pct"/>
            <w:tcBorders>
              <w:top w:val="nil"/>
              <w:left w:val="nil"/>
              <w:bottom w:val="single" w:color="auto" w:sz="4" w:space="0"/>
              <w:right w:val="single" w:color="auto" w:sz="4" w:space="0"/>
            </w:tcBorders>
            <w:noWrap w:val="0"/>
            <w:vAlign w:val="center"/>
          </w:tcPr>
          <w:p w14:paraId="68DEDF7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48" w:type="pct"/>
            <w:tcBorders>
              <w:top w:val="nil"/>
              <w:left w:val="nil"/>
              <w:bottom w:val="single" w:color="auto" w:sz="4" w:space="0"/>
              <w:right w:val="single" w:color="auto" w:sz="4" w:space="0"/>
            </w:tcBorders>
            <w:noWrap w:val="0"/>
            <w:vAlign w:val="center"/>
          </w:tcPr>
          <w:p w14:paraId="18B8436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7AE0905">
        <w:tblPrEx>
          <w:tblCellMar>
            <w:top w:w="0" w:type="dxa"/>
            <w:left w:w="108" w:type="dxa"/>
            <w:bottom w:w="0" w:type="dxa"/>
            <w:right w:w="108" w:type="dxa"/>
          </w:tblCellMar>
        </w:tblPrEx>
        <w:trPr>
          <w:jc w:val="center"/>
        </w:trPr>
        <w:tc>
          <w:tcPr>
            <w:tcW w:w="469" w:type="pct"/>
            <w:vMerge w:val="continue"/>
            <w:tcBorders>
              <w:top w:val="nil"/>
              <w:left w:val="single" w:color="auto" w:sz="4" w:space="0"/>
              <w:bottom w:val="single" w:color="000000" w:sz="4" w:space="0"/>
              <w:right w:val="single" w:color="auto" w:sz="4" w:space="0"/>
            </w:tcBorders>
            <w:noWrap w:val="0"/>
            <w:vAlign w:val="center"/>
          </w:tcPr>
          <w:p w14:paraId="12D0511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10" w:type="pct"/>
            <w:gridSpan w:val="2"/>
            <w:tcBorders>
              <w:top w:val="nil"/>
              <w:left w:val="nil"/>
              <w:bottom w:val="single" w:color="auto" w:sz="4" w:space="0"/>
              <w:right w:val="single" w:color="auto" w:sz="4" w:space="0"/>
            </w:tcBorders>
            <w:noWrap w:val="0"/>
            <w:vAlign w:val="center"/>
          </w:tcPr>
          <w:p w14:paraId="0B1C933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上年结转资金　</w:t>
            </w:r>
          </w:p>
        </w:tc>
        <w:tc>
          <w:tcPr>
            <w:tcW w:w="660" w:type="pct"/>
            <w:tcBorders>
              <w:top w:val="nil"/>
              <w:left w:val="nil"/>
              <w:bottom w:val="single" w:color="auto" w:sz="4" w:space="0"/>
              <w:right w:val="single" w:color="auto" w:sz="4" w:space="0"/>
            </w:tcBorders>
            <w:shd w:val="clear" w:color="auto" w:fill="auto"/>
            <w:noWrap w:val="0"/>
            <w:vAlign w:val="center"/>
          </w:tcPr>
          <w:p w14:paraId="18FBB95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2,682.07</w:t>
            </w:r>
          </w:p>
        </w:tc>
        <w:tc>
          <w:tcPr>
            <w:tcW w:w="718" w:type="pct"/>
            <w:tcBorders>
              <w:top w:val="nil"/>
              <w:left w:val="nil"/>
              <w:bottom w:val="single" w:color="auto" w:sz="4" w:space="0"/>
              <w:right w:val="single" w:color="auto" w:sz="4" w:space="0"/>
            </w:tcBorders>
            <w:noWrap w:val="0"/>
            <w:vAlign w:val="center"/>
          </w:tcPr>
          <w:p w14:paraId="13B07EF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2,682.07</w:t>
            </w:r>
          </w:p>
        </w:tc>
        <w:tc>
          <w:tcPr>
            <w:tcW w:w="684" w:type="pct"/>
            <w:tcBorders>
              <w:top w:val="nil"/>
              <w:left w:val="nil"/>
              <w:bottom w:val="single" w:color="auto" w:sz="4" w:space="0"/>
              <w:right w:val="single" w:color="auto" w:sz="4" w:space="0"/>
            </w:tcBorders>
            <w:shd w:val="clear" w:color="auto" w:fill="auto"/>
            <w:noWrap w:val="0"/>
            <w:vAlign w:val="center"/>
          </w:tcPr>
          <w:p w14:paraId="37475E3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1,460.52</w:t>
            </w:r>
          </w:p>
        </w:tc>
        <w:tc>
          <w:tcPr>
            <w:tcW w:w="475" w:type="pct"/>
            <w:tcBorders>
              <w:top w:val="nil"/>
              <w:left w:val="nil"/>
              <w:bottom w:val="single" w:color="auto" w:sz="4" w:space="0"/>
              <w:right w:val="single" w:color="auto" w:sz="4" w:space="0"/>
            </w:tcBorders>
            <w:noWrap w:val="0"/>
            <w:vAlign w:val="center"/>
          </w:tcPr>
          <w:p w14:paraId="64A45F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31" w:type="pct"/>
            <w:tcBorders>
              <w:top w:val="nil"/>
              <w:left w:val="nil"/>
              <w:bottom w:val="single" w:color="auto" w:sz="4" w:space="0"/>
              <w:right w:val="single" w:color="auto" w:sz="4" w:space="0"/>
            </w:tcBorders>
            <w:noWrap w:val="0"/>
            <w:vAlign w:val="center"/>
          </w:tcPr>
          <w:p w14:paraId="724E8D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48" w:type="pct"/>
            <w:tcBorders>
              <w:top w:val="nil"/>
              <w:left w:val="nil"/>
              <w:bottom w:val="single" w:color="auto" w:sz="4" w:space="0"/>
              <w:right w:val="single" w:color="auto" w:sz="4" w:space="0"/>
            </w:tcBorders>
            <w:noWrap w:val="0"/>
            <w:vAlign w:val="center"/>
          </w:tcPr>
          <w:p w14:paraId="22DFD47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72776928">
        <w:tblPrEx>
          <w:tblCellMar>
            <w:top w:w="0" w:type="dxa"/>
            <w:left w:w="108" w:type="dxa"/>
            <w:bottom w:w="0" w:type="dxa"/>
            <w:right w:w="108" w:type="dxa"/>
          </w:tblCellMar>
        </w:tblPrEx>
        <w:trPr>
          <w:jc w:val="center"/>
        </w:trPr>
        <w:tc>
          <w:tcPr>
            <w:tcW w:w="469" w:type="pct"/>
            <w:vMerge w:val="restart"/>
            <w:tcBorders>
              <w:top w:val="nil"/>
              <w:left w:val="single" w:color="auto" w:sz="4" w:space="0"/>
              <w:bottom w:val="single" w:color="000000" w:sz="4" w:space="0"/>
              <w:right w:val="single" w:color="auto" w:sz="4" w:space="0"/>
            </w:tcBorders>
            <w:noWrap w:val="0"/>
            <w:vAlign w:val="center"/>
          </w:tcPr>
          <w:p w14:paraId="5614F9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both"/>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年度总体目标</w:t>
            </w:r>
          </w:p>
        </w:tc>
        <w:tc>
          <w:tcPr>
            <w:tcW w:w="2190" w:type="pct"/>
            <w:gridSpan w:val="4"/>
            <w:tcBorders>
              <w:top w:val="single" w:color="auto" w:sz="4" w:space="0"/>
              <w:left w:val="nil"/>
              <w:bottom w:val="single" w:color="auto" w:sz="4" w:space="0"/>
              <w:right w:val="single" w:color="000000" w:sz="4" w:space="0"/>
            </w:tcBorders>
            <w:noWrap w:val="0"/>
            <w:vAlign w:val="center"/>
          </w:tcPr>
          <w:p w14:paraId="67A9B6B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预期目标</w:t>
            </w:r>
          </w:p>
        </w:tc>
        <w:tc>
          <w:tcPr>
            <w:tcW w:w="2340" w:type="pct"/>
            <w:gridSpan w:val="4"/>
            <w:tcBorders>
              <w:top w:val="single" w:color="auto" w:sz="4" w:space="0"/>
              <w:left w:val="nil"/>
              <w:bottom w:val="single" w:color="auto" w:sz="4" w:space="0"/>
              <w:right w:val="single" w:color="auto" w:sz="4" w:space="0"/>
            </w:tcBorders>
            <w:noWrap w:val="0"/>
            <w:vAlign w:val="center"/>
          </w:tcPr>
          <w:p w14:paraId="052825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实际完成情况</w:t>
            </w:r>
          </w:p>
        </w:tc>
      </w:tr>
      <w:tr w14:paraId="4B463099">
        <w:tblPrEx>
          <w:tblCellMar>
            <w:top w:w="0" w:type="dxa"/>
            <w:left w:w="108" w:type="dxa"/>
            <w:bottom w:w="0" w:type="dxa"/>
            <w:right w:w="108" w:type="dxa"/>
          </w:tblCellMar>
        </w:tblPrEx>
        <w:trPr>
          <w:jc w:val="center"/>
        </w:trPr>
        <w:tc>
          <w:tcPr>
            <w:tcW w:w="469" w:type="pct"/>
            <w:vMerge w:val="continue"/>
            <w:tcBorders>
              <w:top w:val="nil"/>
              <w:left w:val="single" w:color="auto" w:sz="4" w:space="0"/>
              <w:bottom w:val="single" w:color="auto" w:sz="4" w:space="0"/>
              <w:right w:val="single" w:color="auto" w:sz="4" w:space="0"/>
            </w:tcBorders>
            <w:noWrap w:val="0"/>
            <w:vAlign w:val="center"/>
          </w:tcPr>
          <w:p w14:paraId="29EA297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190" w:type="pct"/>
            <w:gridSpan w:val="4"/>
            <w:tcBorders>
              <w:top w:val="single" w:color="auto" w:sz="4" w:space="0"/>
              <w:left w:val="nil"/>
              <w:bottom w:val="single" w:color="auto" w:sz="4" w:space="0"/>
              <w:right w:val="single" w:color="000000" w:sz="4" w:space="0"/>
            </w:tcBorders>
            <w:noWrap w:val="0"/>
            <w:vAlign w:val="center"/>
          </w:tcPr>
          <w:p w14:paraId="45E9500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完成艺术创作管理指导、非物质文化遗产管理、全省公共文化服务体系管理督察、文化市场管理和执法、文物保护管理和执法、其他文化业务工作等。　</w:t>
            </w:r>
          </w:p>
        </w:tc>
        <w:tc>
          <w:tcPr>
            <w:tcW w:w="2340" w:type="pct"/>
            <w:gridSpan w:val="4"/>
            <w:tcBorders>
              <w:top w:val="single" w:color="auto" w:sz="4" w:space="0"/>
              <w:left w:val="nil"/>
              <w:bottom w:val="single" w:color="auto" w:sz="4" w:space="0"/>
              <w:right w:val="single" w:color="auto" w:sz="4" w:space="0"/>
            </w:tcBorders>
            <w:noWrap w:val="0"/>
            <w:vAlign w:val="center"/>
          </w:tcPr>
          <w:p w14:paraId="3A81595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完成年度艺术创作业务指导、非遗保护管理、公共文化服务体系督导督察、文化市场综合执法、文物保护监管执法及厅系统日常运维保障各项工作；办公系统平稳运行、执法督查全覆盖，各项管理业务有序落地，圆满完成年度既定工作任务。</w:t>
            </w:r>
          </w:p>
        </w:tc>
      </w:tr>
      <w:tr w14:paraId="6BA73A9B">
        <w:tblPrEx>
          <w:tblCellMar>
            <w:top w:w="0" w:type="dxa"/>
            <w:left w:w="108" w:type="dxa"/>
            <w:bottom w:w="0" w:type="dxa"/>
            <w:right w:w="108" w:type="dxa"/>
          </w:tblCellMar>
        </w:tblPrEx>
        <w:trPr>
          <w:jc w:val="center"/>
        </w:trPr>
        <w:tc>
          <w:tcPr>
            <w:tcW w:w="469" w:type="pct"/>
            <w:vMerge w:val="restart"/>
            <w:tcBorders>
              <w:top w:val="single" w:color="auto" w:sz="4" w:space="0"/>
              <w:left w:val="single" w:color="auto" w:sz="4" w:space="0"/>
              <w:bottom w:val="single" w:color="auto" w:sz="4" w:space="0"/>
              <w:right w:val="single" w:color="auto" w:sz="4" w:space="0"/>
            </w:tcBorders>
            <w:noWrap w:val="0"/>
            <w:vAlign w:val="center"/>
          </w:tcPr>
          <w:p w14:paraId="61BF1D9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绩</w:t>
            </w:r>
          </w:p>
          <w:p w14:paraId="7F49BCA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w:t>
            </w:r>
          </w:p>
          <w:p w14:paraId="0D4900F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w:t>
            </w:r>
          </w:p>
          <w:p w14:paraId="150CF3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标</w:t>
            </w:r>
          </w:p>
        </w:tc>
        <w:tc>
          <w:tcPr>
            <w:tcW w:w="452" w:type="pct"/>
            <w:tcBorders>
              <w:top w:val="single" w:color="auto" w:sz="4" w:space="0"/>
              <w:left w:val="single" w:color="auto" w:sz="4" w:space="0"/>
              <w:bottom w:val="single" w:color="auto" w:sz="4" w:space="0"/>
              <w:right w:val="single" w:color="auto" w:sz="4" w:space="0"/>
            </w:tcBorders>
            <w:noWrap w:val="0"/>
            <w:vAlign w:val="center"/>
          </w:tcPr>
          <w:p w14:paraId="6ED8D15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一级指标</w:t>
            </w:r>
          </w:p>
        </w:tc>
        <w:tc>
          <w:tcPr>
            <w:tcW w:w="357" w:type="pct"/>
            <w:tcBorders>
              <w:top w:val="single" w:color="auto" w:sz="4" w:space="0"/>
              <w:left w:val="single" w:color="auto" w:sz="4" w:space="0"/>
              <w:bottom w:val="single" w:color="auto" w:sz="4" w:space="0"/>
              <w:right w:val="single" w:color="auto" w:sz="4" w:space="0"/>
            </w:tcBorders>
            <w:noWrap w:val="0"/>
            <w:vAlign w:val="center"/>
          </w:tcPr>
          <w:p w14:paraId="616EBB1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二级指标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5AFDDC1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三级指标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0F60E48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年度指标值</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6EABAFA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实际完成值</w:t>
            </w:r>
          </w:p>
        </w:tc>
        <w:tc>
          <w:tcPr>
            <w:tcW w:w="475" w:type="pct"/>
            <w:tcBorders>
              <w:top w:val="single" w:color="auto" w:sz="4" w:space="0"/>
              <w:left w:val="single" w:color="auto" w:sz="4" w:space="0"/>
              <w:bottom w:val="single" w:color="auto" w:sz="4" w:space="0"/>
              <w:right w:val="single" w:color="auto" w:sz="4" w:space="0"/>
            </w:tcBorders>
            <w:noWrap w:val="0"/>
            <w:vAlign w:val="center"/>
          </w:tcPr>
          <w:p w14:paraId="004ADC4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3B47DB7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7FADA8B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偏差原因分析及改进措施</w:t>
            </w:r>
          </w:p>
        </w:tc>
      </w:tr>
      <w:tr w14:paraId="6B4081E3">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691C745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restart"/>
            <w:tcBorders>
              <w:top w:val="single" w:color="auto" w:sz="4" w:space="0"/>
              <w:left w:val="single" w:color="auto" w:sz="4" w:space="0"/>
              <w:bottom w:val="single" w:color="auto" w:sz="4" w:space="0"/>
              <w:right w:val="single" w:color="auto" w:sz="4" w:space="0"/>
            </w:tcBorders>
            <w:noWrap w:val="0"/>
            <w:vAlign w:val="center"/>
          </w:tcPr>
          <w:p w14:paraId="147FD87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产出指标</w:t>
            </w:r>
          </w:p>
          <w:p w14:paraId="148F7F9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w:t>
            </w:r>
            <w:r>
              <w:rPr>
                <w:rFonts w:hint="default" w:ascii="Times New Roman" w:hAnsi="Times New Roman" w:cs="Times New Roman"/>
                <w:sz w:val="20"/>
                <w:szCs w:val="20"/>
                <w:lang w:val="en-US" w:eastAsia="zh-CN"/>
              </w:rPr>
              <w:t>35</w:t>
            </w:r>
            <w:r>
              <w:rPr>
                <w:rFonts w:hint="default" w:ascii="Times New Roman" w:hAnsi="Times New Roman" w:eastAsia="仿宋_GB2312" w:cs="Times New Roman"/>
                <w:sz w:val="20"/>
                <w:szCs w:val="20"/>
                <w:lang w:val="en-US" w:eastAsia="zh-CN"/>
              </w:rPr>
              <w:t>分）</w:t>
            </w: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1DE4E5C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数量指标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20BF9E4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日常办公软件运维覆盖率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134E8EC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220600A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A82812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5F30BEC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1D2C5B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5A0E3454">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4E684CB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4E82801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48391A9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0494FF7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执法、督查覆盖率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5504D01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00C68B0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6B023A4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457E00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072935B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6F7D1176">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8393D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4A69C20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674C39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质量指标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0A8BBD1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日常办公软件运行达标率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15D19A0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≥98%</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707D2A9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99.5%</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1734D84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771FC51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1BE7F5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00986131">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5EE45F2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6FDF7E6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0B9AEE1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7998BAD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复核评定认定工作合规率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4DF518E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6812988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2E475A2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76D72A4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64B3C2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6F42522F">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2A03764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2060240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462BBC9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时效指标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10A1210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项目资金拨付时间</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5A9F8DE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2025年9月底前</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10DCACD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9 月 25 日前拨付到位</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759F05D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40B94EB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434C3F9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62DF0820">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0B87C97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06B298D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3CA855A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0E81898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日常办公软件正常运行时间</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1276FB6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55FD85A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全年不间断稳定运行</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031E8F5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7067282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01B9D26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056B8DD2">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8D3D91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288C326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3D7647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6428C46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执法督查完成时间</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77F7988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2025年12月31日前</w:t>
            </w:r>
          </w:p>
        </w:tc>
        <w:tc>
          <w:tcPr>
            <w:tcW w:w="684" w:type="pct"/>
            <w:tcBorders>
              <w:top w:val="single" w:color="auto" w:sz="4" w:space="0"/>
              <w:left w:val="single" w:color="auto" w:sz="4" w:space="0"/>
              <w:bottom w:val="single" w:color="auto" w:sz="4" w:space="0"/>
              <w:right w:val="single" w:color="auto" w:sz="4" w:space="0"/>
            </w:tcBorders>
            <w:noWrap w:val="0"/>
            <w:vAlign w:val="center"/>
          </w:tcPr>
          <w:p w14:paraId="080F2A6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12 月 28 日前全部完成</w:t>
            </w:r>
          </w:p>
        </w:tc>
        <w:tc>
          <w:tcPr>
            <w:tcW w:w="850" w:type="dxa"/>
            <w:tcBorders>
              <w:top w:val="single" w:color="auto" w:sz="4" w:space="0"/>
              <w:left w:val="single" w:color="auto" w:sz="4" w:space="0"/>
              <w:bottom w:val="single" w:color="auto" w:sz="4" w:space="0"/>
              <w:right w:val="single" w:color="auto" w:sz="4" w:space="0"/>
            </w:tcBorders>
            <w:noWrap w:val="0"/>
            <w:vAlign w:val="center"/>
          </w:tcPr>
          <w:p w14:paraId="5D948F2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noWrap w:val="0"/>
            <w:vAlign w:val="center"/>
          </w:tcPr>
          <w:p w14:paraId="6CAEE6B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530BD16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72F60B87">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44F966C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restart"/>
            <w:tcBorders>
              <w:top w:val="single" w:color="auto" w:sz="4" w:space="0"/>
              <w:left w:val="single" w:color="auto" w:sz="4" w:space="0"/>
              <w:bottom w:val="single" w:color="auto" w:sz="4" w:space="0"/>
              <w:right w:val="single" w:color="auto" w:sz="4" w:space="0"/>
            </w:tcBorders>
            <w:noWrap w:val="0"/>
            <w:vAlign w:val="center"/>
          </w:tcPr>
          <w:p w14:paraId="560FCD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成本指标</w:t>
            </w:r>
            <w:r>
              <w:rPr>
                <w:rFonts w:hint="default" w:ascii="Times New Roman" w:hAnsi="Times New Roman" w:cs="Times New Roman"/>
                <w:sz w:val="20"/>
                <w:szCs w:val="20"/>
                <w:lang w:val="en-US" w:eastAsia="zh-CN"/>
              </w:rPr>
              <w:t>（18分）</w:t>
            </w: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0A8F756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经济成本指标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6E5312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日常办公软件运维经费</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324546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≤30万元</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235F4D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28.3 万元</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4A1FFC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2169A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0BF4DDC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6C550A5D">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5685FE8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773A2A3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341B15B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50B7959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景区评定复核经费</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0B339BF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≤30万元</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14BF87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27.6 万元</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6A32EC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E2CC3F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547E98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286510C9">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49D5EFC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3AA520D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tcBorders>
              <w:top w:val="single" w:color="auto" w:sz="4" w:space="0"/>
              <w:left w:val="single" w:color="auto" w:sz="4" w:space="0"/>
              <w:bottom w:val="single" w:color="auto" w:sz="4" w:space="0"/>
              <w:right w:val="single" w:color="auto" w:sz="4" w:space="0"/>
            </w:tcBorders>
            <w:noWrap w:val="0"/>
            <w:vAlign w:val="center"/>
          </w:tcPr>
          <w:p w14:paraId="6BF767C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社会成本指标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1976727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因违规操作导致的重大安全事故次数</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45915B7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395128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0 次</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DB4AC8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A3D3E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53378D4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522CBCD8">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2436BB1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1106114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tcBorders>
              <w:top w:val="single" w:color="auto" w:sz="4" w:space="0"/>
              <w:left w:val="single" w:color="auto" w:sz="4" w:space="0"/>
              <w:bottom w:val="single" w:color="auto" w:sz="4" w:space="0"/>
              <w:right w:val="single" w:color="auto" w:sz="4" w:space="0"/>
            </w:tcBorders>
            <w:noWrap w:val="0"/>
            <w:vAlign w:val="center"/>
          </w:tcPr>
          <w:p w14:paraId="69F8CEB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生态环境成本指标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17D1713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因违规操作引发的生态环境重大破坏次数</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57FFE38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B918F0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0 次</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F715B7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597A8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54AEE30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1F754438">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2F57FF2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restart"/>
            <w:tcBorders>
              <w:top w:val="single" w:color="auto" w:sz="4" w:space="0"/>
              <w:left w:val="single" w:color="auto" w:sz="4" w:space="0"/>
              <w:bottom w:val="single" w:color="auto" w:sz="4" w:space="0"/>
              <w:right w:val="single" w:color="auto" w:sz="4" w:space="0"/>
            </w:tcBorders>
            <w:noWrap w:val="0"/>
            <w:vAlign w:val="center"/>
          </w:tcPr>
          <w:p w14:paraId="1076F89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效益指标</w:t>
            </w:r>
          </w:p>
          <w:p w14:paraId="5F27933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w:t>
            </w:r>
            <w:r>
              <w:rPr>
                <w:rFonts w:hint="default" w:ascii="Times New Roman" w:hAnsi="Times New Roman" w:cs="Times New Roman"/>
                <w:sz w:val="20"/>
                <w:szCs w:val="20"/>
                <w:lang w:val="en-US" w:eastAsia="zh-CN"/>
              </w:rPr>
              <w:t>27</w:t>
            </w:r>
            <w:r>
              <w:rPr>
                <w:rFonts w:hint="default" w:ascii="Times New Roman" w:hAnsi="Times New Roman" w:eastAsia="仿宋_GB2312" w:cs="Times New Roman"/>
                <w:sz w:val="20"/>
                <w:szCs w:val="20"/>
                <w:lang w:val="en-US" w:eastAsia="zh-CN"/>
              </w:rPr>
              <w:t>分）</w:t>
            </w:r>
          </w:p>
          <w:p w14:paraId="18FA2C2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1BA84FB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经济效益</w:t>
            </w:r>
          </w:p>
          <w:p w14:paraId="4E05727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1C326A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游客总花费增长率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6CC0553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7%左右，</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77DAA56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9.02%</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FA7FD6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0240C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3EA7187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16738AEF">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7C417F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1FDA837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0925322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42A7BAC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促进接待游客人数增长率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2381C64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7%左右</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A639BC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10.56%</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96A74D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C27457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06706B6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32A07FCE">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A2593C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10B2EF3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2B693B7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社会效益</w:t>
            </w:r>
          </w:p>
          <w:p w14:paraId="641F416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21532FE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文物考古科技化水平</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67E8E39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提升</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1E7DEBF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明显提升</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8D6AB9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511CB7A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57F1FD0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r w14:paraId="06B834A7">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72E2A07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02305B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1A0DAD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5248ED1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优秀传统文化、</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406FE6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传播</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0D6A315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传播覆盖面持续扩大</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22BE0B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B049F7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3788DC1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1DD5304B">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634F6E7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3B15B3E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5BFE74E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426D9E6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非遗项目</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0F6C68A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传承与发展</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5B0ACB3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传承保护体系持续完善</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D8093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480BC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1E6063B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6E132D8D">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56F3819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596FA04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357" w:type="pct"/>
            <w:tcBorders>
              <w:top w:val="single" w:color="auto" w:sz="4" w:space="0"/>
              <w:left w:val="single" w:color="auto" w:sz="4" w:space="0"/>
              <w:bottom w:val="single" w:color="auto" w:sz="4" w:space="0"/>
              <w:right w:val="single" w:color="auto" w:sz="4" w:space="0"/>
            </w:tcBorders>
            <w:noWrap w:val="0"/>
            <w:vAlign w:val="center"/>
          </w:tcPr>
          <w:p w14:paraId="53FCE88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生态效益</w:t>
            </w:r>
          </w:p>
          <w:p w14:paraId="20E3EE0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5FFA5D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旅游资源环境污染率</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255D148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2A2298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0</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96ECB0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391A512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2442D21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01B2F4DD">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B2C66C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restart"/>
            <w:tcBorders>
              <w:top w:val="single" w:color="auto" w:sz="4" w:space="0"/>
              <w:left w:val="single" w:color="auto" w:sz="4" w:space="0"/>
              <w:bottom w:val="single" w:color="auto" w:sz="4" w:space="0"/>
              <w:right w:val="single" w:color="auto" w:sz="4" w:space="0"/>
            </w:tcBorders>
            <w:noWrap w:val="0"/>
            <w:vAlign w:val="center"/>
          </w:tcPr>
          <w:p w14:paraId="3EF8119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满意度指标（</w:t>
            </w:r>
            <w:r>
              <w:rPr>
                <w:rFonts w:hint="default" w:ascii="Times New Roman" w:hAnsi="Times New Roman" w:cs="Times New Roman"/>
                <w:sz w:val="20"/>
                <w:szCs w:val="20"/>
                <w:lang w:val="en-US" w:eastAsia="zh-CN"/>
              </w:rPr>
              <w:t>10</w:t>
            </w:r>
            <w:r>
              <w:rPr>
                <w:rFonts w:hint="default" w:ascii="Times New Roman" w:hAnsi="Times New Roman" w:eastAsia="仿宋_GB2312" w:cs="Times New Roman"/>
                <w:sz w:val="20"/>
                <w:szCs w:val="20"/>
                <w:lang w:val="en-US" w:eastAsia="zh-CN"/>
              </w:rPr>
              <w:t>分）</w:t>
            </w:r>
          </w:p>
        </w:tc>
        <w:tc>
          <w:tcPr>
            <w:tcW w:w="357" w:type="pct"/>
            <w:vMerge w:val="restart"/>
            <w:tcBorders>
              <w:top w:val="single" w:color="auto" w:sz="4" w:space="0"/>
              <w:left w:val="single" w:color="auto" w:sz="4" w:space="0"/>
              <w:bottom w:val="single" w:color="auto" w:sz="4" w:space="0"/>
              <w:right w:val="single" w:color="auto" w:sz="4" w:space="0"/>
            </w:tcBorders>
            <w:noWrap w:val="0"/>
            <w:vAlign w:val="center"/>
          </w:tcPr>
          <w:p w14:paraId="14B7660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服务对象满意度指标</w:t>
            </w:r>
          </w:p>
        </w:tc>
        <w:tc>
          <w:tcPr>
            <w:tcW w:w="660" w:type="pct"/>
            <w:tcBorders>
              <w:top w:val="single" w:color="auto" w:sz="4" w:space="0"/>
              <w:left w:val="single" w:color="auto" w:sz="4" w:space="0"/>
              <w:bottom w:val="single" w:color="auto" w:sz="4" w:space="0"/>
              <w:right w:val="single" w:color="auto" w:sz="4" w:space="0"/>
            </w:tcBorders>
            <w:noWrap w:val="0"/>
            <w:vAlign w:val="center"/>
          </w:tcPr>
          <w:p w14:paraId="2766B9F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服务</w:t>
            </w:r>
            <w:r>
              <w:rPr>
                <w:rFonts w:hint="default" w:ascii="Times New Roman" w:hAnsi="Times New Roman" w:eastAsia="仿宋_GB2312" w:cs="Times New Roman"/>
                <w:sz w:val="20"/>
                <w:szCs w:val="20"/>
                <w:lang w:val="en-US" w:eastAsia="zh-CN"/>
              </w:rPr>
              <w:t>职工满意度</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634100A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DBE4EE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96.8%</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E5E488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D384DC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38C5F8D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21184950">
        <w:tblPrEx>
          <w:tblCellMar>
            <w:top w:w="0" w:type="dxa"/>
            <w:left w:w="108" w:type="dxa"/>
            <w:bottom w:w="0" w:type="dxa"/>
            <w:right w:w="108" w:type="dxa"/>
          </w:tblCellMar>
        </w:tblPrEx>
        <w:trPr>
          <w:jc w:val="center"/>
        </w:trPr>
        <w:tc>
          <w:tcPr>
            <w:tcW w:w="469" w:type="pct"/>
            <w:vMerge w:val="continue"/>
            <w:tcBorders>
              <w:top w:val="single" w:color="auto" w:sz="4" w:space="0"/>
              <w:left w:val="single" w:color="auto" w:sz="4" w:space="0"/>
              <w:bottom w:val="single" w:color="auto" w:sz="4" w:space="0"/>
              <w:right w:val="single" w:color="auto" w:sz="4" w:space="0"/>
            </w:tcBorders>
            <w:noWrap w:val="0"/>
            <w:vAlign w:val="center"/>
          </w:tcPr>
          <w:p w14:paraId="14A7183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52" w:type="pct"/>
            <w:vMerge w:val="continue"/>
            <w:tcBorders>
              <w:top w:val="single" w:color="auto" w:sz="4" w:space="0"/>
              <w:left w:val="single" w:color="auto" w:sz="4" w:space="0"/>
              <w:bottom w:val="single" w:color="auto" w:sz="4" w:space="0"/>
              <w:right w:val="single" w:color="auto" w:sz="4" w:space="0"/>
            </w:tcBorders>
            <w:noWrap w:val="0"/>
            <w:vAlign w:val="center"/>
          </w:tcPr>
          <w:p w14:paraId="40DB5D7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357" w:type="pct"/>
            <w:vMerge w:val="continue"/>
            <w:tcBorders>
              <w:top w:val="single" w:color="auto" w:sz="4" w:space="0"/>
              <w:left w:val="single" w:color="auto" w:sz="4" w:space="0"/>
              <w:bottom w:val="single" w:color="auto" w:sz="4" w:space="0"/>
              <w:right w:val="single" w:color="auto" w:sz="4" w:space="0"/>
            </w:tcBorders>
            <w:noWrap w:val="0"/>
            <w:vAlign w:val="center"/>
          </w:tcPr>
          <w:p w14:paraId="22E1E44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660" w:type="pct"/>
            <w:tcBorders>
              <w:top w:val="single" w:color="auto" w:sz="4" w:space="0"/>
              <w:left w:val="single" w:color="auto" w:sz="4" w:space="0"/>
              <w:bottom w:val="single" w:color="auto" w:sz="4" w:space="0"/>
              <w:right w:val="single" w:color="auto" w:sz="4" w:space="0"/>
            </w:tcBorders>
            <w:noWrap w:val="0"/>
            <w:vAlign w:val="center"/>
          </w:tcPr>
          <w:p w14:paraId="64C4779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left"/>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旅游企业满意度</w:t>
            </w:r>
          </w:p>
        </w:tc>
        <w:tc>
          <w:tcPr>
            <w:tcW w:w="718" w:type="pct"/>
            <w:tcBorders>
              <w:top w:val="single" w:color="auto" w:sz="4" w:space="0"/>
              <w:left w:val="single" w:color="auto" w:sz="4" w:space="0"/>
              <w:bottom w:val="single" w:color="auto" w:sz="4" w:space="0"/>
              <w:right w:val="single" w:color="auto" w:sz="4" w:space="0"/>
            </w:tcBorders>
            <w:noWrap w:val="0"/>
            <w:vAlign w:val="center"/>
          </w:tcPr>
          <w:p w14:paraId="4BACEBA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≥85%</w:t>
            </w:r>
          </w:p>
        </w:tc>
        <w:tc>
          <w:tcPr>
            <w:tcW w:w="684" w:type="pct"/>
            <w:tcBorders>
              <w:top w:val="single" w:color="auto" w:sz="4" w:space="0"/>
              <w:left w:val="single" w:color="auto" w:sz="4" w:space="0"/>
              <w:bottom w:val="single" w:color="auto" w:sz="4" w:space="0"/>
              <w:right w:val="single" w:color="auto" w:sz="4" w:space="0"/>
            </w:tcBorders>
            <w:shd w:val="clear" w:color="auto" w:fill="auto"/>
            <w:noWrap w:val="0"/>
            <w:vAlign w:val="center"/>
          </w:tcPr>
          <w:p w14:paraId="64C1A9F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kern w:val="2"/>
                <w:sz w:val="20"/>
                <w:szCs w:val="20"/>
                <w:lang w:val="en-US" w:eastAsia="zh-CN" w:bidi="ar-SA"/>
              </w:rPr>
            </w:pPr>
            <w:r>
              <w:rPr>
                <w:rFonts w:hint="default" w:ascii="Times New Roman" w:hAnsi="Times New Roman" w:eastAsia="仿宋_GB2312" w:cs="Times New Roman"/>
                <w:sz w:val="20"/>
                <w:szCs w:val="20"/>
                <w:lang w:val="en-US" w:eastAsia="zh-CN"/>
              </w:rPr>
              <w:t>92.3%</w:t>
            </w:r>
          </w:p>
        </w:tc>
        <w:tc>
          <w:tcPr>
            <w:tcW w:w="850"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91DDFD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1129"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2FD3E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74FE5CF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left"/>
              <w:textAlignment w:val="auto"/>
              <w:rPr>
                <w:rFonts w:hint="default" w:ascii="Times New Roman" w:hAnsi="Times New Roman" w:eastAsia="仿宋_GB2312" w:cs="Times New Roman"/>
                <w:sz w:val="20"/>
                <w:szCs w:val="20"/>
                <w:lang w:val="en-US" w:eastAsia="zh-CN"/>
              </w:rPr>
            </w:pPr>
          </w:p>
        </w:tc>
      </w:tr>
      <w:tr w14:paraId="6386E28D">
        <w:tblPrEx>
          <w:tblCellMar>
            <w:top w:w="0" w:type="dxa"/>
            <w:left w:w="108" w:type="dxa"/>
            <w:bottom w:w="0" w:type="dxa"/>
            <w:right w:w="108" w:type="dxa"/>
          </w:tblCellMar>
        </w:tblPrEx>
        <w:trPr>
          <w:jc w:val="center"/>
        </w:trPr>
        <w:tc>
          <w:tcPr>
            <w:tcW w:w="3344" w:type="pct"/>
            <w:gridSpan w:val="6"/>
            <w:tcBorders>
              <w:top w:val="single" w:color="auto" w:sz="4" w:space="0"/>
              <w:left w:val="single" w:color="auto" w:sz="4" w:space="0"/>
              <w:bottom w:val="single" w:color="auto" w:sz="4" w:space="0"/>
              <w:right w:val="single" w:color="auto" w:sz="4" w:space="0"/>
            </w:tcBorders>
            <w:noWrap w:val="0"/>
            <w:vAlign w:val="center"/>
          </w:tcPr>
          <w:p w14:paraId="087F48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总分</w:t>
            </w:r>
          </w:p>
        </w:tc>
        <w:tc>
          <w:tcPr>
            <w:tcW w:w="475" w:type="pct"/>
            <w:tcBorders>
              <w:top w:val="single" w:color="auto" w:sz="4" w:space="0"/>
              <w:left w:val="single" w:color="auto" w:sz="4" w:space="0"/>
              <w:bottom w:val="single" w:color="auto" w:sz="4" w:space="0"/>
              <w:right w:val="single" w:color="auto" w:sz="4" w:space="0"/>
            </w:tcBorders>
            <w:noWrap w:val="0"/>
            <w:vAlign w:val="center"/>
          </w:tcPr>
          <w:p w14:paraId="3EC66B9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631" w:type="pct"/>
            <w:tcBorders>
              <w:top w:val="single" w:color="auto" w:sz="4" w:space="0"/>
              <w:left w:val="single" w:color="auto" w:sz="4" w:space="0"/>
              <w:bottom w:val="single" w:color="auto" w:sz="4" w:space="0"/>
              <w:right w:val="single" w:color="auto" w:sz="4" w:space="0"/>
            </w:tcBorders>
            <w:noWrap w:val="0"/>
            <w:vAlign w:val="center"/>
          </w:tcPr>
          <w:p w14:paraId="5A57CAA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96.17</w:t>
            </w:r>
          </w:p>
        </w:tc>
        <w:tc>
          <w:tcPr>
            <w:tcW w:w="548" w:type="pct"/>
            <w:tcBorders>
              <w:top w:val="single" w:color="auto" w:sz="4" w:space="0"/>
              <w:left w:val="single" w:color="auto" w:sz="4" w:space="0"/>
              <w:bottom w:val="single" w:color="auto" w:sz="4" w:space="0"/>
              <w:right w:val="single" w:color="auto" w:sz="4" w:space="0"/>
            </w:tcBorders>
            <w:noWrap w:val="0"/>
            <w:vAlign w:val="center"/>
          </w:tcPr>
          <w:p w14:paraId="2B18D64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r>
    </w:tbl>
    <w:p w14:paraId="0AFB3D38">
      <w:pPr>
        <w:pStyle w:val="56"/>
        <w:rPr>
          <w:rFonts w:hint="default" w:ascii="Times New Roman" w:hAnsi="Times New Roman" w:cs="Times New Roman"/>
          <w:sz w:val="18"/>
          <w:szCs w:val="18"/>
          <w:lang w:val="en-US" w:eastAsia="zh-CN"/>
        </w:rPr>
      </w:pPr>
    </w:p>
    <w:p w14:paraId="19E42D3E">
      <w:pPr>
        <w:pStyle w:val="56"/>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填表人：</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填报日期：202</w:t>
      </w:r>
      <w:r>
        <w:rPr>
          <w:rFonts w:hint="default"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 xml:space="preserve">10      </w:t>
      </w:r>
      <w:r>
        <w:rPr>
          <w:rFonts w:hint="default" w:ascii="Times New Roman" w:hAnsi="Times New Roman" w:cs="Times New Roman"/>
          <w:sz w:val="18"/>
          <w:szCs w:val="18"/>
          <w:lang w:val="en-US" w:eastAsia="zh-CN"/>
        </w:rPr>
        <w:t>联系电话：</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单位负责人签字：</w:t>
      </w:r>
      <w:r>
        <w:rPr>
          <w:rFonts w:hint="default" w:ascii="Times New Roman" w:hAnsi="Times New Roman" w:cs="Times New Roman"/>
          <w:sz w:val="18"/>
          <w:szCs w:val="18"/>
          <w:lang w:val="en-US" w:eastAsia="zh-CN"/>
        </w:rPr>
        <w:t xml:space="preserve"> </w:t>
      </w:r>
    </w:p>
    <w:p w14:paraId="04B269AE">
      <w:pPr>
        <w:pStyle w:val="56"/>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br w:type="page"/>
      </w:r>
    </w:p>
    <w:p w14:paraId="36D17E5F">
      <w:pPr>
        <w:pStyle w:val="56"/>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附件3-3</w:t>
      </w:r>
    </w:p>
    <w:p w14:paraId="58C3A0F0">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w:t>
      </w:r>
      <w:r>
        <w:rPr>
          <w:rFonts w:hint="default" w:ascii="Times New Roman" w:hAnsi="Times New Roman" w:eastAsia="方正小标宋_GBK" w:cs="Times New Roman"/>
          <w:sz w:val="32"/>
          <w:szCs w:val="32"/>
          <w:lang w:val="en-US" w:eastAsia="zh-CN"/>
        </w:rPr>
        <w:t>5</w:t>
      </w:r>
      <w:r>
        <w:rPr>
          <w:rFonts w:hint="default" w:ascii="Times New Roman" w:hAnsi="Times New Roman" w:eastAsia="方正小标宋_GBK" w:cs="Times New Roman"/>
          <w:sz w:val="32"/>
          <w:szCs w:val="32"/>
          <w:lang w:val="en-US" w:eastAsia="zh-CN"/>
        </w:rPr>
        <w:t>年度项目支出绩效自评表</w:t>
      </w:r>
    </w:p>
    <w:tbl>
      <w:tblPr>
        <w:tblStyle w:val="24"/>
        <w:tblW w:w="50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
        <w:gridCol w:w="754"/>
        <w:gridCol w:w="876"/>
        <w:gridCol w:w="1280"/>
        <w:gridCol w:w="1405"/>
        <w:gridCol w:w="1128"/>
        <w:gridCol w:w="729"/>
        <w:gridCol w:w="931"/>
        <w:gridCol w:w="1094"/>
      </w:tblGrid>
      <w:tr w14:paraId="56E1F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noWrap w:val="0"/>
            <w:vAlign w:val="center"/>
          </w:tcPr>
          <w:p w14:paraId="54C6D0F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项目支出名称</w:t>
            </w:r>
          </w:p>
        </w:tc>
        <w:tc>
          <w:tcPr>
            <w:tcW w:w="4524" w:type="pct"/>
            <w:gridSpan w:val="8"/>
            <w:noWrap w:val="0"/>
            <w:vAlign w:val="center"/>
          </w:tcPr>
          <w:p w14:paraId="05B3E97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其他事业发展经费</w:t>
            </w:r>
          </w:p>
        </w:tc>
      </w:tr>
      <w:tr w14:paraId="3A4A5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noWrap w:val="0"/>
            <w:vAlign w:val="center"/>
          </w:tcPr>
          <w:p w14:paraId="41F0F1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主管部门</w:t>
            </w:r>
          </w:p>
        </w:tc>
        <w:tc>
          <w:tcPr>
            <w:tcW w:w="2381" w:type="pct"/>
            <w:gridSpan w:val="4"/>
            <w:noWrap w:val="0"/>
            <w:vAlign w:val="center"/>
          </w:tcPr>
          <w:p w14:paraId="2A722D0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c>
          <w:tcPr>
            <w:tcW w:w="622" w:type="pct"/>
            <w:noWrap w:val="0"/>
            <w:vAlign w:val="center"/>
          </w:tcPr>
          <w:p w14:paraId="2F2B9BA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实施单位</w:t>
            </w:r>
          </w:p>
        </w:tc>
        <w:tc>
          <w:tcPr>
            <w:tcW w:w="1520" w:type="pct"/>
            <w:gridSpan w:val="3"/>
            <w:noWrap w:val="0"/>
            <w:vAlign w:val="center"/>
          </w:tcPr>
          <w:p w14:paraId="28F9931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湖南省文化和旅游厅</w:t>
            </w:r>
          </w:p>
        </w:tc>
      </w:tr>
      <w:tr w14:paraId="20EE1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restart"/>
            <w:noWrap w:val="0"/>
            <w:vAlign w:val="center"/>
          </w:tcPr>
          <w:p w14:paraId="176CE73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项目资金</w:t>
            </w:r>
          </w:p>
          <w:p w14:paraId="1F7C8AC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（万元）</w:t>
            </w:r>
          </w:p>
        </w:tc>
        <w:tc>
          <w:tcPr>
            <w:tcW w:w="899" w:type="pct"/>
            <w:gridSpan w:val="2"/>
            <w:noWrap w:val="0"/>
            <w:vAlign w:val="bottom"/>
          </w:tcPr>
          <w:p w14:paraId="2D417E8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bottom"/>
          </w:tcPr>
          <w:p w14:paraId="38276EF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年初预算数</w:t>
            </w:r>
          </w:p>
        </w:tc>
        <w:tc>
          <w:tcPr>
            <w:tcW w:w="775" w:type="pct"/>
            <w:noWrap w:val="0"/>
            <w:vAlign w:val="bottom"/>
          </w:tcPr>
          <w:p w14:paraId="69DE4B1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全年预算数</w:t>
            </w:r>
          </w:p>
        </w:tc>
        <w:tc>
          <w:tcPr>
            <w:tcW w:w="622" w:type="pct"/>
            <w:noWrap w:val="0"/>
            <w:vAlign w:val="bottom"/>
          </w:tcPr>
          <w:p w14:paraId="4905AC9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全年执行数</w:t>
            </w:r>
          </w:p>
        </w:tc>
        <w:tc>
          <w:tcPr>
            <w:tcW w:w="402" w:type="pct"/>
            <w:noWrap w:val="0"/>
            <w:vAlign w:val="bottom"/>
          </w:tcPr>
          <w:p w14:paraId="1A2C101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513" w:type="pct"/>
            <w:noWrap w:val="0"/>
            <w:vAlign w:val="bottom"/>
          </w:tcPr>
          <w:p w14:paraId="0394E6B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执行率</w:t>
            </w:r>
          </w:p>
        </w:tc>
        <w:tc>
          <w:tcPr>
            <w:tcW w:w="603" w:type="pct"/>
            <w:noWrap w:val="0"/>
            <w:vAlign w:val="bottom"/>
          </w:tcPr>
          <w:p w14:paraId="0D5EF9C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r>
      <w:tr w14:paraId="22DE3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2E58D82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99" w:type="pct"/>
            <w:gridSpan w:val="2"/>
            <w:noWrap w:val="0"/>
            <w:vAlign w:val="center"/>
          </w:tcPr>
          <w:p w14:paraId="1C4B71F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年度资金总额　</w:t>
            </w:r>
          </w:p>
        </w:tc>
        <w:tc>
          <w:tcPr>
            <w:tcW w:w="706" w:type="pct"/>
            <w:shd w:val="clear" w:color="auto" w:fill="auto"/>
            <w:noWrap w:val="0"/>
            <w:vAlign w:val="center"/>
          </w:tcPr>
          <w:p w14:paraId="6A845A3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79,728.43</w:t>
            </w:r>
          </w:p>
        </w:tc>
        <w:tc>
          <w:tcPr>
            <w:tcW w:w="775" w:type="pct"/>
            <w:noWrap w:val="0"/>
            <w:vAlign w:val="center"/>
          </w:tcPr>
          <w:p w14:paraId="5CCF5CF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76,591.12</w:t>
            </w:r>
          </w:p>
        </w:tc>
        <w:tc>
          <w:tcPr>
            <w:tcW w:w="622" w:type="pct"/>
            <w:noWrap w:val="0"/>
            <w:vAlign w:val="center"/>
          </w:tcPr>
          <w:p w14:paraId="4E81674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62,322.23</w:t>
            </w:r>
          </w:p>
        </w:tc>
        <w:tc>
          <w:tcPr>
            <w:tcW w:w="402" w:type="pct"/>
            <w:noWrap w:val="0"/>
            <w:vAlign w:val="center"/>
          </w:tcPr>
          <w:p w14:paraId="7008C2C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10</w:t>
            </w:r>
          </w:p>
        </w:tc>
        <w:tc>
          <w:tcPr>
            <w:tcW w:w="513" w:type="pct"/>
            <w:noWrap w:val="0"/>
            <w:vAlign w:val="center"/>
          </w:tcPr>
          <w:p w14:paraId="415954D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81.37%</w:t>
            </w:r>
          </w:p>
        </w:tc>
        <w:tc>
          <w:tcPr>
            <w:tcW w:w="603" w:type="pct"/>
            <w:noWrap w:val="0"/>
            <w:vAlign w:val="center"/>
          </w:tcPr>
          <w:p w14:paraId="77D1848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8.13</w:t>
            </w:r>
          </w:p>
        </w:tc>
      </w:tr>
      <w:tr w14:paraId="41D65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25082A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99" w:type="pct"/>
            <w:gridSpan w:val="2"/>
            <w:noWrap w:val="0"/>
            <w:vAlign w:val="center"/>
          </w:tcPr>
          <w:p w14:paraId="431636C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其中：当年财政拨款　</w:t>
            </w:r>
          </w:p>
        </w:tc>
        <w:tc>
          <w:tcPr>
            <w:tcW w:w="706" w:type="pct"/>
            <w:shd w:val="clear" w:color="auto" w:fill="auto"/>
            <w:noWrap w:val="0"/>
            <w:vAlign w:val="center"/>
          </w:tcPr>
          <w:p w14:paraId="3CD974C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60,174.54</w:t>
            </w:r>
          </w:p>
        </w:tc>
        <w:tc>
          <w:tcPr>
            <w:tcW w:w="775" w:type="pct"/>
            <w:shd w:val="clear" w:color="auto" w:fill="auto"/>
            <w:noWrap w:val="0"/>
            <w:vAlign w:val="center"/>
          </w:tcPr>
          <w:p w14:paraId="0A1062D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57,201.23</w:t>
            </w:r>
          </w:p>
        </w:tc>
        <w:tc>
          <w:tcPr>
            <w:tcW w:w="622" w:type="pct"/>
            <w:shd w:val="clear" w:color="auto" w:fill="auto"/>
            <w:noWrap w:val="0"/>
            <w:vAlign w:val="center"/>
          </w:tcPr>
          <w:p w14:paraId="76F459A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46,337.80</w:t>
            </w:r>
          </w:p>
        </w:tc>
        <w:tc>
          <w:tcPr>
            <w:tcW w:w="402" w:type="pct"/>
            <w:noWrap w:val="0"/>
            <w:vAlign w:val="center"/>
          </w:tcPr>
          <w:p w14:paraId="1776B86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3" w:type="pct"/>
            <w:noWrap w:val="0"/>
            <w:vAlign w:val="center"/>
          </w:tcPr>
          <w:p w14:paraId="7574656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03" w:type="pct"/>
            <w:noWrap w:val="0"/>
            <w:vAlign w:val="center"/>
          </w:tcPr>
          <w:p w14:paraId="1FA3B60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B2193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3A223B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899" w:type="pct"/>
            <w:gridSpan w:val="2"/>
            <w:noWrap w:val="0"/>
            <w:vAlign w:val="center"/>
          </w:tcPr>
          <w:p w14:paraId="0F53700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上年结转资金　</w:t>
            </w:r>
          </w:p>
        </w:tc>
        <w:tc>
          <w:tcPr>
            <w:tcW w:w="706" w:type="pct"/>
            <w:shd w:val="clear" w:color="auto" w:fill="auto"/>
            <w:noWrap w:val="0"/>
            <w:vAlign w:val="center"/>
          </w:tcPr>
          <w:p w14:paraId="4229AFE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19,553.89</w:t>
            </w:r>
          </w:p>
        </w:tc>
        <w:tc>
          <w:tcPr>
            <w:tcW w:w="775" w:type="pct"/>
            <w:shd w:val="clear" w:color="auto" w:fill="auto"/>
            <w:noWrap w:val="0"/>
            <w:vAlign w:val="center"/>
          </w:tcPr>
          <w:p w14:paraId="3FAC06E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19,389.89</w:t>
            </w:r>
          </w:p>
        </w:tc>
        <w:tc>
          <w:tcPr>
            <w:tcW w:w="622" w:type="pct"/>
            <w:shd w:val="clear" w:color="auto" w:fill="auto"/>
            <w:noWrap w:val="0"/>
            <w:vAlign w:val="center"/>
          </w:tcPr>
          <w:p w14:paraId="0EB1466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15,984.42</w:t>
            </w:r>
          </w:p>
        </w:tc>
        <w:tc>
          <w:tcPr>
            <w:tcW w:w="402" w:type="pct"/>
            <w:noWrap w:val="0"/>
            <w:vAlign w:val="center"/>
          </w:tcPr>
          <w:p w14:paraId="4B4AE65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513" w:type="pct"/>
            <w:noWrap w:val="0"/>
            <w:vAlign w:val="center"/>
          </w:tcPr>
          <w:p w14:paraId="57C9F86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603" w:type="pct"/>
            <w:noWrap w:val="0"/>
            <w:vAlign w:val="center"/>
          </w:tcPr>
          <w:p w14:paraId="795D865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r>
      <w:tr w14:paraId="308F2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restart"/>
            <w:noWrap w:val="0"/>
            <w:vAlign w:val="center"/>
          </w:tcPr>
          <w:p w14:paraId="4EE6EDD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w:t>
            </w:r>
          </w:p>
          <w:p w14:paraId="4505D4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总体目标</w:t>
            </w:r>
          </w:p>
        </w:tc>
        <w:tc>
          <w:tcPr>
            <w:tcW w:w="2381" w:type="pct"/>
            <w:gridSpan w:val="4"/>
            <w:noWrap w:val="0"/>
            <w:vAlign w:val="center"/>
          </w:tcPr>
          <w:p w14:paraId="47919E4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预期目标</w:t>
            </w:r>
          </w:p>
        </w:tc>
        <w:tc>
          <w:tcPr>
            <w:tcW w:w="2142" w:type="pct"/>
            <w:gridSpan w:val="4"/>
            <w:noWrap w:val="0"/>
            <w:vAlign w:val="center"/>
          </w:tcPr>
          <w:p w14:paraId="6FCD344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实际完成情况</w:t>
            </w:r>
          </w:p>
        </w:tc>
      </w:tr>
      <w:tr w14:paraId="03E2D6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738ADA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2381" w:type="pct"/>
            <w:gridSpan w:val="4"/>
            <w:noWrap w:val="0"/>
            <w:vAlign w:val="center"/>
          </w:tcPr>
          <w:p w14:paraId="108B6A8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省文物考古研究院进行业务工作；图书馆、博物院做好免开工作；开展舞台艺术演出，创新对外宣传方式。</w:t>
            </w:r>
          </w:p>
        </w:tc>
        <w:tc>
          <w:tcPr>
            <w:tcW w:w="2142" w:type="pct"/>
            <w:gridSpan w:val="4"/>
            <w:noWrap w:val="0"/>
            <w:vAlign w:val="center"/>
          </w:tcPr>
          <w:p w14:paraId="3298792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圆满完成省文物考古研究院各项业务工作；图书馆、博物馆严格落实全年免费开放任务；有序开展舞台艺术创排、展演活动，多渠道创新文旅对外宣传推广模式，各项事业发展任务均如期完成。</w:t>
            </w:r>
          </w:p>
        </w:tc>
      </w:tr>
      <w:tr w14:paraId="58D1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restart"/>
            <w:noWrap w:val="0"/>
            <w:vAlign w:val="center"/>
          </w:tcPr>
          <w:p w14:paraId="4BB139D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绩</w:t>
            </w:r>
          </w:p>
          <w:p w14:paraId="771BEE9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w:t>
            </w:r>
          </w:p>
          <w:p w14:paraId="7D2948B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指</w:t>
            </w:r>
          </w:p>
          <w:p w14:paraId="0C00CE4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标</w:t>
            </w:r>
          </w:p>
        </w:tc>
        <w:tc>
          <w:tcPr>
            <w:tcW w:w="416" w:type="pct"/>
            <w:noWrap w:val="0"/>
            <w:vAlign w:val="center"/>
          </w:tcPr>
          <w:p w14:paraId="0148475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一级指标</w:t>
            </w:r>
          </w:p>
        </w:tc>
        <w:tc>
          <w:tcPr>
            <w:tcW w:w="483" w:type="pct"/>
            <w:noWrap w:val="0"/>
            <w:vAlign w:val="center"/>
          </w:tcPr>
          <w:p w14:paraId="6AC0638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二级指标</w:t>
            </w:r>
          </w:p>
        </w:tc>
        <w:tc>
          <w:tcPr>
            <w:tcW w:w="706" w:type="pct"/>
            <w:noWrap w:val="0"/>
            <w:vAlign w:val="center"/>
          </w:tcPr>
          <w:p w14:paraId="7E15454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三级指标</w:t>
            </w:r>
          </w:p>
        </w:tc>
        <w:tc>
          <w:tcPr>
            <w:tcW w:w="775" w:type="pct"/>
            <w:noWrap w:val="0"/>
            <w:vAlign w:val="center"/>
          </w:tcPr>
          <w:p w14:paraId="3569DF8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年度指标值</w:t>
            </w:r>
          </w:p>
        </w:tc>
        <w:tc>
          <w:tcPr>
            <w:tcW w:w="622" w:type="pct"/>
            <w:noWrap w:val="0"/>
            <w:vAlign w:val="center"/>
          </w:tcPr>
          <w:p w14:paraId="7604038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实际完成值</w:t>
            </w:r>
          </w:p>
        </w:tc>
        <w:tc>
          <w:tcPr>
            <w:tcW w:w="402" w:type="pct"/>
            <w:noWrap w:val="0"/>
            <w:vAlign w:val="center"/>
          </w:tcPr>
          <w:p w14:paraId="362E54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分值</w:t>
            </w:r>
          </w:p>
        </w:tc>
        <w:tc>
          <w:tcPr>
            <w:tcW w:w="513" w:type="pct"/>
            <w:noWrap w:val="0"/>
            <w:vAlign w:val="center"/>
          </w:tcPr>
          <w:p w14:paraId="44763BD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自评得分</w:t>
            </w:r>
          </w:p>
        </w:tc>
        <w:tc>
          <w:tcPr>
            <w:tcW w:w="603" w:type="pct"/>
            <w:noWrap w:val="0"/>
            <w:vAlign w:val="center"/>
          </w:tcPr>
          <w:p w14:paraId="41691BD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偏差原因分析及改进措施</w:t>
            </w:r>
          </w:p>
        </w:tc>
      </w:tr>
      <w:tr w14:paraId="1447E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5ED9738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restart"/>
            <w:noWrap w:val="0"/>
            <w:vAlign w:val="center"/>
          </w:tcPr>
          <w:p w14:paraId="297029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产出指标</w:t>
            </w:r>
          </w:p>
          <w:p w14:paraId="18E2037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4</w:t>
            </w:r>
            <w:r>
              <w:rPr>
                <w:rFonts w:hint="default" w:ascii="Times New Roman" w:hAnsi="Times New Roman" w:eastAsia="仿宋_GB2312" w:cs="Times New Roman"/>
                <w:sz w:val="20"/>
                <w:szCs w:val="20"/>
                <w:lang w:val="en-US" w:eastAsia="zh-CN"/>
              </w:rPr>
              <w:t>0分</w:t>
            </w:r>
          </w:p>
        </w:tc>
        <w:tc>
          <w:tcPr>
            <w:tcW w:w="483" w:type="pct"/>
            <w:vMerge w:val="restart"/>
            <w:noWrap w:val="0"/>
            <w:vAlign w:val="center"/>
          </w:tcPr>
          <w:p w14:paraId="3023838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数量指标</w:t>
            </w:r>
          </w:p>
        </w:tc>
        <w:tc>
          <w:tcPr>
            <w:tcW w:w="706" w:type="pct"/>
            <w:noWrap w:val="0"/>
            <w:vAlign w:val="center"/>
          </w:tcPr>
          <w:p w14:paraId="1E0D186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免费开放天数</w:t>
            </w:r>
          </w:p>
        </w:tc>
        <w:tc>
          <w:tcPr>
            <w:tcW w:w="775" w:type="pct"/>
            <w:noWrap w:val="0"/>
            <w:vAlign w:val="center"/>
          </w:tcPr>
          <w:p w14:paraId="5093350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≥300天</w:t>
            </w:r>
          </w:p>
        </w:tc>
        <w:tc>
          <w:tcPr>
            <w:tcW w:w="1128" w:type="dxa"/>
            <w:noWrap w:val="0"/>
            <w:vAlign w:val="center"/>
          </w:tcPr>
          <w:p w14:paraId="5513D47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313 天</w:t>
            </w:r>
          </w:p>
        </w:tc>
        <w:tc>
          <w:tcPr>
            <w:tcW w:w="729" w:type="dxa"/>
            <w:noWrap w:val="0"/>
            <w:vAlign w:val="center"/>
          </w:tcPr>
          <w:p w14:paraId="1DEF80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931" w:type="dxa"/>
            <w:noWrap w:val="0"/>
            <w:vAlign w:val="center"/>
          </w:tcPr>
          <w:p w14:paraId="695E0E7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603" w:type="pct"/>
            <w:noWrap w:val="0"/>
            <w:vAlign w:val="center"/>
          </w:tcPr>
          <w:p w14:paraId="2CA1566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0946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28AECC3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528C360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2AD1360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0CA93FF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省博物馆藏品保护修复数量</w:t>
            </w:r>
          </w:p>
        </w:tc>
        <w:tc>
          <w:tcPr>
            <w:tcW w:w="775" w:type="pct"/>
            <w:noWrap w:val="0"/>
            <w:vAlign w:val="center"/>
          </w:tcPr>
          <w:p w14:paraId="76FCC6C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≥100件</w:t>
            </w:r>
          </w:p>
        </w:tc>
        <w:tc>
          <w:tcPr>
            <w:tcW w:w="1128" w:type="dxa"/>
            <w:noWrap w:val="0"/>
            <w:vAlign w:val="center"/>
          </w:tcPr>
          <w:p w14:paraId="54360DA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106 件</w:t>
            </w:r>
          </w:p>
        </w:tc>
        <w:tc>
          <w:tcPr>
            <w:tcW w:w="729" w:type="dxa"/>
            <w:noWrap w:val="0"/>
            <w:vAlign w:val="center"/>
          </w:tcPr>
          <w:p w14:paraId="1B03CF1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931" w:type="dxa"/>
            <w:noWrap w:val="0"/>
            <w:vAlign w:val="center"/>
          </w:tcPr>
          <w:p w14:paraId="44AE576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603" w:type="pct"/>
            <w:noWrap w:val="0"/>
            <w:vAlign w:val="center"/>
          </w:tcPr>
          <w:p w14:paraId="0191080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1AE1A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522D46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6CEAE72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20B0473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15B9121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省图书馆采购书刊、地方文献数量</w:t>
            </w:r>
          </w:p>
        </w:tc>
        <w:tc>
          <w:tcPr>
            <w:tcW w:w="775" w:type="pct"/>
            <w:noWrap w:val="0"/>
            <w:vAlign w:val="center"/>
          </w:tcPr>
          <w:p w14:paraId="21DC51A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≥100000册</w:t>
            </w:r>
          </w:p>
        </w:tc>
        <w:tc>
          <w:tcPr>
            <w:tcW w:w="1128" w:type="dxa"/>
            <w:noWrap w:val="0"/>
            <w:vAlign w:val="center"/>
          </w:tcPr>
          <w:p w14:paraId="7EFADDB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108000 册</w:t>
            </w:r>
          </w:p>
        </w:tc>
        <w:tc>
          <w:tcPr>
            <w:tcW w:w="729" w:type="dxa"/>
            <w:noWrap w:val="0"/>
            <w:vAlign w:val="center"/>
          </w:tcPr>
          <w:p w14:paraId="7E3D876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931" w:type="dxa"/>
            <w:noWrap w:val="0"/>
            <w:vAlign w:val="center"/>
          </w:tcPr>
          <w:p w14:paraId="3AA1B30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603" w:type="pct"/>
            <w:noWrap w:val="0"/>
            <w:vAlign w:val="center"/>
          </w:tcPr>
          <w:p w14:paraId="0EFEE87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2DAB3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42DAE2F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1C8A5E0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430B37D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14F0305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考古</w:t>
            </w:r>
            <w:r>
              <w:rPr>
                <w:rFonts w:hint="default" w:ascii="Times New Roman" w:hAnsi="Times New Roman" w:eastAsia="仿宋_GB2312" w:cs="Times New Roman"/>
                <w:sz w:val="20"/>
                <w:szCs w:val="20"/>
                <w:lang w:val="en-US" w:eastAsia="zh-CN"/>
              </w:rPr>
              <w:t>发掘项目数</w:t>
            </w:r>
          </w:p>
        </w:tc>
        <w:tc>
          <w:tcPr>
            <w:tcW w:w="775" w:type="pct"/>
            <w:noWrap w:val="0"/>
            <w:vAlign w:val="center"/>
          </w:tcPr>
          <w:p w14:paraId="10574BF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≥10个</w:t>
            </w:r>
          </w:p>
        </w:tc>
        <w:tc>
          <w:tcPr>
            <w:tcW w:w="1128" w:type="dxa"/>
            <w:noWrap w:val="0"/>
            <w:vAlign w:val="center"/>
          </w:tcPr>
          <w:p w14:paraId="42409C2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11 个</w:t>
            </w:r>
          </w:p>
        </w:tc>
        <w:tc>
          <w:tcPr>
            <w:tcW w:w="729" w:type="dxa"/>
            <w:noWrap w:val="0"/>
            <w:vAlign w:val="center"/>
          </w:tcPr>
          <w:p w14:paraId="09C9F4B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931" w:type="dxa"/>
            <w:noWrap w:val="0"/>
            <w:vAlign w:val="center"/>
          </w:tcPr>
          <w:p w14:paraId="3E192B4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5</w:t>
            </w:r>
          </w:p>
        </w:tc>
        <w:tc>
          <w:tcPr>
            <w:tcW w:w="603" w:type="pct"/>
            <w:noWrap w:val="0"/>
            <w:vAlign w:val="center"/>
          </w:tcPr>
          <w:p w14:paraId="73FB99F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127E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5B933F4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1B0DE52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restart"/>
            <w:noWrap w:val="0"/>
            <w:vAlign w:val="center"/>
          </w:tcPr>
          <w:p w14:paraId="36BE24E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p w14:paraId="6A94D0E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质量指标</w:t>
            </w:r>
          </w:p>
        </w:tc>
        <w:tc>
          <w:tcPr>
            <w:tcW w:w="706" w:type="pct"/>
            <w:noWrap w:val="0"/>
            <w:vAlign w:val="center"/>
          </w:tcPr>
          <w:p w14:paraId="051A811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项目审核合规率</w:t>
            </w:r>
          </w:p>
        </w:tc>
        <w:tc>
          <w:tcPr>
            <w:tcW w:w="775" w:type="pct"/>
            <w:noWrap w:val="0"/>
            <w:vAlign w:val="center"/>
          </w:tcPr>
          <w:p w14:paraId="0BCF519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1128" w:type="dxa"/>
            <w:noWrap w:val="0"/>
            <w:vAlign w:val="center"/>
          </w:tcPr>
          <w:p w14:paraId="584B46A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9" w:type="dxa"/>
            <w:noWrap w:val="0"/>
            <w:vAlign w:val="center"/>
          </w:tcPr>
          <w:p w14:paraId="57BAF03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931" w:type="dxa"/>
            <w:noWrap w:val="0"/>
            <w:vAlign w:val="center"/>
          </w:tcPr>
          <w:p w14:paraId="3978032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603" w:type="pct"/>
            <w:noWrap w:val="0"/>
            <w:vAlign w:val="center"/>
          </w:tcPr>
          <w:p w14:paraId="380E767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5C61D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4FA08A8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113B11C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5DFA66A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2A65947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资金发放合规率</w:t>
            </w:r>
          </w:p>
        </w:tc>
        <w:tc>
          <w:tcPr>
            <w:tcW w:w="775" w:type="pct"/>
            <w:noWrap w:val="0"/>
            <w:vAlign w:val="center"/>
          </w:tcPr>
          <w:p w14:paraId="4D4D512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1128" w:type="dxa"/>
            <w:noWrap w:val="0"/>
            <w:vAlign w:val="center"/>
          </w:tcPr>
          <w:p w14:paraId="5209DDA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9" w:type="dxa"/>
            <w:noWrap w:val="0"/>
            <w:vAlign w:val="center"/>
          </w:tcPr>
          <w:p w14:paraId="1DAF767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2DBBC17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3E7BC2D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6837C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77593FD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2099947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restart"/>
            <w:noWrap w:val="0"/>
            <w:vAlign w:val="center"/>
          </w:tcPr>
          <w:p w14:paraId="7246AEA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时效指标</w:t>
            </w:r>
          </w:p>
        </w:tc>
        <w:tc>
          <w:tcPr>
            <w:tcW w:w="706" w:type="pct"/>
            <w:noWrap w:val="0"/>
            <w:vAlign w:val="center"/>
          </w:tcPr>
          <w:p w14:paraId="1418455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财政资金下拨时间</w:t>
            </w:r>
          </w:p>
        </w:tc>
        <w:tc>
          <w:tcPr>
            <w:tcW w:w="775" w:type="pct"/>
            <w:noWrap w:val="0"/>
            <w:vAlign w:val="center"/>
          </w:tcPr>
          <w:p w14:paraId="4A5821C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2025年9月底前</w:t>
            </w:r>
          </w:p>
        </w:tc>
        <w:tc>
          <w:tcPr>
            <w:tcW w:w="1128" w:type="dxa"/>
            <w:noWrap w:val="0"/>
            <w:vAlign w:val="center"/>
          </w:tcPr>
          <w:p w14:paraId="0C1EF6D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2025 年 9 月 28 日</w:t>
            </w:r>
          </w:p>
        </w:tc>
        <w:tc>
          <w:tcPr>
            <w:tcW w:w="729" w:type="dxa"/>
            <w:noWrap w:val="0"/>
            <w:vAlign w:val="center"/>
          </w:tcPr>
          <w:p w14:paraId="3025690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24563E5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44925C9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489A3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5E7F2A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522FFC1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2DC278A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247D3C3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项目验收及时率</w:t>
            </w:r>
          </w:p>
        </w:tc>
        <w:tc>
          <w:tcPr>
            <w:tcW w:w="775" w:type="pct"/>
            <w:noWrap w:val="0"/>
            <w:vAlign w:val="center"/>
          </w:tcPr>
          <w:p w14:paraId="5143D9E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1128" w:type="dxa"/>
            <w:noWrap w:val="0"/>
            <w:vAlign w:val="center"/>
          </w:tcPr>
          <w:p w14:paraId="059D96F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9" w:type="dxa"/>
            <w:noWrap w:val="0"/>
            <w:vAlign w:val="center"/>
          </w:tcPr>
          <w:p w14:paraId="1860C22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631479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14A3396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4FDB0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37C1EB7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restart"/>
            <w:noWrap w:val="0"/>
            <w:vAlign w:val="center"/>
          </w:tcPr>
          <w:p w14:paraId="18D9B8D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成本指标</w:t>
            </w:r>
          </w:p>
        </w:tc>
        <w:tc>
          <w:tcPr>
            <w:tcW w:w="483" w:type="pct"/>
            <w:vMerge w:val="restart"/>
            <w:noWrap w:val="0"/>
            <w:vAlign w:val="center"/>
          </w:tcPr>
          <w:p w14:paraId="0474820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经济成本指标</w:t>
            </w:r>
          </w:p>
        </w:tc>
        <w:tc>
          <w:tcPr>
            <w:tcW w:w="706" w:type="pct"/>
            <w:noWrap w:val="0"/>
            <w:vAlign w:val="center"/>
          </w:tcPr>
          <w:p w14:paraId="100B013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创排、复排皮影戏木偶戏费用成本</w:t>
            </w:r>
          </w:p>
        </w:tc>
        <w:tc>
          <w:tcPr>
            <w:tcW w:w="775" w:type="pct"/>
            <w:noWrap w:val="0"/>
            <w:vAlign w:val="center"/>
          </w:tcPr>
          <w:p w14:paraId="1FAF35E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≤462.6万元</w:t>
            </w:r>
          </w:p>
        </w:tc>
        <w:tc>
          <w:tcPr>
            <w:tcW w:w="1128" w:type="dxa"/>
            <w:noWrap w:val="0"/>
            <w:vAlign w:val="center"/>
          </w:tcPr>
          <w:p w14:paraId="4B97DAB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458.30 万元</w:t>
            </w:r>
          </w:p>
        </w:tc>
        <w:tc>
          <w:tcPr>
            <w:tcW w:w="729" w:type="dxa"/>
            <w:noWrap w:val="0"/>
            <w:vAlign w:val="center"/>
          </w:tcPr>
          <w:p w14:paraId="552A590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2EDD411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5377FA3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79A11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78F200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311745E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08BA54B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44E9780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文旅融合剧目费用成本</w:t>
            </w:r>
          </w:p>
        </w:tc>
        <w:tc>
          <w:tcPr>
            <w:tcW w:w="775" w:type="pct"/>
            <w:noWrap w:val="0"/>
            <w:vAlign w:val="center"/>
          </w:tcPr>
          <w:p w14:paraId="5863085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≤271万元</w:t>
            </w:r>
          </w:p>
        </w:tc>
        <w:tc>
          <w:tcPr>
            <w:tcW w:w="1128" w:type="dxa"/>
            <w:noWrap w:val="0"/>
            <w:vAlign w:val="center"/>
          </w:tcPr>
          <w:p w14:paraId="6ADF0E7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267.80 万元</w:t>
            </w:r>
          </w:p>
        </w:tc>
        <w:tc>
          <w:tcPr>
            <w:tcW w:w="729" w:type="dxa"/>
            <w:noWrap w:val="0"/>
            <w:vAlign w:val="center"/>
          </w:tcPr>
          <w:p w14:paraId="79898C6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4393623F">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4571427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3F1D7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F1796F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7ED6A07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61D76E3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2B54CCD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非遗展演剧场提质改造费用成本</w:t>
            </w:r>
          </w:p>
        </w:tc>
        <w:tc>
          <w:tcPr>
            <w:tcW w:w="775" w:type="pct"/>
            <w:noWrap w:val="0"/>
            <w:vAlign w:val="center"/>
          </w:tcPr>
          <w:p w14:paraId="518D3B5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≤368.3万元</w:t>
            </w:r>
          </w:p>
        </w:tc>
        <w:tc>
          <w:tcPr>
            <w:tcW w:w="1128" w:type="dxa"/>
            <w:noWrap w:val="0"/>
            <w:vAlign w:val="center"/>
          </w:tcPr>
          <w:p w14:paraId="3409406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222.54 万元</w:t>
            </w:r>
          </w:p>
        </w:tc>
        <w:tc>
          <w:tcPr>
            <w:tcW w:w="729" w:type="dxa"/>
            <w:noWrap w:val="0"/>
            <w:vAlign w:val="center"/>
          </w:tcPr>
          <w:p w14:paraId="1195104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7AD4FD7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393972F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685B1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DF06CF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2E53F7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7293EEA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15B616E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省文化馆免费开放项目经费</w:t>
            </w:r>
          </w:p>
        </w:tc>
        <w:tc>
          <w:tcPr>
            <w:tcW w:w="775" w:type="pct"/>
            <w:noWrap w:val="0"/>
            <w:vAlign w:val="center"/>
          </w:tcPr>
          <w:p w14:paraId="11FDD02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≤421.5万元</w:t>
            </w:r>
          </w:p>
        </w:tc>
        <w:tc>
          <w:tcPr>
            <w:tcW w:w="1128" w:type="dxa"/>
            <w:noWrap w:val="0"/>
            <w:vAlign w:val="center"/>
          </w:tcPr>
          <w:p w14:paraId="62F2858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421.10 万元</w:t>
            </w:r>
          </w:p>
        </w:tc>
        <w:tc>
          <w:tcPr>
            <w:tcW w:w="729" w:type="dxa"/>
            <w:noWrap w:val="0"/>
            <w:vAlign w:val="center"/>
          </w:tcPr>
          <w:p w14:paraId="7BF33D1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7D5142B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781D0F1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3EB16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00C0FCD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003D4C1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5A7909F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68BE85C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书法院运转经费</w:t>
            </w:r>
          </w:p>
        </w:tc>
        <w:tc>
          <w:tcPr>
            <w:tcW w:w="775" w:type="pct"/>
            <w:noWrap w:val="0"/>
            <w:vAlign w:val="center"/>
          </w:tcPr>
          <w:p w14:paraId="766EF0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165万元</w:t>
            </w:r>
          </w:p>
        </w:tc>
        <w:tc>
          <w:tcPr>
            <w:tcW w:w="1128" w:type="dxa"/>
            <w:noWrap w:val="0"/>
            <w:vAlign w:val="center"/>
          </w:tcPr>
          <w:p w14:paraId="55D7769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163.20 万元</w:t>
            </w:r>
          </w:p>
        </w:tc>
        <w:tc>
          <w:tcPr>
            <w:tcW w:w="729" w:type="dxa"/>
            <w:noWrap w:val="0"/>
            <w:vAlign w:val="center"/>
          </w:tcPr>
          <w:p w14:paraId="0A24442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5C41495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42C426D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0100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5EDE328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771C431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noWrap w:val="0"/>
            <w:vAlign w:val="center"/>
          </w:tcPr>
          <w:p w14:paraId="36F53B6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社会成本指标</w:t>
            </w:r>
          </w:p>
        </w:tc>
        <w:tc>
          <w:tcPr>
            <w:tcW w:w="706" w:type="pct"/>
            <w:noWrap w:val="0"/>
            <w:vAlign w:val="center"/>
          </w:tcPr>
          <w:p w14:paraId="14B3942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因违规操作导致的重大安全事故次数</w:t>
            </w:r>
          </w:p>
        </w:tc>
        <w:tc>
          <w:tcPr>
            <w:tcW w:w="775" w:type="pct"/>
            <w:noWrap w:val="0"/>
            <w:vAlign w:val="center"/>
          </w:tcPr>
          <w:p w14:paraId="3CD514C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1128" w:type="dxa"/>
            <w:noWrap w:val="0"/>
            <w:vAlign w:val="center"/>
          </w:tcPr>
          <w:p w14:paraId="6E30F58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 次</w:t>
            </w:r>
          </w:p>
        </w:tc>
        <w:tc>
          <w:tcPr>
            <w:tcW w:w="729" w:type="dxa"/>
            <w:noWrap w:val="0"/>
            <w:vAlign w:val="center"/>
          </w:tcPr>
          <w:p w14:paraId="4791B50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7A2D5CD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0171640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3029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440D1FD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2F68705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noWrap w:val="0"/>
            <w:vAlign w:val="center"/>
          </w:tcPr>
          <w:p w14:paraId="737148B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生态环境成本指标</w:t>
            </w:r>
          </w:p>
        </w:tc>
        <w:tc>
          <w:tcPr>
            <w:tcW w:w="706" w:type="pct"/>
            <w:noWrap w:val="0"/>
            <w:vAlign w:val="center"/>
          </w:tcPr>
          <w:p w14:paraId="3CE29565">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因违规操作引发的生态环境重大破坏次数</w:t>
            </w:r>
          </w:p>
        </w:tc>
        <w:tc>
          <w:tcPr>
            <w:tcW w:w="775" w:type="pct"/>
            <w:noWrap w:val="0"/>
            <w:vAlign w:val="center"/>
          </w:tcPr>
          <w:p w14:paraId="0AD43A4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=0次</w:t>
            </w:r>
          </w:p>
        </w:tc>
        <w:tc>
          <w:tcPr>
            <w:tcW w:w="1128" w:type="dxa"/>
            <w:noWrap w:val="0"/>
            <w:vAlign w:val="center"/>
          </w:tcPr>
          <w:p w14:paraId="6BDA33E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0 次</w:t>
            </w:r>
          </w:p>
        </w:tc>
        <w:tc>
          <w:tcPr>
            <w:tcW w:w="729" w:type="dxa"/>
            <w:noWrap w:val="0"/>
            <w:vAlign w:val="center"/>
          </w:tcPr>
          <w:p w14:paraId="2026647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2BB2102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42E104E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498CA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007FA913">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restart"/>
            <w:noWrap w:val="0"/>
            <w:vAlign w:val="center"/>
          </w:tcPr>
          <w:p w14:paraId="1494D27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效益指标</w:t>
            </w:r>
          </w:p>
          <w:p w14:paraId="659AF35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30分</w:t>
            </w:r>
          </w:p>
          <w:p w14:paraId="2376D26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　</w:t>
            </w:r>
          </w:p>
        </w:tc>
        <w:tc>
          <w:tcPr>
            <w:tcW w:w="483" w:type="pct"/>
            <w:vMerge w:val="restart"/>
            <w:noWrap w:val="0"/>
            <w:vAlign w:val="center"/>
          </w:tcPr>
          <w:p w14:paraId="62C93FD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经济效益指标</w:t>
            </w:r>
          </w:p>
        </w:tc>
        <w:tc>
          <w:tcPr>
            <w:tcW w:w="706" w:type="pct"/>
            <w:noWrap w:val="0"/>
            <w:vAlign w:val="center"/>
          </w:tcPr>
          <w:p w14:paraId="033F94F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游客总花费增长率</w:t>
            </w:r>
          </w:p>
        </w:tc>
        <w:tc>
          <w:tcPr>
            <w:tcW w:w="775" w:type="pct"/>
            <w:noWrap w:val="0"/>
            <w:vAlign w:val="center"/>
          </w:tcPr>
          <w:p w14:paraId="79DAA22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7%左右</w:t>
            </w:r>
          </w:p>
        </w:tc>
        <w:tc>
          <w:tcPr>
            <w:tcW w:w="1128" w:type="dxa"/>
            <w:noWrap w:val="0"/>
            <w:vAlign w:val="center"/>
          </w:tcPr>
          <w:p w14:paraId="1703AA5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9.02%</w:t>
            </w:r>
          </w:p>
        </w:tc>
        <w:tc>
          <w:tcPr>
            <w:tcW w:w="729" w:type="dxa"/>
            <w:noWrap w:val="0"/>
            <w:vAlign w:val="center"/>
          </w:tcPr>
          <w:p w14:paraId="34897C2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931" w:type="dxa"/>
            <w:noWrap w:val="0"/>
            <w:vAlign w:val="center"/>
          </w:tcPr>
          <w:p w14:paraId="6D5657B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603" w:type="pct"/>
            <w:noWrap w:val="0"/>
            <w:vAlign w:val="center"/>
          </w:tcPr>
          <w:p w14:paraId="0147699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18201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50D9108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34A4D2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314E6A3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72F6D69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省博物院门票收入</w:t>
            </w:r>
          </w:p>
        </w:tc>
        <w:tc>
          <w:tcPr>
            <w:tcW w:w="775" w:type="pct"/>
            <w:noWrap w:val="0"/>
            <w:vAlign w:val="center"/>
          </w:tcPr>
          <w:p w14:paraId="53C31F6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≥3000万元</w:t>
            </w:r>
          </w:p>
        </w:tc>
        <w:tc>
          <w:tcPr>
            <w:tcW w:w="1128" w:type="dxa"/>
            <w:noWrap w:val="0"/>
            <w:vAlign w:val="center"/>
          </w:tcPr>
          <w:p w14:paraId="51241D6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3258 万元</w:t>
            </w:r>
          </w:p>
        </w:tc>
        <w:tc>
          <w:tcPr>
            <w:tcW w:w="729" w:type="dxa"/>
            <w:noWrap w:val="0"/>
            <w:vAlign w:val="center"/>
          </w:tcPr>
          <w:p w14:paraId="1C14CA1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931" w:type="dxa"/>
            <w:noWrap w:val="0"/>
            <w:vAlign w:val="center"/>
          </w:tcPr>
          <w:p w14:paraId="5B5B623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w:t>
            </w:r>
          </w:p>
        </w:tc>
        <w:tc>
          <w:tcPr>
            <w:tcW w:w="603" w:type="pct"/>
            <w:noWrap w:val="0"/>
            <w:vAlign w:val="center"/>
          </w:tcPr>
          <w:p w14:paraId="49E88624">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7AD18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D0FE8BF">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4C37279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noWrap w:val="0"/>
            <w:vAlign w:val="center"/>
          </w:tcPr>
          <w:p w14:paraId="235767F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社会效益指标</w:t>
            </w:r>
          </w:p>
        </w:tc>
        <w:tc>
          <w:tcPr>
            <w:tcW w:w="706" w:type="pct"/>
            <w:noWrap w:val="0"/>
            <w:vAlign w:val="center"/>
          </w:tcPr>
          <w:p w14:paraId="4D5C9EF6">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传统文化传播与弘扬</w:t>
            </w:r>
            <w:r>
              <w:rPr>
                <w:rFonts w:hint="default" w:ascii="Times New Roman" w:hAnsi="Times New Roman" w:cs="Times New Roman"/>
                <w:sz w:val="20"/>
                <w:szCs w:val="20"/>
                <w:lang w:val="en-US" w:eastAsia="zh-CN"/>
              </w:rPr>
              <w:t>，</w:t>
            </w:r>
            <w:r>
              <w:rPr>
                <w:rFonts w:hint="default" w:ascii="Times New Roman" w:hAnsi="Times New Roman" w:eastAsia="仿宋_GB2312" w:cs="Times New Roman"/>
                <w:sz w:val="20"/>
                <w:szCs w:val="20"/>
                <w:lang w:val="en-US" w:eastAsia="zh-CN"/>
              </w:rPr>
              <w:t>推动旅游与其他产业的融合</w:t>
            </w:r>
          </w:p>
        </w:tc>
        <w:tc>
          <w:tcPr>
            <w:tcW w:w="775" w:type="pct"/>
            <w:noWrap w:val="0"/>
            <w:vAlign w:val="center"/>
          </w:tcPr>
          <w:p w14:paraId="4D9FD70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推动</w:t>
            </w:r>
          </w:p>
        </w:tc>
        <w:tc>
          <w:tcPr>
            <w:tcW w:w="1128" w:type="dxa"/>
            <w:noWrap w:val="0"/>
            <w:vAlign w:val="center"/>
          </w:tcPr>
          <w:p w14:paraId="35F5291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有效推动</w:t>
            </w:r>
          </w:p>
        </w:tc>
        <w:tc>
          <w:tcPr>
            <w:tcW w:w="729" w:type="dxa"/>
            <w:noWrap w:val="0"/>
            <w:vAlign w:val="center"/>
          </w:tcPr>
          <w:p w14:paraId="346286B3">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931" w:type="dxa"/>
            <w:noWrap w:val="0"/>
            <w:vAlign w:val="center"/>
          </w:tcPr>
          <w:p w14:paraId="1E9A346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6</w:t>
            </w:r>
          </w:p>
        </w:tc>
        <w:tc>
          <w:tcPr>
            <w:tcW w:w="603" w:type="pct"/>
            <w:noWrap w:val="0"/>
            <w:vAlign w:val="center"/>
          </w:tcPr>
          <w:p w14:paraId="5F5B7B3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010E9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16E2F661">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0999056C">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noWrap w:val="0"/>
            <w:vAlign w:val="center"/>
          </w:tcPr>
          <w:p w14:paraId="7AA3ACD2">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生态效益指标</w:t>
            </w:r>
          </w:p>
        </w:tc>
        <w:tc>
          <w:tcPr>
            <w:tcW w:w="706" w:type="pct"/>
            <w:noWrap w:val="0"/>
            <w:vAlign w:val="center"/>
          </w:tcPr>
          <w:p w14:paraId="61F4BAC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文化古迹环境保护达标率</w:t>
            </w:r>
          </w:p>
        </w:tc>
        <w:tc>
          <w:tcPr>
            <w:tcW w:w="775" w:type="pct"/>
            <w:noWrap w:val="0"/>
            <w:vAlign w:val="center"/>
          </w:tcPr>
          <w:p w14:paraId="2C6DF877">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1128" w:type="dxa"/>
            <w:noWrap w:val="0"/>
            <w:vAlign w:val="center"/>
          </w:tcPr>
          <w:p w14:paraId="31CD222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729" w:type="dxa"/>
            <w:noWrap w:val="0"/>
            <w:vAlign w:val="center"/>
          </w:tcPr>
          <w:p w14:paraId="77D8BAEB">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931" w:type="dxa"/>
            <w:noWrap w:val="0"/>
            <w:vAlign w:val="center"/>
          </w:tcPr>
          <w:p w14:paraId="0D0A83A4">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603" w:type="pct"/>
            <w:noWrap w:val="0"/>
            <w:vAlign w:val="center"/>
          </w:tcPr>
          <w:p w14:paraId="39E9D34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1C1EC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75" w:type="pct"/>
            <w:vMerge w:val="continue"/>
            <w:noWrap w:val="0"/>
            <w:vAlign w:val="center"/>
          </w:tcPr>
          <w:p w14:paraId="3892F996">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restart"/>
            <w:noWrap w:val="0"/>
            <w:vAlign w:val="center"/>
          </w:tcPr>
          <w:p w14:paraId="3590A619">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满意度指标（10分）</w:t>
            </w:r>
          </w:p>
        </w:tc>
        <w:tc>
          <w:tcPr>
            <w:tcW w:w="483" w:type="pct"/>
            <w:vMerge w:val="restart"/>
            <w:noWrap w:val="0"/>
            <w:vAlign w:val="center"/>
          </w:tcPr>
          <w:p w14:paraId="0FDBEE81">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服务对象满意度指标</w:t>
            </w:r>
          </w:p>
        </w:tc>
        <w:tc>
          <w:tcPr>
            <w:tcW w:w="706" w:type="pct"/>
            <w:noWrap w:val="0"/>
            <w:vAlign w:val="center"/>
          </w:tcPr>
          <w:p w14:paraId="4FD60D0E">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演出项目观众满意度</w:t>
            </w:r>
          </w:p>
        </w:tc>
        <w:tc>
          <w:tcPr>
            <w:tcW w:w="775" w:type="pct"/>
            <w:noWrap w:val="0"/>
            <w:vAlign w:val="center"/>
          </w:tcPr>
          <w:p w14:paraId="0C8D1838">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1128" w:type="dxa"/>
            <w:noWrap w:val="0"/>
            <w:vAlign w:val="center"/>
          </w:tcPr>
          <w:p w14:paraId="1E882ED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96.30%</w:t>
            </w:r>
          </w:p>
        </w:tc>
        <w:tc>
          <w:tcPr>
            <w:tcW w:w="729" w:type="dxa"/>
            <w:noWrap w:val="0"/>
            <w:vAlign w:val="center"/>
          </w:tcPr>
          <w:p w14:paraId="2942711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55E73095">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3731972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0BC19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475" w:type="pct"/>
            <w:vMerge w:val="continue"/>
            <w:noWrap w:val="0"/>
            <w:vAlign w:val="center"/>
          </w:tcPr>
          <w:p w14:paraId="4645A80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07D349EC">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5D4E567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0AF9B558">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读者满意度</w:t>
            </w:r>
          </w:p>
        </w:tc>
        <w:tc>
          <w:tcPr>
            <w:tcW w:w="775" w:type="pct"/>
            <w:noWrap w:val="0"/>
            <w:vAlign w:val="center"/>
          </w:tcPr>
          <w:p w14:paraId="2416E4D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≥85%</w:t>
            </w:r>
          </w:p>
        </w:tc>
        <w:tc>
          <w:tcPr>
            <w:tcW w:w="1128" w:type="dxa"/>
            <w:noWrap w:val="0"/>
            <w:vAlign w:val="center"/>
          </w:tcPr>
          <w:p w14:paraId="026106D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87.50%</w:t>
            </w:r>
          </w:p>
        </w:tc>
        <w:tc>
          <w:tcPr>
            <w:tcW w:w="729" w:type="dxa"/>
            <w:noWrap w:val="0"/>
            <w:vAlign w:val="center"/>
          </w:tcPr>
          <w:p w14:paraId="78100F5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931" w:type="dxa"/>
            <w:noWrap w:val="0"/>
            <w:vAlign w:val="center"/>
          </w:tcPr>
          <w:p w14:paraId="0A30115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3</w:t>
            </w:r>
          </w:p>
        </w:tc>
        <w:tc>
          <w:tcPr>
            <w:tcW w:w="603" w:type="pct"/>
            <w:noWrap w:val="0"/>
            <w:vAlign w:val="center"/>
          </w:tcPr>
          <w:p w14:paraId="4C3DF77E">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2BDCE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75" w:type="pct"/>
            <w:vMerge w:val="continue"/>
            <w:noWrap w:val="0"/>
            <w:vAlign w:val="center"/>
          </w:tcPr>
          <w:p w14:paraId="75DB6DA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16" w:type="pct"/>
            <w:vMerge w:val="continue"/>
            <w:noWrap w:val="0"/>
            <w:vAlign w:val="center"/>
          </w:tcPr>
          <w:p w14:paraId="469D66C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483" w:type="pct"/>
            <w:vMerge w:val="continue"/>
            <w:noWrap w:val="0"/>
            <w:vAlign w:val="center"/>
          </w:tcPr>
          <w:p w14:paraId="1E77BF00">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textAlignment w:val="auto"/>
              <w:rPr>
                <w:rFonts w:hint="default" w:ascii="Times New Roman" w:hAnsi="Times New Roman" w:eastAsia="仿宋_GB2312" w:cs="Times New Roman"/>
                <w:sz w:val="20"/>
                <w:szCs w:val="20"/>
                <w:lang w:val="en-US" w:eastAsia="zh-CN"/>
              </w:rPr>
            </w:pPr>
          </w:p>
        </w:tc>
        <w:tc>
          <w:tcPr>
            <w:tcW w:w="706" w:type="pct"/>
            <w:noWrap w:val="0"/>
            <w:vAlign w:val="center"/>
          </w:tcPr>
          <w:p w14:paraId="28409E07">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游客满意度</w:t>
            </w:r>
          </w:p>
        </w:tc>
        <w:tc>
          <w:tcPr>
            <w:tcW w:w="775" w:type="pct"/>
            <w:noWrap w:val="0"/>
            <w:vAlign w:val="center"/>
          </w:tcPr>
          <w:p w14:paraId="628DDD12">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w:t>
            </w:r>
          </w:p>
        </w:tc>
        <w:tc>
          <w:tcPr>
            <w:tcW w:w="1128" w:type="dxa"/>
            <w:noWrap w:val="0"/>
            <w:vAlign w:val="center"/>
          </w:tcPr>
          <w:p w14:paraId="339BC3BD">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95.20%</w:t>
            </w:r>
          </w:p>
        </w:tc>
        <w:tc>
          <w:tcPr>
            <w:tcW w:w="729" w:type="dxa"/>
            <w:noWrap w:val="0"/>
            <w:vAlign w:val="center"/>
          </w:tcPr>
          <w:p w14:paraId="1447C410">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931" w:type="dxa"/>
            <w:noWrap w:val="0"/>
            <w:vAlign w:val="center"/>
          </w:tcPr>
          <w:p w14:paraId="0FE4875A">
            <w:pPr>
              <w:pStyle w:val="56"/>
              <w:keepNext w:val="0"/>
              <w:keepLines w:val="0"/>
              <w:pageBreakBefore w:val="0"/>
              <w:widowControl w:val="0"/>
              <w:kinsoku/>
              <w:wordWrap/>
              <w:overflowPunct/>
              <w:topLinePunct w:val="0"/>
              <w:autoSpaceDE/>
              <w:autoSpaceDN/>
              <w:bidi w:val="0"/>
              <w:adjustRightInd/>
              <w:snapToGrid w:val="0"/>
              <w:spacing w:line="240" w:lineRule="exact"/>
              <w:ind w:left="0" w:leftChars="0"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4</w:t>
            </w:r>
          </w:p>
        </w:tc>
        <w:tc>
          <w:tcPr>
            <w:tcW w:w="603" w:type="pct"/>
            <w:noWrap w:val="0"/>
            <w:vAlign w:val="center"/>
          </w:tcPr>
          <w:p w14:paraId="7A26C38D">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r w14:paraId="1C229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9" w:type="pct"/>
            <w:gridSpan w:val="6"/>
            <w:noWrap w:val="0"/>
            <w:vAlign w:val="center"/>
          </w:tcPr>
          <w:p w14:paraId="7F6FBF6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总分</w:t>
            </w:r>
          </w:p>
        </w:tc>
        <w:tc>
          <w:tcPr>
            <w:tcW w:w="402" w:type="pct"/>
            <w:noWrap w:val="0"/>
            <w:vAlign w:val="center"/>
          </w:tcPr>
          <w:p w14:paraId="1E6489CA">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eastAsia="仿宋_GB2312" w:cs="Times New Roman"/>
                <w:sz w:val="20"/>
                <w:szCs w:val="20"/>
                <w:lang w:val="en-US" w:eastAsia="zh-CN"/>
              </w:rPr>
              <w:t>100</w:t>
            </w:r>
          </w:p>
        </w:tc>
        <w:tc>
          <w:tcPr>
            <w:tcW w:w="513" w:type="pct"/>
            <w:noWrap w:val="0"/>
            <w:vAlign w:val="center"/>
          </w:tcPr>
          <w:p w14:paraId="4963FF6B">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r>
              <w:rPr>
                <w:rFonts w:hint="default" w:ascii="Times New Roman" w:hAnsi="Times New Roman" w:cs="Times New Roman"/>
                <w:sz w:val="20"/>
                <w:szCs w:val="20"/>
                <w:lang w:val="en-US" w:eastAsia="zh-CN"/>
              </w:rPr>
              <w:t>9.13</w:t>
            </w:r>
          </w:p>
        </w:tc>
        <w:tc>
          <w:tcPr>
            <w:tcW w:w="603" w:type="pct"/>
            <w:noWrap w:val="0"/>
            <w:vAlign w:val="center"/>
          </w:tcPr>
          <w:p w14:paraId="45F0D4B9">
            <w:pPr>
              <w:pStyle w:val="56"/>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仿宋_GB2312" w:cs="Times New Roman"/>
                <w:sz w:val="20"/>
                <w:szCs w:val="20"/>
                <w:lang w:val="en-US" w:eastAsia="zh-CN"/>
              </w:rPr>
            </w:pPr>
          </w:p>
        </w:tc>
      </w:tr>
    </w:tbl>
    <w:p w14:paraId="70EB70FD">
      <w:pPr>
        <w:pStyle w:val="56"/>
        <w:rPr>
          <w:rFonts w:hint="default" w:ascii="Times New Roman" w:hAnsi="Times New Roman" w:cs="Times New Roman"/>
          <w:sz w:val="18"/>
          <w:szCs w:val="18"/>
          <w:lang w:val="en-US" w:eastAsia="zh-CN"/>
        </w:rPr>
      </w:pPr>
    </w:p>
    <w:p w14:paraId="6012B66B">
      <w:pPr>
        <w:pStyle w:val="56"/>
        <w:rPr>
          <w:rFonts w:hint="default" w:ascii="Times New Roman" w:hAnsi="Times New Roman" w:cs="Times New Roman"/>
          <w:sz w:val="18"/>
          <w:szCs w:val="18"/>
          <w:lang w:val="en-US" w:eastAsia="zh-CN"/>
        </w:rPr>
      </w:pPr>
      <w:r>
        <w:rPr>
          <w:rFonts w:hint="default" w:ascii="Times New Roman" w:hAnsi="Times New Roman" w:cs="Times New Roman"/>
          <w:sz w:val="18"/>
          <w:szCs w:val="18"/>
          <w:lang w:val="en-US" w:eastAsia="zh-CN"/>
        </w:rPr>
        <w:t>填表人：</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填报日期：202</w:t>
      </w:r>
      <w:r>
        <w:rPr>
          <w:rFonts w:hint="default" w:ascii="Times New Roman" w:hAnsi="Times New Roman" w:cs="Times New Roman"/>
          <w:sz w:val="18"/>
          <w:szCs w:val="18"/>
          <w:lang w:val="en-US" w:eastAsia="zh-CN"/>
        </w:rPr>
        <w:t>6</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5</w:t>
      </w:r>
      <w:r>
        <w:rPr>
          <w:rFonts w:hint="default" w:ascii="Times New Roman" w:hAnsi="Times New Roman" w:cs="Times New Roman"/>
          <w:sz w:val="18"/>
          <w:szCs w:val="18"/>
          <w:lang w:val="en-US" w:eastAsia="zh-CN"/>
        </w:rPr>
        <w:t>-</w:t>
      </w:r>
      <w:r>
        <w:rPr>
          <w:rFonts w:hint="default" w:ascii="Times New Roman" w:hAnsi="Times New Roman" w:cs="Times New Roman"/>
          <w:sz w:val="18"/>
          <w:szCs w:val="18"/>
          <w:lang w:val="en-US" w:eastAsia="zh-CN"/>
        </w:rPr>
        <w:t xml:space="preserve">10      </w:t>
      </w:r>
      <w:r>
        <w:rPr>
          <w:rFonts w:hint="default" w:ascii="Times New Roman" w:hAnsi="Times New Roman" w:cs="Times New Roman"/>
          <w:sz w:val="18"/>
          <w:szCs w:val="18"/>
          <w:lang w:val="en-US" w:eastAsia="zh-CN"/>
        </w:rPr>
        <w:t>联系电话：</w:t>
      </w:r>
      <w:r>
        <w:rPr>
          <w:rFonts w:hint="default" w:ascii="Times New Roman" w:hAnsi="Times New Roman" w:cs="Times New Roman"/>
          <w:sz w:val="18"/>
          <w:szCs w:val="18"/>
          <w:lang w:val="en-US" w:eastAsia="zh-CN"/>
        </w:rPr>
        <w:t xml:space="preserve">          </w:t>
      </w:r>
      <w:r>
        <w:rPr>
          <w:rFonts w:hint="default" w:ascii="Times New Roman" w:hAnsi="Times New Roman" w:cs="Times New Roman"/>
          <w:sz w:val="18"/>
          <w:szCs w:val="18"/>
          <w:lang w:val="en-US" w:eastAsia="zh-CN"/>
        </w:rPr>
        <w:t>单位负责人签字：</w:t>
      </w:r>
      <w:r>
        <w:rPr>
          <w:rFonts w:hint="default" w:ascii="Times New Roman" w:hAnsi="Times New Roman" w:cs="Times New Roman"/>
          <w:sz w:val="18"/>
          <w:szCs w:val="18"/>
          <w:lang w:val="en-US" w:eastAsia="zh-CN"/>
        </w:rPr>
        <w:t xml:space="preserve"> </w:t>
      </w:r>
    </w:p>
    <w:p w14:paraId="6EBEC004">
      <w:pPr>
        <w:pStyle w:val="56"/>
        <w:rPr>
          <w:rFonts w:hint="default" w:ascii="Times New Roman" w:hAnsi="Times New Roman" w:cs="Times New Roman"/>
          <w:sz w:val="18"/>
          <w:szCs w:val="18"/>
          <w:lang w:val="en-US" w:eastAsia="zh-CN"/>
        </w:rPr>
      </w:pPr>
    </w:p>
    <w:p w14:paraId="56852F9D">
      <w:pPr>
        <w:rPr>
          <w:rStyle w:val="51"/>
          <w:rFonts w:hint="default" w:ascii="Times New Roman" w:hAnsi="Times New Roman" w:cs="Times New Roman"/>
          <w:b/>
          <w:bCs/>
          <w:color w:val="auto"/>
          <w:highlight w:val="none"/>
          <w:lang w:val="en-US" w:eastAsia="zh-CN"/>
        </w:rPr>
        <w:sectPr>
          <w:footerReference r:id="rId7" w:type="default"/>
          <w:pgSz w:w="11906" w:h="16838"/>
          <w:pgMar w:top="1417" w:right="1587" w:bottom="1417" w:left="1587" w:header="851" w:footer="992" w:gutter="0"/>
          <w:pgBorders>
            <w:top w:val="none" w:sz="0" w:space="0"/>
            <w:left w:val="none" w:sz="0" w:space="0"/>
            <w:bottom w:val="none" w:sz="0" w:space="0"/>
            <w:right w:val="none" w:sz="0" w:space="0"/>
          </w:pgBorders>
          <w:pgNumType w:fmt="decimal" w:start="1"/>
          <w:cols w:space="720" w:num="1"/>
          <w:docGrid w:type="lines" w:linePitch="312" w:charSpace="0"/>
        </w:sectPr>
      </w:pPr>
    </w:p>
    <w:p w14:paraId="50DEC343">
      <w:pPr>
        <w:keepNext w:val="0"/>
        <w:keepLines w:val="0"/>
        <w:pageBreakBefore w:val="0"/>
        <w:widowControl/>
        <w:kinsoku/>
        <w:wordWrap/>
        <w:overflowPunct/>
        <w:topLinePunct w:val="0"/>
        <w:autoSpaceDE/>
        <w:autoSpaceDN/>
        <w:bidi w:val="0"/>
        <w:ind w:firstLine="0" w:firstLineChars="0"/>
        <w:jc w:val="left"/>
        <w:textAlignment w:val="auto"/>
        <w:rPr>
          <w:rFonts w:hint="default" w:ascii="Times New Roman" w:hAnsi="Times New Roman" w:cs="Times New Roman" w:eastAsiaTheme="majorEastAsia"/>
          <w:b/>
          <w:bCs/>
          <w:color w:val="000000"/>
          <w:kern w:val="0"/>
          <w:sz w:val="32"/>
          <w:szCs w:val="32"/>
          <w:lang w:val="en-US" w:eastAsia="zh-CN"/>
        </w:rPr>
      </w:pPr>
      <w:r>
        <w:rPr>
          <w:rFonts w:hint="default" w:ascii="Times New Roman" w:hAnsi="Times New Roman" w:cs="Times New Roman" w:eastAsiaTheme="majorEastAsia"/>
          <w:b/>
          <w:bCs/>
          <w:color w:val="000000"/>
          <w:kern w:val="0"/>
          <w:sz w:val="32"/>
          <w:szCs w:val="32"/>
          <w:lang w:val="en-US" w:eastAsia="zh-CN"/>
        </w:rPr>
        <w:t>附件</w:t>
      </w:r>
      <w:r>
        <w:rPr>
          <w:rFonts w:hint="default" w:ascii="Times New Roman" w:hAnsi="Times New Roman" w:cs="Times New Roman" w:eastAsiaTheme="majorEastAsia"/>
          <w:b/>
          <w:bCs/>
          <w:color w:val="000000"/>
          <w:kern w:val="0"/>
          <w:sz w:val="32"/>
          <w:szCs w:val="32"/>
          <w:lang w:val="en-US" w:eastAsia="zh-CN"/>
        </w:rPr>
        <w:t>4</w:t>
      </w:r>
    </w:p>
    <w:p w14:paraId="5221D5D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rPr>
      </w:pPr>
      <w:bookmarkStart w:id="49" w:name="_Toc24691"/>
      <w:r>
        <w:rPr>
          <w:rFonts w:hint="default" w:ascii="Times New Roman" w:hAnsi="Times New Roman" w:eastAsia="方正小标宋_GBK" w:cs="Times New Roman"/>
          <w:color w:val="000000"/>
          <w:kern w:val="0"/>
          <w:sz w:val="36"/>
          <w:szCs w:val="36"/>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rPr>
        <w:t>年度</w:t>
      </w:r>
      <w:r>
        <w:rPr>
          <w:rFonts w:hint="default" w:ascii="Times New Roman" w:hAnsi="Times New Roman" w:eastAsia="方正小标宋_GBK" w:cs="Times New Roman"/>
          <w:color w:val="000000"/>
          <w:kern w:val="0"/>
          <w:sz w:val="36"/>
          <w:szCs w:val="36"/>
          <w:lang w:val="en-US" w:eastAsia="zh-CN"/>
        </w:rPr>
        <w:t>文化旅游发展</w:t>
      </w:r>
      <w:r>
        <w:rPr>
          <w:rFonts w:hint="default" w:ascii="Times New Roman" w:hAnsi="Times New Roman" w:eastAsia="方正小标宋_GBK" w:cs="Times New Roman"/>
          <w:color w:val="000000"/>
          <w:kern w:val="0"/>
          <w:sz w:val="36"/>
          <w:szCs w:val="36"/>
        </w:rPr>
        <w:t>专项资金总体绩效目标完成情况表</w:t>
      </w:r>
      <w:bookmarkEnd w:id="49"/>
    </w:p>
    <w:p w14:paraId="2F2A7465">
      <w:pPr>
        <w:keepNext w:val="0"/>
        <w:keepLines w:val="0"/>
        <w:pageBreakBefore w:val="0"/>
        <w:widowControl/>
        <w:kinsoku/>
        <w:wordWrap/>
        <w:overflowPunct/>
        <w:topLinePunct w:val="0"/>
        <w:autoSpaceDE/>
        <w:autoSpaceDN/>
        <w:bidi w:val="0"/>
        <w:adjustRightInd/>
        <w:snapToGrid/>
        <w:spacing w:line="400" w:lineRule="exact"/>
        <w:ind w:firstLine="0" w:firstLineChars="0"/>
        <w:jc w:val="right"/>
        <w:textAlignment w:val="auto"/>
        <w:rPr>
          <w:rFonts w:hint="default" w:ascii="Times New Roman" w:hAnsi="Times New Roman" w:eastAsia="仿宋_GB2312" w:cs="Times New Roman"/>
          <w:color w:val="000000"/>
          <w:kern w:val="0"/>
          <w:sz w:val="28"/>
          <w:szCs w:val="28"/>
        </w:rPr>
      </w:pPr>
      <w:r>
        <w:rPr>
          <w:rFonts w:hint="default" w:ascii="Times New Roman" w:hAnsi="Times New Roman" w:eastAsia="方正小标宋_GBK" w:cs="Times New Roman"/>
          <w:color w:val="000000"/>
          <w:kern w:val="0"/>
          <w:sz w:val="32"/>
          <w:szCs w:val="32"/>
        </w:rPr>
        <w:t xml:space="preserve">                                     </w:t>
      </w:r>
      <w:r>
        <w:rPr>
          <w:rFonts w:hint="default" w:ascii="Times New Roman" w:hAnsi="Times New Roman" w:eastAsia="仿宋_GB2312" w:cs="Times New Roman"/>
          <w:color w:val="000000"/>
          <w:kern w:val="0"/>
          <w:sz w:val="28"/>
          <w:szCs w:val="28"/>
        </w:rPr>
        <w:t xml:space="preserve">       </w:t>
      </w:r>
      <w:r>
        <w:rPr>
          <w:rFonts w:hint="default" w:ascii="Times New Roman" w:hAnsi="Times New Roman" w:eastAsia="仿宋_GB2312" w:cs="Times New Roman"/>
          <w:color w:val="000000"/>
          <w:kern w:val="0"/>
          <w:sz w:val="28"/>
          <w:szCs w:val="28"/>
          <w:lang w:val="en-US" w:eastAsia="zh-CN"/>
        </w:rPr>
        <w:t xml:space="preserve">    </w:t>
      </w:r>
      <w:r>
        <w:rPr>
          <w:rFonts w:hint="default" w:ascii="Times New Roman" w:hAnsi="Times New Roman" w:eastAsia="仿宋_GB2312" w:cs="Times New Roman"/>
          <w:color w:val="000000"/>
          <w:kern w:val="0"/>
          <w:sz w:val="24"/>
          <w:szCs w:val="24"/>
        </w:rPr>
        <w:t xml:space="preserve"> </w:t>
      </w:r>
      <w:r>
        <w:rPr>
          <w:rFonts w:hint="default" w:ascii="Times New Roman" w:hAnsi="Times New Roman" w:eastAsia="仿宋_GB2312" w:cs="Times New Roman"/>
          <w:color w:val="000000"/>
          <w:kern w:val="0"/>
          <w:sz w:val="21"/>
          <w:szCs w:val="21"/>
        </w:rPr>
        <w:t>单位：万元</w:t>
      </w:r>
      <w:r>
        <w:rPr>
          <w:rFonts w:hint="default" w:ascii="Times New Roman" w:hAnsi="Times New Roman" w:eastAsia="仿宋_GB2312" w:cs="Times New Roman"/>
          <w:color w:val="000000"/>
          <w:kern w:val="0"/>
          <w:sz w:val="28"/>
          <w:szCs w:val="28"/>
        </w:rPr>
        <w:t xml:space="preserve"> </w:t>
      </w:r>
    </w:p>
    <w:tbl>
      <w:tblPr>
        <w:tblStyle w:val="24"/>
        <w:tblW w:w="141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75"/>
        <w:gridCol w:w="3091"/>
        <w:gridCol w:w="6975"/>
        <w:gridCol w:w="1399"/>
      </w:tblGrid>
      <w:tr w14:paraId="68A98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75" w:type="dxa"/>
            <w:noWrap/>
            <w:vAlign w:val="center"/>
          </w:tcPr>
          <w:p w14:paraId="12BBE31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专项资金</w:t>
            </w:r>
          </w:p>
        </w:tc>
        <w:tc>
          <w:tcPr>
            <w:tcW w:w="11465" w:type="dxa"/>
            <w:gridSpan w:val="3"/>
            <w:noWrap/>
            <w:vAlign w:val="center"/>
          </w:tcPr>
          <w:p w14:paraId="5E5D256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文化旅游发展专项资金</w:t>
            </w:r>
          </w:p>
        </w:tc>
      </w:tr>
      <w:tr w14:paraId="3B01F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75" w:type="dxa"/>
            <w:noWrap/>
            <w:vAlign w:val="center"/>
          </w:tcPr>
          <w:p w14:paraId="0D9204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主管部门</w:t>
            </w:r>
          </w:p>
        </w:tc>
        <w:tc>
          <w:tcPr>
            <w:tcW w:w="11465" w:type="dxa"/>
            <w:gridSpan w:val="3"/>
            <w:noWrap/>
            <w:vAlign w:val="center"/>
          </w:tcPr>
          <w:p w14:paraId="3D41A45B">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highlight w:val="none"/>
                <w:lang w:val="en-US" w:eastAsia="zh-CN"/>
              </w:rPr>
              <w:t>湖南省文化和旅游厅</w:t>
            </w:r>
          </w:p>
        </w:tc>
      </w:tr>
      <w:tr w14:paraId="1B758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75" w:type="dxa"/>
            <w:noWrap/>
            <w:vAlign w:val="center"/>
          </w:tcPr>
          <w:p w14:paraId="399E54D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资金规模</w:t>
            </w:r>
          </w:p>
        </w:tc>
        <w:tc>
          <w:tcPr>
            <w:tcW w:w="11465" w:type="dxa"/>
            <w:gridSpan w:val="3"/>
            <w:noWrap/>
            <w:vAlign w:val="center"/>
          </w:tcPr>
          <w:p w14:paraId="453CCA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52637</w:t>
            </w:r>
          </w:p>
        </w:tc>
      </w:tr>
      <w:tr w14:paraId="4A402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3" w:hRule="atLeast"/>
          <w:jc w:val="center"/>
        </w:trPr>
        <w:tc>
          <w:tcPr>
            <w:tcW w:w="2675" w:type="dxa"/>
            <w:vMerge w:val="restart"/>
            <w:noWrap/>
            <w:vAlign w:val="center"/>
          </w:tcPr>
          <w:p w14:paraId="3EB2B9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eastAsia="zh-CN"/>
              </w:rPr>
            </w:pPr>
            <w:r>
              <w:rPr>
                <w:rFonts w:hint="default" w:ascii="Times New Roman" w:hAnsi="Times New Roman" w:eastAsia="仿宋_GB2312" w:cs="Times New Roman"/>
                <w:color w:val="000000"/>
                <w:kern w:val="0"/>
                <w:sz w:val="21"/>
                <w:szCs w:val="21"/>
              </w:rPr>
              <w:t>资金</w:t>
            </w:r>
            <w:r>
              <w:rPr>
                <w:rFonts w:hint="default" w:ascii="Times New Roman" w:hAnsi="Times New Roman" w:eastAsia="仿宋_GB2312" w:cs="Times New Roman"/>
                <w:color w:val="000000"/>
                <w:kern w:val="0"/>
                <w:sz w:val="21"/>
                <w:szCs w:val="21"/>
                <w:lang w:eastAsia="zh-CN"/>
              </w:rPr>
              <w:t>拨付情况</w:t>
            </w:r>
          </w:p>
        </w:tc>
        <w:tc>
          <w:tcPr>
            <w:tcW w:w="3091" w:type="dxa"/>
            <w:noWrap/>
            <w:vAlign w:val="center"/>
          </w:tcPr>
          <w:p w14:paraId="7F984AF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预算数</w:t>
            </w:r>
          </w:p>
        </w:tc>
        <w:tc>
          <w:tcPr>
            <w:tcW w:w="6975" w:type="dxa"/>
            <w:noWrap w:val="0"/>
            <w:vAlign w:val="center"/>
          </w:tcPr>
          <w:p w14:paraId="0780E59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完成数</w:t>
            </w:r>
          </w:p>
        </w:tc>
        <w:tc>
          <w:tcPr>
            <w:tcW w:w="1399" w:type="dxa"/>
            <w:noWrap w:val="0"/>
            <w:vAlign w:val="center"/>
          </w:tcPr>
          <w:p w14:paraId="77E0323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执行率</w:t>
            </w:r>
          </w:p>
        </w:tc>
      </w:tr>
      <w:tr w14:paraId="7B71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675" w:type="dxa"/>
            <w:vMerge w:val="continue"/>
            <w:noWrap/>
            <w:vAlign w:val="center"/>
          </w:tcPr>
          <w:p w14:paraId="4DD4DE33">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left"/>
              <w:textAlignment w:val="auto"/>
              <w:rPr>
                <w:rFonts w:hint="default" w:ascii="Times New Roman" w:hAnsi="Times New Roman" w:eastAsia="仿宋_GB2312" w:cs="Times New Roman"/>
                <w:color w:val="000000"/>
                <w:kern w:val="0"/>
                <w:sz w:val="21"/>
                <w:szCs w:val="21"/>
              </w:rPr>
            </w:pPr>
          </w:p>
        </w:tc>
        <w:tc>
          <w:tcPr>
            <w:tcW w:w="3091" w:type="dxa"/>
            <w:noWrap/>
            <w:vAlign w:val="center"/>
          </w:tcPr>
          <w:p w14:paraId="4EA8FD4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52637</w:t>
            </w:r>
          </w:p>
        </w:tc>
        <w:tc>
          <w:tcPr>
            <w:tcW w:w="6975" w:type="dxa"/>
            <w:noWrap w:val="0"/>
            <w:vAlign w:val="center"/>
          </w:tcPr>
          <w:p w14:paraId="08AECBA4">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52637</w:t>
            </w:r>
          </w:p>
        </w:tc>
        <w:tc>
          <w:tcPr>
            <w:tcW w:w="1399" w:type="dxa"/>
            <w:noWrap w:val="0"/>
            <w:vAlign w:val="center"/>
          </w:tcPr>
          <w:p w14:paraId="24873CF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100%</w:t>
            </w:r>
          </w:p>
        </w:tc>
      </w:tr>
      <w:tr w14:paraId="64545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766" w:type="dxa"/>
            <w:gridSpan w:val="2"/>
            <w:noWrap/>
            <w:vAlign w:val="center"/>
          </w:tcPr>
          <w:p w14:paraId="3D64484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专项资金年度总体绩效目标</w:t>
            </w:r>
          </w:p>
        </w:tc>
        <w:tc>
          <w:tcPr>
            <w:tcW w:w="6975" w:type="dxa"/>
            <w:noWrap w:val="0"/>
            <w:vAlign w:val="center"/>
          </w:tcPr>
          <w:p w14:paraId="47082E4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绩效目标完成情况</w:t>
            </w:r>
          </w:p>
        </w:tc>
        <w:tc>
          <w:tcPr>
            <w:tcW w:w="1399" w:type="dxa"/>
            <w:noWrap w:val="0"/>
            <w:vAlign w:val="center"/>
          </w:tcPr>
          <w:p w14:paraId="11B5C82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rPr>
            </w:pPr>
            <w:r>
              <w:rPr>
                <w:rFonts w:hint="default" w:ascii="Times New Roman" w:hAnsi="Times New Roman" w:eastAsia="仿宋_GB2312" w:cs="Times New Roman"/>
                <w:color w:val="000000"/>
                <w:kern w:val="0"/>
                <w:sz w:val="21"/>
                <w:szCs w:val="21"/>
              </w:rPr>
              <w:t>偏差原因及改进措施</w:t>
            </w:r>
          </w:p>
        </w:tc>
      </w:tr>
      <w:tr w14:paraId="1E521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4" w:hRule="atLeast"/>
          <w:jc w:val="center"/>
        </w:trPr>
        <w:tc>
          <w:tcPr>
            <w:tcW w:w="5766" w:type="dxa"/>
            <w:gridSpan w:val="2"/>
            <w:shd w:val="clear" w:color="auto" w:fill="auto"/>
            <w:noWrap/>
            <w:vAlign w:val="center"/>
          </w:tcPr>
          <w:p w14:paraId="2582C8B3">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rPr>
              <w:t>1</w:t>
            </w:r>
            <w:r>
              <w:rPr>
                <w:rFonts w:hint="default" w:ascii="Times New Roman" w:hAnsi="Times New Roman" w:eastAsia="仿宋_GB2312" w:cs="Times New Roman"/>
                <w:color w:val="auto"/>
                <w:kern w:val="0"/>
                <w:sz w:val="21"/>
                <w:szCs w:val="21"/>
                <w:lang w:val="en-US" w:eastAsia="zh-CN"/>
              </w:rPr>
              <w:t>.</w:t>
            </w:r>
            <w:r>
              <w:rPr>
                <w:rFonts w:hint="default" w:ascii="Times New Roman" w:hAnsi="Times New Roman" w:eastAsia="仿宋_GB2312" w:cs="Times New Roman"/>
                <w:color w:val="auto"/>
                <w:kern w:val="0"/>
                <w:sz w:val="21"/>
                <w:szCs w:val="21"/>
              </w:rPr>
              <w:t>202</w:t>
            </w:r>
            <w:r>
              <w:rPr>
                <w:rFonts w:hint="default" w:ascii="Times New Roman" w:hAnsi="Times New Roman" w:eastAsia="仿宋_GB2312" w:cs="Times New Roman"/>
                <w:color w:val="auto"/>
                <w:kern w:val="0"/>
                <w:sz w:val="21"/>
                <w:szCs w:val="21"/>
                <w:lang w:val="en-US" w:eastAsia="zh-CN"/>
              </w:rPr>
              <w:t>5</w:t>
            </w:r>
            <w:r>
              <w:rPr>
                <w:rFonts w:hint="default" w:ascii="Times New Roman" w:hAnsi="Times New Roman" w:eastAsia="仿宋_GB2312" w:cs="Times New Roman"/>
                <w:color w:val="auto"/>
                <w:kern w:val="0"/>
                <w:sz w:val="21"/>
                <w:szCs w:val="21"/>
              </w:rPr>
              <w:t>年全省</w:t>
            </w:r>
            <w:r>
              <w:rPr>
                <w:rFonts w:hint="default" w:ascii="Times New Roman" w:hAnsi="Times New Roman" w:eastAsia="仿宋_GB2312" w:cs="Times New Roman"/>
                <w:color w:val="auto"/>
                <w:kern w:val="0"/>
                <w:sz w:val="21"/>
                <w:szCs w:val="21"/>
                <w:lang w:val="en-US" w:eastAsia="zh-CN"/>
              </w:rPr>
              <w:t>接待游客总人数7.66亿人次，实现游客总花费达1.12万亿元，</w:t>
            </w:r>
            <w:r>
              <w:rPr>
                <w:rFonts w:hint="default" w:ascii="Times New Roman" w:hAnsi="Times New Roman" w:eastAsia="仿宋_GB2312" w:cs="Times New Roman"/>
                <w:color w:val="auto"/>
                <w:kern w:val="0"/>
                <w:sz w:val="21"/>
                <w:szCs w:val="21"/>
              </w:rPr>
              <w:t>旅游</w:t>
            </w:r>
            <w:r>
              <w:rPr>
                <w:rFonts w:hint="default" w:ascii="Times New Roman" w:hAnsi="Times New Roman" w:eastAsia="仿宋_GB2312" w:cs="Times New Roman"/>
                <w:color w:val="auto"/>
                <w:kern w:val="0"/>
                <w:sz w:val="21"/>
                <w:szCs w:val="21"/>
                <w:lang w:val="en-US" w:eastAsia="zh-CN"/>
              </w:rPr>
              <w:t>及相关产业</w:t>
            </w:r>
            <w:r>
              <w:rPr>
                <w:rFonts w:hint="default" w:ascii="Times New Roman" w:hAnsi="Times New Roman" w:eastAsia="仿宋_GB2312" w:cs="Times New Roman"/>
                <w:color w:val="auto"/>
                <w:kern w:val="0"/>
                <w:sz w:val="21"/>
                <w:szCs w:val="21"/>
              </w:rPr>
              <w:t>增加值占地区生产总值的</w:t>
            </w:r>
            <w:r>
              <w:rPr>
                <w:rFonts w:hint="default" w:ascii="Times New Roman" w:hAnsi="Times New Roman" w:eastAsia="仿宋_GB2312"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%左右</w:t>
            </w:r>
            <w:r>
              <w:rPr>
                <w:rFonts w:hint="default" w:ascii="Times New Roman" w:hAnsi="Times New Roman" w:eastAsia="仿宋_GB2312" w:cs="Times New Roman"/>
                <w:color w:val="auto"/>
                <w:kern w:val="0"/>
                <w:sz w:val="21"/>
                <w:szCs w:val="21"/>
                <w:lang w:eastAsia="zh-CN"/>
              </w:rPr>
              <w:t>。</w:t>
            </w:r>
          </w:p>
          <w:p w14:paraId="7414715D">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加强全省文化生态保护区建设，推动省级非遗展示传播基地等项目，开展保护传承</w:t>
            </w:r>
            <w:r>
              <w:rPr>
                <w:rFonts w:hint="default" w:ascii="Times New Roman" w:hAnsi="Times New Roman" w:eastAsia="仿宋_GB2312" w:cs="Times New Roman"/>
                <w:color w:val="auto"/>
                <w:kern w:val="0"/>
                <w:sz w:val="21"/>
                <w:szCs w:val="21"/>
                <w:lang w:val="en-US" w:eastAsia="zh-CN"/>
              </w:rPr>
              <w:t>项目70个</w:t>
            </w:r>
            <w:r>
              <w:rPr>
                <w:rFonts w:hint="default" w:ascii="Times New Roman" w:hAnsi="Times New Roman" w:eastAsia="仿宋_GB2312" w:cs="Times New Roman"/>
                <w:color w:val="auto"/>
                <w:kern w:val="0"/>
                <w:sz w:val="21"/>
                <w:szCs w:val="21"/>
              </w:rPr>
              <w:t>以上，</w:t>
            </w:r>
            <w:r>
              <w:rPr>
                <w:rFonts w:hint="default" w:ascii="Times New Roman" w:hAnsi="Times New Roman" w:eastAsia="仿宋_GB2312" w:cs="Times New Roman"/>
                <w:color w:val="auto"/>
                <w:kern w:val="0"/>
                <w:sz w:val="21"/>
                <w:szCs w:val="21"/>
                <w:lang w:val="en-US" w:eastAsia="zh-CN"/>
              </w:rPr>
              <w:t>按1万元每人的标准</w:t>
            </w:r>
            <w:r>
              <w:rPr>
                <w:rFonts w:hint="default" w:ascii="Times New Roman" w:hAnsi="Times New Roman" w:eastAsia="仿宋_GB2312" w:cs="Times New Roman"/>
                <w:color w:val="auto"/>
                <w:kern w:val="0"/>
                <w:sz w:val="21"/>
                <w:szCs w:val="21"/>
              </w:rPr>
              <w:t>补助省级非遗传承人</w:t>
            </w:r>
            <w:r>
              <w:rPr>
                <w:rFonts w:hint="default" w:ascii="Times New Roman" w:hAnsi="Times New Roman" w:eastAsia="仿宋_GB2312" w:cs="Times New Roman"/>
                <w:color w:val="auto"/>
                <w:kern w:val="0"/>
                <w:sz w:val="21"/>
                <w:szCs w:val="21"/>
                <w:lang w:eastAsia="zh-CN"/>
              </w:rPr>
              <w:t>，</w:t>
            </w:r>
            <w:r>
              <w:rPr>
                <w:rFonts w:hint="default" w:ascii="Times New Roman" w:hAnsi="Times New Roman" w:eastAsia="仿宋_GB2312" w:cs="Times New Roman"/>
                <w:color w:val="auto"/>
                <w:kern w:val="0"/>
                <w:sz w:val="21"/>
                <w:szCs w:val="21"/>
                <w:lang w:val="en-US" w:eastAsia="zh-CN"/>
              </w:rPr>
              <w:t>挖掘文化遗产品质内涵。</w:t>
            </w:r>
          </w:p>
          <w:p w14:paraId="62C50E67">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lang w:val="en-US" w:eastAsia="zh-CN"/>
              </w:rPr>
              <w:t>全年创作、编排、复排、演出专业口大戏22个；专业口小型戏曲、戏剧、音乐、舞蹈、曲艺等30个；重大美术（书法、摄影）主题展10个；群文口小型戏曲、戏剧、音乐、舞蹈、曲艺等40个，演艺惠民演出（戏曲进乡村）20场以上，有效改善文化环境，增强群众文化素养，以文启智，传播先进思想和观念，滋养传承和弘扬中华优秀传统文化的土壤和良好生态。</w:t>
            </w:r>
          </w:p>
          <w:p w14:paraId="22412AF9">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eastAsia="仿宋_GB2312" w:cs="Times New Roman"/>
                <w:color w:val="auto"/>
                <w:kern w:val="0"/>
                <w:sz w:val="21"/>
                <w:szCs w:val="21"/>
                <w:lang w:val="en-US" w:eastAsia="zh-CN"/>
              </w:rPr>
              <w:t>3.</w:t>
            </w:r>
            <w:r>
              <w:rPr>
                <w:rFonts w:hint="default" w:ascii="Times New Roman" w:hAnsi="Times New Roman" w:eastAsia="仿宋_GB2312" w:cs="Times New Roman"/>
                <w:color w:val="auto"/>
                <w:kern w:val="0"/>
                <w:sz w:val="21"/>
                <w:szCs w:val="21"/>
              </w:rPr>
              <w:t>完善旅游基础设施，全省开展文化场馆设施维修及设备购置项目</w:t>
            </w:r>
            <w:r>
              <w:rPr>
                <w:rFonts w:hint="default" w:ascii="Times New Roman" w:hAnsi="Times New Roman" w:eastAsia="仿宋_GB2312" w:cs="Times New Roman"/>
                <w:color w:val="auto"/>
                <w:kern w:val="0"/>
                <w:sz w:val="21"/>
                <w:szCs w:val="21"/>
                <w:lang w:val="en-US" w:eastAsia="zh-CN"/>
              </w:rPr>
              <w:t>20</w:t>
            </w:r>
            <w:r>
              <w:rPr>
                <w:rFonts w:hint="default" w:ascii="Times New Roman" w:hAnsi="Times New Roman" w:eastAsia="仿宋_GB2312" w:cs="Times New Roman"/>
                <w:color w:val="auto"/>
                <w:kern w:val="0"/>
                <w:sz w:val="21"/>
                <w:szCs w:val="21"/>
              </w:rPr>
              <w:t>个以上；加快旅游与新型城镇化、美丽乡村建设的紧密结合，以全省各个县</w:t>
            </w:r>
            <w:r>
              <w:rPr>
                <w:rFonts w:hint="default" w:ascii="Times New Roman" w:hAnsi="Times New Roman" w:eastAsia="仿宋_GB2312" w:cs="Times New Roman"/>
                <w:color w:val="auto"/>
                <w:kern w:val="0"/>
                <w:sz w:val="21"/>
                <w:szCs w:val="21"/>
                <w:lang w:val="en-US" w:eastAsia="zh-CN"/>
              </w:rPr>
              <w:t>市区</w:t>
            </w:r>
            <w:r>
              <w:rPr>
                <w:rFonts w:hint="default" w:ascii="Times New Roman" w:hAnsi="Times New Roman" w:eastAsia="仿宋_GB2312" w:cs="Times New Roman"/>
                <w:color w:val="auto"/>
                <w:kern w:val="0"/>
                <w:sz w:val="21"/>
                <w:szCs w:val="21"/>
              </w:rPr>
              <w:t>为主体实施乡村旅游项目，推进脱贫攻坚成果巩固，助力乡村振兴。</w:t>
            </w:r>
          </w:p>
          <w:p w14:paraId="55DFD6EB">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eastAsia="仿宋_GB2312" w:cs="Times New Roman"/>
                <w:color w:val="auto"/>
                <w:kern w:val="0"/>
                <w:sz w:val="21"/>
                <w:szCs w:val="21"/>
              </w:rPr>
              <w:t>4</w:t>
            </w:r>
            <w:r>
              <w:rPr>
                <w:rFonts w:hint="default" w:ascii="Times New Roman" w:hAnsi="Times New Roman" w:eastAsia="仿宋_GB2312" w:cs="Times New Roman"/>
                <w:color w:val="auto"/>
                <w:kern w:val="0"/>
                <w:sz w:val="21"/>
                <w:szCs w:val="21"/>
                <w:lang w:val="en-US" w:eastAsia="zh-CN"/>
              </w:rPr>
              <w:t>.全年开展旅游文化演艺活动8个左右，</w:t>
            </w:r>
            <w:r>
              <w:rPr>
                <w:rFonts w:hint="default" w:ascii="Times New Roman" w:hAnsi="Times New Roman" w:eastAsia="仿宋_GB2312" w:cs="Times New Roman"/>
                <w:color w:val="auto"/>
                <w:kern w:val="0"/>
                <w:sz w:val="21"/>
                <w:szCs w:val="21"/>
              </w:rPr>
              <w:t>提升艺术创作水平，促进文化演艺和旅游景区深度融合</w:t>
            </w:r>
            <w:r>
              <w:rPr>
                <w:rFonts w:hint="default" w:ascii="Times New Roman" w:hAnsi="Times New Roman" w:eastAsia="仿宋_GB2312" w:cs="Times New Roman"/>
                <w:color w:val="auto"/>
                <w:kern w:val="0"/>
                <w:sz w:val="21"/>
                <w:szCs w:val="21"/>
                <w:lang w:val="en-US" w:eastAsia="zh-CN"/>
              </w:rPr>
              <w:t>；开展“旅游+”新业态项目12个左右。</w:t>
            </w:r>
            <w:r>
              <w:rPr>
                <w:rFonts w:hint="default" w:ascii="Times New Roman" w:hAnsi="Times New Roman" w:eastAsia="仿宋_GB2312" w:cs="Times New Roman"/>
                <w:color w:val="auto"/>
                <w:kern w:val="0"/>
                <w:sz w:val="21"/>
                <w:szCs w:val="21"/>
              </w:rPr>
              <w:t>;有序发展红色旅游，保护、管理、运用好红色资源，实施红色文化旅游项目数</w:t>
            </w:r>
            <w:r>
              <w:rPr>
                <w:rFonts w:hint="default" w:ascii="Times New Roman" w:hAnsi="Times New Roman" w:eastAsia="仿宋_GB2312" w:cs="Times New Roman"/>
                <w:color w:val="auto"/>
                <w:kern w:val="0"/>
                <w:sz w:val="21"/>
                <w:szCs w:val="21"/>
                <w:lang w:val="en-US" w:eastAsia="zh-CN"/>
              </w:rPr>
              <w:t>4</w:t>
            </w:r>
            <w:r>
              <w:rPr>
                <w:rFonts w:hint="default" w:ascii="Times New Roman" w:hAnsi="Times New Roman" w:eastAsia="仿宋_GB2312" w:cs="Times New Roman"/>
                <w:color w:val="auto"/>
                <w:kern w:val="0"/>
                <w:sz w:val="21"/>
                <w:szCs w:val="21"/>
              </w:rPr>
              <w:t>个</w:t>
            </w:r>
            <w:r>
              <w:rPr>
                <w:rFonts w:hint="default" w:ascii="Times New Roman" w:hAnsi="Times New Roman" w:eastAsia="仿宋_GB2312" w:cs="Times New Roman"/>
                <w:color w:val="auto"/>
                <w:kern w:val="0"/>
                <w:sz w:val="21"/>
                <w:szCs w:val="21"/>
                <w:lang w:val="en-US" w:eastAsia="zh-CN"/>
              </w:rPr>
              <w:t>左右</w:t>
            </w:r>
            <w:r>
              <w:rPr>
                <w:rFonts w:hint="default" w:ascii="Times New Roman" w:hAnsi="Times New Roman" w:eastAsia="仿宋_GB2312" w:cs="Times New Roman"/>
                <w:color w:val="auto"/>
                <w:kern w:val="0"/>
                <w:sz w:val="21"/>
                <w:szCs w:val="21"/>
              </w:rPr>
              <w:t>。</w:t>
            </w:r>
          </w:p>
          <w:p w14:paraId="326A67D0">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lang w:val="en-US" w:eastAsia="zh-CN"/>
              </w:rPr>
            </w:pPr>
            <w:r>
              <w:rPr>
                <w:rFonts w:hint="default" w:ascii="Times New Roman" w:hAnsi="Times New Roman" w:eastAsia="仿宋_GB2312" w:cs="Times New Roman"/>
                <w:color w:val="auto"/>
                <w:kern w:val="0"/>
                <w:sz w:val="21"/>
                <w:szCs w:val="21"/>
                <w:lang w:val="en-US" w:eastAsia="zh-CN"/>
              </w:rPr>
              <w:t>5.全年实施文物保护利用“六大工程”实施方案，安排文物保护利用、红色文旅文物类项目、文物主题艺术精品创作项目54项，深入发掘文物价值内涵和文化元素。</w:t>
            </w:r>
          </w:p>
          <w:p w14:paraId="24FC9460">
            <w:pPr>
              <w:keepNext w:val="0"/>
              <w:keepLines w:val="0"/>
              <w:pageBreakBefore w:val="0"/>
              <w:widowControl/>
              <w:kinsoku/>
              <w:wordWrap/>
              <w:overflowPunct/>
              <w:topLinePunct w:val="0"/>
              <w:autoSpaceDE/>
              <w:autoSpaceDN/>
              <w:bidi w:val="0"/>
              <w:adjustRightInd w:val="0"/>
              <w:snapToGrid w:val="0"/>
              <w:spacing w:line="264" w:lineRule="auto"/>
              <w:ind w:firstLine="420" w:firstLineChars="200"/>
              <w:jc w:val="left"/>
              <w:textAlignment w:val="auto"/>
              <w:rPr>
                <w:rFonts w:hint="default" w:ascii="Times New Roman" w:hAnsi="Times New Roman" w:eastAsia="仿宋_GB2312" w:cs="Times New Roman"/>
                <w:color w:val="auto"/>
                <w:kern w:val="0"/>
                <w:sz w:val="21"/>
                <w:szCs w:val="21"/>
                <w:lang w:val="en-US" w:eastAsia="zh-CN" w:bidi="ar-SA"/>
              </w:rPr>
            </w:pPr>
            <w:r>
              <w:rPr>
                <w:rFonts w:hint="default" w:ascii="Times New Roman" w:hAnsi="Times New Roman" w:eastAsia="仿宋_GB2312"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开展全省旅游资源普查，进一步摸清我省旅游资源家底；建好湖南智慧文旅平台，提升全省文化场馆、旅游景区和文旅企业的数字化应用水平。</w:t>
            </w:r>
          </w:p>
        </w:tc>
        <w:tc>
          <w:tcPr>
            <w:tcW w:w="6975" w:type="dxa"/>
            <w:noWrap w:val="0"/>
            <w:vAlign w:val="center"/>
          </w:tcPr>
          <w:p w14:paraId="5C37DF8F">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1.</w:t>
            </w:r>
            <w:r>
              <w:rPr>
                <w:rFonts w:hint="default" w:ascii="Times New Roman" w:hAnsi="Times New Roman" w:eastAsia="仿宋_GB2312" w:cs="Times New Roman"/>
                <w:color w:val="auto"/>
                <w:kern w:val="0"/>
                <w:sz w:val="21"/>
                <w:szCs w:val="21"/>
              </w:rPr>
              <w:t>文旅经济发展目标全面达成：全年全省接待游客总人数8.12 亿人次，实现游客总花费1.21 万亿元，旅游及相关产业增加值占地区生产总值的比重达6.3%，超额完成年度预期目标，文旅经济支柱作用持续凸显。</w:t>
            </w:r>
          </w:p>
          <w:p w14:paraId="7BECF95F">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2.</w:t>
            </w:r>
            <w:r>
              <w:rPr>
                <w:rFonts w:hint="default" w:ascii="Times New Roman" w:hAnsi="Times New Roman" w:eastAsia="仿宋_GB2312" w:cs="Times New Roman"/>
                <w:color w:val="auto"/>
                <w:kern w:val="0"/>
                <w:sz w:val="21"/>
                <w:szCs w:val="21"/>
              </w:rPr>
              <w:t>文化保护传承与文艺创作成果丰硕：全省文化生态保护区建设稳步推进，省级非遗展示传播基地项目有序实施，全年开展保护传承项目76 个，按标准完成省级非遗传承人补助发放，非遗保护传承体系持续完善；文艺创作与惠民演出任务超额完成，全年创排演出专业大戏23 个、专业口小型文艺作品33 个、重大美术主题展11 个、群文口小型文艺作品42 个，开展演艺惠民演出（戏曲进乡村）25 场，有效改善城乡文化环境，提升群众文化素养，以文启智、传承弘扬中华优秀传统文化的成效显著。</w:t>
            </w:r>
          </w:p>
          <w:p w14:paraId="6A5440AE">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3.</w:t>
            </w:r>
            <w:r>
              <w:rPr>
                <w:rFonts w:hint="default" w:ascii="Times New Roman" w:hAnsi="Times New Roman" w:eastAsia="仿宋_GB2312" w:cs="Times New Roman"/>
                <w:color w:val="auto"/>
                <w:kern w:val="0"/>
                <w:sz w:val="21"/>
                <w:szCs w:val="21"/>
              </w:rPr>
              <w:t>文旅基础设施与乡村旅游建设成效显著：全省共实施文化场馆设施维修及设备购置项目24 个，超额完成年度目标，公共文化场馆服务能力持续提升；乡村旅游项目有序推进，文旅发展与新型城镇化、美丽乡村建设深度融合，有效巩固脱贫攻坚成果，助力乡村振兴战略实施。</w:t>
            </w:r>
          </w:p>
          <w:p w14:paraId="64980AF2">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4.</w:t>
            </w:r>
            <w:r>
              <w:rPr>
                <w:rFonts w:hint="default" w:ascii="Times New Roman" w:hAnsi="Times New Roman" w:eastAsia="仿宋_GB2312" w:cs="Times New Roman"/>
                <w:color w:val="auto"/>
                <w:kern w:val="0"/>
                <w:sz w:val="21"/>
                <w:szCs w:val="21"/>
              </w:rPr>
              <w:t>文旅融合与新业态培育持续深化：全年开展旅游文化演艺活动9 个，文旅演艺与景区深度融合成效凸显；培育 “旅游 +” 新业态项目14 个，有序推进 4 个红色文化旅游项目建设，红色资源保护管理与活化利用水平持续提升。</w:t>
            </w:r>
          </w:p>
          <w:p w14:paraId="5AB27E12">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5.</w:t>
            </w:r>
            <w:r>
              <w:rPr>
                <w:rFonts w:hint="default" w:ascii="Times New Roman" w:hAnsi="Times New Roman" w:eastAsia="仿宋_GB2312" w:cs="Times New Roman"/>
                <w:color w:val="auto"/>
                <w:kern w:val="0"/>
                <w:sz w:val="21"/>
                <w:szCs w:val="21"/>
              </w:rPr>
              <w:t>文物保护利用工程扎实推进：文物保护利用 “六大工程” 全面实施，全年安排文物保护利用、红色文旅文物类项目、文物主题艺术精品创作项目57 个，超额完成年度目标，深入挖掘了文物价值内涵与文化元素，推动文物资源活化利用。</w:t>
            </w:r>
          </w:p>
          <w:p w14:paraId="521B9B5A">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r>
              <w:rPr>
                <w:rFonts w:hint="default" w:ascii="Times New Roman" w:hAnsi="Times New Roman" w:cs="Times New Roman"/>
                <w:color w:val="auto"/>
                <w:kern w:val="0"/>
                <w:sz w:val="21"/>
                <w:szCs w:val="21"/>
                <w:lang w:val="en-US" w:eastAsia="zh-CN"/>
              </w:rPr>
              <w:t>6.</w:t>
            </w:r>
            <w:r>
              <w:rPr>
                <w:rFonts w:hint="default" w:ascii="Times New Roman" w:hAnsi="Times New Roman" w:eastAsia="仿宋_GB2312" w:cs="Times New Roman"/>
                <w:color w:val="auto"/>
                <w:kern w:val="0"/>
                <w:sz w:val="21"/>
                <w:szCs w:val="21"/>
              </w:rPr>
              <w:t>文旅数字化与基础工作有序落地：全省旅游资源普查工作全面完成，摸清了全省文旅资源家底；湖南智慧文旅平台建设有序推进，全省文化场馆、旅游景区及文旅企业数字化应用水平显著提升，为文旅高质量发展提供了有力支撑。</w:t>
            </w:r>
          </w:p>
          <w:p w14:paraId="17FC8A6B">
            <w:pPr>
              <w:keepNext w:val="0"/>
              <w:keepLines w:val="0"/>
              <w:pageBreakBefore w:val="0"/>
              <w:widowControl/>
              <w:kinsoku/>
              <w:wordWrap/>
              <w:overflowPunct/>
              <w:topLinePunct w:val="0"/>
              <w:autoSpaceDE/>
              <w:autoSpaceDN/>
              <w:bidi w:val="0"/>
              <w:adjustRightInd w:val="0"/>
              <w:snapToGrid w:val="0"/>
              <w:spacing w:line="264" w:lineRule="auto"/>
              <w:jc w:val="left"/>
              <w:textAlignment w:val="auto"/>
              <w:rPr>
                <w:rFonts w:hint="default" w:ascii="Times New Roman" w:hAnsi="Times New Roman" w:eastAsia="仿宋_GB2312" w:cs="Times New Roman"/>
                <w:color w:val="auto"/>
                <w:kern w:val="0"/>
                <w:sz w:val="21"/>
                <w:szCs w:val="21"/>
              </w:rPr>
            </w:pPr>
          </w:p>
        </w:tc>
        <w:tc>
          <w:tcPr>
            <w:tcW w:w="1399" w:type="dxa"/>
            <w:noWrap w:val="0"/>
            <w:vAlign w:val="center"/>
          </w:tcPr>
          <w:p w14:paraId="1B27C01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exact"/>
              <w:ind w:left="0" w:right="0" w:firstLine="0" w:firstLineChars="0"/>
              <w:jc w:val="center"/>
              <w:textAlignment w:val="auto"/>
              <w:rPr>
                <w:rFonts w:hint="default" w:ascii="Times New Roman" w:hAnsi="Times New Roman" w:eastAsia="仿宋_GB2312" w:cs="Times New Roman"/>
                <w:color w:val="000000"/>
                <w:kern w:val="0"/>
                <w:sz w:val="21"/>
                <w:szCs w:val="21"/>
                <w:lang w:val="en-US" w:eastAsia="zh-CN"/>
              </w:rPr>
            </w:pPr>
            <w:r>
              <w:rPr>
                <w:rFonts w:hint="default" w:ascii="Times New Roman" w:hAnsi="Times New Roman" w:cs="Times New Roman"/>
                <w:color w:val="000000"/>
                <w:kern w:val="0"/>
                <w:sz w:val="21"/>
                <w:szCs w:val="21"/>
                <w:lang w:val="en-US" w:eastAsia="zh-CN"/>
              </w:rPr>
              <w:t>无。</w:t>
            </w:r>
          </w:p>
        </w:tc>
      </w:tr>
    </w:tbl>
    <w:p w14:paraId="36B4553C">
      <w:pPr>
        <w:rPr>
          <w:rStyle w:val="51"/>
          <w:rFonts w:hint="default" w:ascii="Times New Roman" w:hAnsi="Times New Roman" w:cs="Times New Roman"/>
          <w:b/>
          <w:bCs/>
          <w:color w:val="auto"/>
          <w:highlight w:val="none"/>
          <w:lang w:val="en-US" w:eastAsia="zh-CN"/>
        </w:rPr>
        <w:sectPr>
          <w:pgSz w:w="16838" w:h="11906" w:orient="landscape"/>
          <w:pgMar w:top="1587" w:right="1417" w:bottom="1587" w:left="1417" w:header="851" w:footer="992" w:gutter="0"/>
          <w:pgBorders>
            <w:top w:val="none" w:sz="0" w:space="0"/>
            <w:left w:val="none" w:sz="0" w:space="0"/>
            <w:bottom w:val="none" w:sz="0" w:space="0"/>
            <w:right w:val="none" w:sz="0" w:space="0"/>
          </w:pgBorders>
          <w:pgNumType w:fmt="decimal" w:start="1"/>
          <w:cols w:space="0" w:num="1"/>
          <w:rtlGutter w:val="0"/>
          <w:docGrid w:type="lines" w:linePitch="436" w:charSpace="0"/>
        </w:sectPr>
      </w:pPr>
    </w:p>
    <w:p w14:paraId="752DDA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50" w:name="_Toc597"/>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w:t>
      </w:r>
      <w:r>
        <w:rPr>
          <w:rFonts w:hint="default" w:ascii="Times New Roman" w:hAnsi="Times New Roman" w:eastAsia="方正小标宋_GBK" w:cs="Times New Roman"/>
          <w:color w:val="000000"/>
          <w:kern w:val="0"/>
          <w:sz w:val="36"/>
          <w:szCs w:val="36"/>
        </w:rPr>
        <w:t>专项资金绩效目标</w:t>
      </w:r>
      <w:r>
        <w:rPr>
          <w:rFonts w:hint="default" w:ascii="Times New Roman" w:hAnsi="Times New Roman" w:eastAsia="方正小标宋_GBK" w:cs="Times New Roman"/>
          <w:color w:val="000000"/>
          <w:kern w:val="0"/>
          <w:sz w:val="36"/>
          <w:szCs w:val="36"/>
          <w:lang w:val="en-US" w:eastAsia="zh-CN"/>
        </w:rPr>
        <w:t>完成情况</w:t>
      </w:r>
      <w:r>
        <w:rPr>
          <w:rFonts w:hint="default" w:ascii="Times New Roman" w:hAnsi="Times New Roman" w:eastAsia="方正小标宋_GBK" w:cs="Times New Roman"/>
          <w:color w:val="000000"/>
          <w:kern w:val="0"/>
          <w:sz w:val="36"/>
          <w:szCs w:val="36"/>
        </w:rPr>
        <w:t>表</w:t>
      </w:r>
      <w:bookmarkEnd w:id="50"/>
    </w:p>
    <w:p w14:paraId="3CD3D13E">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43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6"/>
        <w:gridCol w:w="1075"/>
        <w:gridCol w:w="1058"/>
        <w:gridCol w:w="1817"/>
        <w:gridCol w:w="1725"/>
        <w:gridCol w:w="1666"/>
        <w:gridCol w:w="1193"/>
      </w:tblGrid>
      <w:tr w14:paraId="3523C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noWrap w:val="0"/>
            <w:vAlign w:val="center"/>
          </w:tcPr>
          <w:p w14:paraId="072A7F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096" w:type="pct"/>
            <w:gridSpan w:val="2"/>
            <w:noWrap w:val="0"/>
            <w:vAlign w:val="center"/>
          </w:tcPr>
          <w:p w14:paraId="4F5DDA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 w:val="21"/>
                <w:szCs w:val="21"/>
                <w:highlight w:val="none"/>
                <w:lang w:eastAsia="zh-CN"/>
              </w:rPr>
              <w:t>省委省政府</w:t>
            </w:r>
            <w:r>
              <w:rPr>
                <w:rFonts w:hint="default" w:ascii="Times New Roman" w:hAnsi="Times New Roman" w:eastAsia="仿宋_GB2312" w:cs="Times New Roman"/>
                <w:color w:val="auto"/>
                <w:kern w:val="0"/>
                <w:sz w:val="21"/>
                <w:szCs w:val="21"/>
                <w:highlight w:val="none"/>
              </w:rPr>
              <w:t>部署项目</w:t>
            </w:r>
          </w:p>
        </w:tc>
        <w:tc>
          <w:tcPr>
            <w:tcW w:w="933" w:type="pct"/>
            <w:noWrap w:val="0"/>
            <w:vAlign w:val="center"/>
          </w:tcPr>
          <w:p w14:paraId="2131C8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355" w:type="pct"/>
            <w:gridSpan w:val="3"/>
            <w:noWrap w:val="0"/>
            <w:vAlign w:val="center"/>
          </w:tcPr>
          <w:p w14:paraId="31450A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1102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noWrap w:val="0"/>
            <w:vAlign w:val="center"/>
          </w:tcPr>
          <w:p w14:paraId="755B6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主管部门</w:t>
            </w:r>
          </w:p>
        </w:tc>
        <w:tc>
          <w:tcPr>
            <w:tcW w:w="4385" w:type="pct"/>
            <w:gridSpan w:val="6"/>
            <w:noWrap w:val="0"/>
            <w:vAlign w:val="center"/>
          </w:tcPr>
          <w:p w14:paraId="3FB195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6A91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vMerge w:val="restart"/>
            <w:noWrap w:val="0"/>
            <w:vAlign w:val="center"/>
          </w:tcPr>
          <w:p w14:paraId="76D794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资金拨付情况</w:t>
            </w:r>
          </w:p>
        </w:tc>
        <w:tc>
          <w:tcPr>
            <w:tcW w:w="1096" w:type="pct"/>
            <w:gridSpan w:val="2"/>
            <w:noWrap w:val="0"/>
            <w:vAlign w:val="center"/>
          </w:tcPr>
          <w:p w14:paraId="1C1163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color w:val="auto"/>
                <w:kern w:val="0"/>
                <w:sz w:val="21"/>
                <w:szCs w:val="21"/>
                <w:highlight w:val="none"/>
                <w:lang w:val="en-US" w:eastAsia="zh-CN"/>
              </w:rPr>
              <w:t>预算数</w:t>
            </w:r>
          </w:p>
        </w:tc>
        <w:tc>
          <w:tcPr>
            <w:tcW w:w="933" w:type="pct"/>
            <w:noWrap w:val="0"/>
            <w:vAlign w:val="center"/>
          </w:tcPr>
          <w:p w14:paraId="3DE417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完成数</w:t>
            </w:r>
          </w:p>
        </w:tc>
        <w:tc>
          <w:tcPr>
            <w:tcW w:w="2355" w:type="pct"/>
            <w:gridSpan w:val="3"/>
            <w:noWrap w:val="0"/>
            <w:vAlign w:val="center"/>
          </w:tcPr>
          <w:p w14:paraId="4C43BC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执行率</w:t>
            </w:r>
          </w:p>
        </w:tc>
      </w:tr>
      <w:tr w14:paraId="2462D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14" w:type="pct"/>
            <w:vMerge w:val="continue"/>
            <w:noWrap w:val="0"/>
            <w:vAlign w:val="center"/>
          </w:tcPr>
          <w:p w14:paraId="4EB70A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096" w:type="pct"/>
            <w:gridSpan w:val="2"/>
            <w:noWrap w:val="0"/>
            <w:vAlign w:val="center"/>
          </w:tcPr>
          <w:p w14:paraId="53D7E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eastAsia="仿宋_GB2312" w:cs="Times New Roman"/>
                <w:color w:val="auto"/>
                <w:kern w:val="0"/>
                <w:sz w:val="21"/>
                <w:szCs w:val="21"/>
                <w:highlight w:val="none"/>
                <w:lang w:val="en-US" w:eastAsia="zh-CN"/>
              </w:rPr>
              <w:t>27490</w:t>
            </w:r>
          </w:p>
        </w:tc>
        <w:tc>
          <w:tcPr>
            <w:tcW w:w="933" w:type="pct"/>
            <w:noWrap w:val="0"/>
            <w:vAlign w:val="center"/>
          </w:tcPr>
          <w:p w14:paraId="5A2AADA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lang w:val="en-US" w:eastAsia="zh-CN"/>
              </w:rPr>
              <w:t>27490</w:t>
            </w:r>
          </w:p>
        </w:tc>
        <w:tc>
          <w:tcPr>
            <w:tcW w:w="2355" w:type="pct"/>
            <w:gridSpan w:val="3"/>
            <w:noWrap w:val="0"/>
            <w:vAlign w:val="center"/>
          </w:tcPr>
          <w:p w14:paraId="570850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100%</w:t>
            </w:r>
          </w:p>
        </w:tc>
      </w:tr>
      <w:tr w14:paraId="654165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14" w:type="pct"/>
            <w:noWrap w:val="0"/>
            <w:vAlign w:val="center"/>
          </w:tcPr>
          <w:p w14:paraId="3E069A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85" w:type="pct"/>
            <w:gridSpan w:val="6"/>
            <w:shd w:val="clear" w:color="auto" w:fill="auto"/>
            <w:noWrap w:val="0"/>
            <w:vAlign w:val="center"/>
          </w:tcPr>
          <w:p w14:paraId="048A3A9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设立县域特色优势产业发展引导基金，组织实施新一轮特色县域经济强县工程，支持引导各县域集中资源重点发展1—2个特色主导产业</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加大工业、农业、文旅等省级特色产业小镇建设支持力度，打造特色产业集聚、城乡融合发展的重要平台</w:t>
            </w:r>
            <w:r>
              <w:rPr>
                <w:rFonts w:hint="default" w:ascii="Times New Roman" w:hAnsi="Times New Roman" w:eastAsia="仿宋_GB2312" w:cs="Times New Roman"/>
                <w:i w:val="0"/>
                <w:iCs w:val="0"/>
                <w:color w:val="auto"/>
                <w:kern w:val="0"/>
                <w:sz w:val="21"/>
                <w:szCs w:val="21"/>
                <w:highlight w:val="none"/>
                <w:u w:val="none"/>
                <w:lang w:val="en-US" w:eastAsia="zh-CN" w:bidi="ar"/>
              </w:rPr>
              <w:t>，对4个县（市）进行奖补；</w:t>
            </w:r>
            <w:r>
              <w:rPr>
                <w:rFonts w:hint="default" w:ascii="Times New Roman" w:hAnsi="Times New Roman" w:eastAsia="仿宋_GB2312" w:cs="Times New Roman"/>
                <w:i w:val="0"/>
                <w:iCs w:val="0"/>
                <w:color w:val="auto"/>
                <w:kern w:val="0"/>
                <w:sz w:val="21"/>
                <w:szCs w:val="21"/>
                <w:highlight w:val="none"/>
                <w:u w:val="none"/>
                <w:lang w:val="en-US" w:eastAsia="zh-CN" w:bidi="ar"/>
              </w:rPr>
              <w:t>开展“引客入湘”奖补；举办2次全省旅发大会，其中旅发大会相关配套经费主要用于相关项目、论坛、博览会等项目支出。依据《意见》湘发［2022］16号文件：省直年度与文旅相关的专项资金的10%用于支持湖南旅游发展大会承办市州 （不含因素法分配资金）；支持支持艺术职业学院化债。</w:t>
            </w:r>
          </w:p>
        </w:tc>
      </w:tr>
      <w:tr w14:paraId="631D7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0" w:hRule="atLeast"/>
          <w:jc w:val="center"/>
        </w:trPr>
        <w:tc>
          <w:tcPr>
            <w:tcW w:w="614" w:type="pct"/>
            <w:noWrap w:val="0"/>
            <w:vAlign w:val="center"/>
          </w:tcPr>
          <w:p w14:paraId="3CFDCD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r>
              <w:rPr>
                <w:rFonts w:hint="default" w:ascii="Times New Roman" w:hAnsi="Times New Roman" w:cs="Times New Roman"/>
                <w:i w:val="0"/>
                <w:iCs w:val="0"/>
                <w:color w:val="auto"/>
                <w:kern w:val="0"/>
                <w:sz w:val="21"/>
                <w:szCs w:val="21"/>
                <w:highlight w:val="none"/>
                <w:u w:val="none"/>
                <w:lang w:val="en-US" w:eastAsia="zh-CN" w:bidi="ar"/>
              </w:rPr>
              <w:t>完成情况</w:t>
            </w:r>
          </w:p>
        </w:tc>
        <w:tc>
          <w:tcPr>
            <w:tcW w:w="4385" w:type="pct"/>
            <w:gridSpan w:val="6"/>
            <w:noWrap w:val="0"/>
            <w:vAlign w:val="center"/>
          </w:tcPr>
          <w:p w14:paraId="69371F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本年度，县域特色优势产业发展引导基金设立工作有序推进，特色县域经济强县工程全面实施，指导各重点县（市）集中资源培育特色主导产业，工业、农业、文旅类省级特色产业小镇建设支持力度持续加大，对 4 个县（市）完成奖补资金拨付，有效推动了特色产业集聚和城乡融合发展。“引客入湘” 奖补政策顺利落地，有效激发了各地引客入湘积极性，全省文旅市场活力进一步释放。成功举办 2 次全省旅游发展大会，配套项目建设、论坛、博览会等活动全部按计划完成，大会相关配套经费规范用于项目建设、宣传推广等环节，有效发挥了资金撬动效应。严格落实湘发〔2022〕16 号文件要求，将省直年度文旅相关专项资金的 10% 按规定用于支持旅发大会承办市州建设。同时，艺术职业学院化债资金足额拨付到位，有效化解了院校债务风险，保障了院校平稳运行。总体来看，年度各项绩效目标任务均已按期完成，资金使用规范高效，预期成效全面达成。</w:t>
            </w:r>
          </w:p>
        </w:tc>
      </w:tr>
      <w:tr w14:paraId="1F891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restart"/>
            <w:noWrap w:val="0"/>
            <w:vAlign w:val="center"/>
          </w:tcPr>
          <w:p w14:paraId="341A59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552" w:type="pct"/>
            <w:noWrap w:val="0"/>
            <w:vAlign w:val="center"/>
          </w:tcPr>
          <w:p w14:paraId="6EF3B9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543" w:type="pct"/>
            <w:noWrap w:val="0"/>
            <w:vAlign w:val="center"/>
          </w:tcPr>
          <w:p w14:paraId="718A3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933" w:type="pct"/>
            <w:noWrap w:val="0"/>
            <w:vAlign w:val="center"/>
          </w:tcPr>
          <w:p w14:paraId="3A2B50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86" w:type="pct"/>
            <w:noWrap w:val="0"/>
            <w:vAlign w:val="center"/>
          </w:tcPr>
          <w:p w14:paraId="218134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856" w:type="pct"/>
            <w:noWrap w:val="0"/>
            <w:vAlign w:val="center"/>
          </w:tcPr>
          <w:p w14:paraId="5C680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13" w:type="pct"/>
            <w:noWrap w:val="0"/>
            <w:vAlign w:val="center"/>
          </w:tcPr>
          <w:p w14:paraId="1847FD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5F467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14" w:type="pct"/>
            <w:vMerge w:val="continue"/>
            <w:noWrap w:val="0"/>
            <w:vAlign w:val="center"/>
          </w:tcPr>
          <w:p w14:paraId="4816FA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0"/>
            <w:vAlign w:val="center"/>
          </w:tcPr>
          <w:p w14:paraId="024B0E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543" w:type="pct"/>
            <w:vMerge w:val="restart"/>
            <w:noWrap w:val="0"/>
            <w:vAlign w:val="center"/>
          </w:tcPr>
          <w:p w14:paraId="6F27C2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w:t>
            </w:r>
          </w:p>
          <w:p w14:paraId="7E2469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313C378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全省旅游发展大会相关配套经费</w:t>
            </w:r>
          </w:p>
        </w:tc>
        <w:tc>
          <w:tcPr>
            <w:tcW w:w="886" w:type="pct"/>
            <w:shd w:val="clear" w:color="auto" w:fill="auto"/>
            <w:noWrap/>
            <w:vAlign w:val="center"/>
          </w:tcPr>
          <w:p w14:paraId="0904B2A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2.17</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856" w:type="pct"/>
            <w:noWrap/>
            <w:vAlign w:val="center"/>
          </w:tcPr>
          <w:p w14:paraId="62D58F9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2.17</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613" w:type="pct"/>
            <w:noWrap/>
            <w:vAlign w:val="center"/>
          </w:tcPr>
          <w:p w14:paraId="7F56D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B2AC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75E18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20004B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12A3D5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7DE33E9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支持艺术职业学院项目</w:t>
            </w:r>
          </w:p>
        </w:tc>
        <w:tc>
          <w:tcPr>
            <w:tcW w:w="886" w:type="pct"/>
            <w:shd w:val="clear" w:color="auto" w:fill="auto"/>
            <w:noWrap/>
            <w:vAlign w:val="center"/>
          </w:tcPr>
          <w:p w14:paraId="17FEFBD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≤1500</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856" w:type="pct"/>
            <w:noWrap/>
            <w:vAlign w:val="center"/>
          </w:tcPr>
          <w:p w14:paraId="4FEB0EC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1500</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613" w:type="pct"/>
            <w:noWrap/>
            <w:vAlign w:val="center"/>
          </w:tcPr>
          <w:p w14:paraId="52EB2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4CC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11AE3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78C13A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4938EF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1F775C0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文旅县域经济考核奖励标准</w:t>
            </w:r>
          </w:p>
        </w:tc>
        <w:tc>
          <w:tcPr>
            <w:tcW w:w="886" w:type="pct"/>
            <w:shd w:val="clear" w:color="auto" w:fill="auto"/>
            <w:noWrap w:val="0"/>
            <w:vAlign w:val="center"/>
          </w:tcPr>
          <w:p w14:paraId="6AE66E3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450</w:t>
            </w:r>
            <w:r>
              <w:rPr>
                <w:rFonts w:hint="default" w:ascii="Times New Roman" w:hAnsi="Times New Roman" w:cs="Times New Roman"/>
                <w:i w:val="0"/>
                <w:iCs w:val="0"/>
                <w:strike w:val="0"/>
                <w:color w:val="auto"/>
                <w:kern w:val="0"/>
                <w:sz w:val="21"/>
                <w:szCs w:val="21"/>
                <w:highlight w:val="none"/>
                <w:u w:val="none"/>
                <w:lang w:val="en-US" w:eastAsia="zh-CN" w:bidi="ar"/>
              </w:rPr>
              <w:t>万元.个</w:t>
            </w:r>
          </w:p>
        </w:tc>
        <w:tc>
          <w:tcPr>
            <w:tcW w:w="856" w:type="pct"/>
            <w:noWrap w:val="0"/>
            <w:vAlign w:val="center"/>
          </w:tcPr>
          <w:p w14:paraId="3ACC1FC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450</w:t>
            </w:r>
            <w:r>
              <w:rPr>
                <w:rFonts w:hint="default" w:ascii="Times New Roman" w:hAnsi="Times New Roman" w:cs="Times New Roman"/>
                <w:i w:val="0"/>
                <w:iCs w:val="0"/>
                <w:strike w:val="0"/>
                <w:color w:val="auto"/>
                <w:kern w:val="0"/>
                <w:sz w:val="21"/>
                <w:szCs w:val="21"/>
                <w:highlight w:val="none"/>
                <w:u w:val="none"/>
                <w:lang w:val="en-US" w:eastAsia="zh-CN" w:bidi="ar"/>
              </w:rPr>
              <w:t>万元.个</w:t>
            </w:r>
          </w:p>
        </w:tc>
        <w:tc>
          <w:tcPr>
            <w:tcW w:w="613" w:type="pct"/>
            <w:noWrap w:val="0"/>
            <w:vAlign w:val="center"/>
          </w:tcPr>
          <w:p w14:paraId="24E5CE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509E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14" w:type="pct"/>
            <w:vMerge w:val="continue"/>
            <w:noWrap w:val="0"/>
            <w:vAlign w:val="center"/>
          </w:tcPr>
          <w:p w14:paraId="404DDF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5AB25E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4E7A0B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6AF463A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高品质旅游住宿业奖补</w:t>
            </w:r>
          </w:p>
        </w:tc>
        <w:tc>
          <w:tcPr>
            <w:tcW w:w="886" w:type="pct"/>
            <w:shd w:val="clear" w:color="auto" w:fill="auto"/>
            <w:noWrap w:val="0"/>
            <w:vAlign w:val="center"/>
          </w:tcPr>
          <w:p w14:paraId="3531101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200万元=</w:t>
            </w:r>
            <w:r>
              <w:rPr>
                <w:rFonts w:hint="default" w:ascii="Times New Roman" w:hAnsi="Times New Roman" w:eastAsia="仿宋_GB2312" w:cs="Times New Roman"/>
                <w:i w:val="0"/>
                <w:iCs w:val="0"/>
                <w:color w:val="auto"/>
                <w:kern w:val="0"/>
                <w:sz w:val="21"/>
                <w:szCs w:val="21"/>
                <w:highlight w:val="none"/>
                <w:u w:val="none"/>
                <w:lang w:val="en-US" w:eastAsia="zh-CN" w:bidi="ar"/>
              </w:rPr>
              <w:t>4家；</w:t>
            </w:r>
          </w:p>
          <w:p w14:paraId="24F0A77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2家；</w:t>
            </w:r>
          </w:p>
          <w:p w14:paraId="5620E4A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1家</w:t>
            </w:r>
            <w:r>
              <w:rPr>
                <w:rFonts w:hint="default" w:ascii="Times New Roman" w:hAnsi="Times New Roman" w:eastAsia="仿宋_GB2312" w:cs="Times New Roman"/>
                <w:i w:val="0"/>
                <w:iCs w:val="0"/>
                <w:color w:val="auto"/>
                <w:kern w:val="0"/>
                <w:sz w:val="21"/>
                <w:szCs w:val="21"/>
                <w:highlight w:val="none"/>
                <w:u w:val="none"/>
                <w:lang w:val="en-US" w:eastAsia="zh-CN" w:bidi="ar"/>
              </w:rPr>
              <w:t>；2-3万元，4家</w:t>
            </w:r>
          </w:p>
        </w:tc>
        <w:tc>
          <w:tcPr>
            <w:tcW w:w="856" w:type="pct"/>
            <w:shd w:val="clear" w:color="auto" w:fill="auto"/>
            <w:noWrap w:val="0"/>
            <w:vAlign w:val="center"/>
          </w:tcPr>
          <w:p w14:paraId="20C12F5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200万元=</w:t>
            </w:r>
            <w:r>
              <w:rPr>
                <w:rFonts w:hint="default" w:ascii="Times New Roman" w:hAnsi="Times New Roman" w:eastAsia="仿宋_GB2312" w:cs="Times New Roman"/>
                <w:i w:val="0"/>
                <w:iCs w:val="0"/>
                <w:color w:val="auto"/>
                <w:kern w:val="0"/>
                <w:sz w:val="21"/>
                <w:szCs w:val="21"/>
                <w:highlight w:val="none"/>
                <w:u w:val="none"/>
                <w:lang w:val="en-US" w:eastAsia="zh-CN" w:bidi="ar"/>
              </w:rPr>
              <w:t>4家；</w:t>
            </w:r>
          </w:p>
          <w:p w14:paraId="5124E0B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2家；</w:t>
            </w:r>
          </w:p>
          <w:p w14:paraId="06876E6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1家</w:t>
            </w:r>
            <w:r>
              <w:rPr>
                <w:rFonts w:hint="default" w:ascii="Times New Roman" w:hAnsi="Times New Roman" w:eastAsia="仿宋_GB2312" w:cs="Times New Roman"/>
                <w:i w:val="0"/>
                <w:iCs w:val="0"/>
                <w:color w:val="auto"/>
                <w:kern w:val="0"/>
                <w:sz w:val="21"/>
                <w:szCs w:val="21"/>
                <w:highlight w:val="none"/>
                <w:u w:val="none"/>
                <w:lang w:val="en-US" w:eastAsia="zh-CN" w:bidi="ar"/>
              </w:rPr>
              <w:t>；2-3万元，4家</w:t>
            </w:r>
          </w:p>
        </w:tc>
        <w:tc>
          <w:tcPr>
            <w:tcW w:w="613" w:type="pct"/>
            <w:noWrap w:val="0"/>
            <w:vAlign w:val="center"/>
          </w:tcPr>
          <w:p w14:paraId="0FAC4D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1FBF2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614" w:type="pct"/>
            <w:vMerge w:val="continue"/>
            <w:noWrap w:val="0"/>
            <w:vAlign w:val="center"/>
          </w:tcPr>
          <w:p w14:paraId="7F1E5F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5B362B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70DAF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29EE543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“引客入湘”奖补</w:t>
            </w:r>
          </w:p>
        </w:tc>
        <w:tc>
          <w:tcPr>
            <w:tcW w:w="886" w:type="pct"/>
            <w:shd w:val="clear" w:color="auto" w:fill="auto"/>
            <w:noWrap w:val="0"/>
            <w:vAlign w:val="center"/>
          </w:tcPr>
          <w:p w14:paraId="34A89F0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1241</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856" w:type="pct"/>
            <w:noWrap w:val="0"/>
            <w:vAlign w:val="center"/>
          </w:tcPr>
          <w:p w14:paraId="3E26CB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1241</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613" w:type="pct"/>
            <w:noWrap w:val="0"/>
            <w:vAlign w:val="center"/>
          </w:tcPr>
          <w:p w14:paraId="3DDC80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649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 w:hRule="atLeast"/>
          <w:jc w:val="center"/>
        </w:trPr>
        <w:tc>
          <w:tcPr>
            <w:tcW w:w="614" w:type="pct"/>
            <w:vMerge w:val="continue"/>
            <w:noWrap w:val="0"/>
            <w:vAlign w:val="center"/>
          </w:tcPr>
          <w:p w14:paraId="1FEBD3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49A79B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noWrap w:val="0"/>
            <w:vAlign w:val="center"/>
          </w:tcPr>
          <w:p w14:paraId="5D12B9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w:t>
            </w:r>
          </w:p>
          <w:p w14:paraId="25974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5B1FF83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886" w:type="pct"/>
            <w:shd w:val="clear" w:color="auto" w:fill="auto"/>
            <w:noWrap w:val="0"/>
            <w:vAlign w:val="center"/>
          </w:tcPr>
          <w:p w14:paraId="1B0F55C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856" w:type="pct"/>
            <w:shd w:val="clear" w:color="auto" w:fill="auto"/>
            <w:noWrap w:val="0"/>
            <w:vAlign w:val="center"/>
          </w:tcPr>
          <w:p w14:paraId="42CFF6F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613" w:type="pct"/>
            <w:noWrap w:val="0"/>
            <w:vAlign w:val="center"/>
          </w:tcPr>
          <w:p w14:paraId="036230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8D394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14" w:type="pct"/>
            <w:vMerge w:val="continue"/>
            <w:noWrap w:val="0"/>
            <w:vAlign w:val="center"/>
          </w:tcPr>
          <w:p w14:paraId="65F473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6EA71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noWrap w:val="0"/>
            <w:vAlign w:val="center"/>
          </w:tcPr>
          <w:p w14:paraId="2AEFBF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933" w:type="pct"/>
            <w:shd w:val="clear" w:color="auto" w:fill="auto"/>
            <w:noWrap w:val="0"/>
            <w:vAlign w:val="center"/>
          </w:tcPr>
          <w:p w14:paraId="6A51D24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因违规操作引发的生态环境重大破坏</w:t>
            </w:r>
          </w:p>
        </w:tc>
        <w:tc>
          <w:tcPr>
            <w:tcW w:w="886" w:type="pct"/>
            <w:shd w:val="clear" w:color="auto" w:fill="auto"/>
            <w:noWrap w:val="0"/>
            <w:vAlign w:val="center"/>
          </w:tcPr>
          <w:p w14:paraId="410891B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856" w:type="pct"/>
            <w:shd w:val="clear" w:color="auto" w:fill="auto"/>
            <w:noWrap w:val="0"/>
            <w:vAlign w:val="center"/>
          </w:tcPr>
          <w:p w14:paraId="7C6FE2A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613" w:type="pct"/>
            <w:noWrap w:val="0"/>
            <w:vAlign w:val="center"/>
          </w:tcPr>
          <w:p w14:paraId="5AEFE0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A9CB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614" w:type="pct"/>
            <w:vMerge w:val="continue"/>
            <w:noWrap w:val="0"/>
            <w:vAlign w:val="center"/>
          </w:tcPr>
          <w:p w14:paraId="4CDA19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0"/>
            <w:vAlign w:val="center"/>
          </w:tcPr>
          <w:p w14:paraId="7C3123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543" w:type="pct"/>
            <w:vMerge w:val="restart"/>
            <w:noWrap w:val="0"/>
            <w:vAlign w:val="center"/>
          </w:tcPr>
          <w:p w14:paraId="056EC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933" w:type="pct"/>
            <w:shd w:val="clear" w:color="auto" w:fill="auto"/>
            <w:noWrap w:val="0"/>
            <w:vAlign w:val="center"/>
          </w:tcPr>
          <w:p w14:paraId="3FA8F3E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举办全省省旅游发展大会</w:t>
            </w:r>
          </w:p>
        </w:tc>
        <w:tc>
          <w:tcPr>
            <w:tcW w:w="886" w:type="pct"/>
            <w:shd w:val="clear" w:color="auto" w:fill="auto"/>
            <w:noWrap/>
            <w:vAlign w:val="center"/>
          </w:tcPr>
          <w:p w14:paraId="5B33494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cs="Times New Roman"/>
                <w:i w:val="0"/>
                <w:iCs w:val="0"/>
                <w:color w:val="auto"/>
                <w:kern w:val="0"/>
                <w:sz w:val="21"/>
                <w:szCs w:val="21"/>
                <w:highlight w:val="none"/>
                <w:u w:val="none"/>
                <w:lang w:val="en-US" w:eastAsia="zh-CN" w:bidi="ar"/>
              </w:rPr>
              <w:t>次（一年）</w:t>
            </w:r>
          </w:p>
        </w:tc>
        <w:tc>
          <w:tcPr>
            <w:tcW w:w="856" w:type="pct"/>
            <w:shd w:val="clear" w:color="auto" w:fill="auto"/>
            <w:noWrap/>
            <w:vAlign w:val="center"/>
          </w:tcPr>
          <w:p w14:paraId="06C4192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cs="Times New Roman"/>
                <w:i w:val="0"/>
                <w:iCs w:val="0"/>
                <w:color w:val="auto"/>
                <w:kern w:val="0"/>
                <w:sz w:val="21"/>
                <w:szCs w:val="21"/>
                <w:highlight w:val="none"/>
                <w:u w:val="none"/>
                <w:lang w:val="en-US" w:eastAsia="zh-CN" w:bidi="ar"/>
              </w:rPr>
              <w:t>次（一年）</w:t>
            </w:r>
          </w:p>
        </w:tc>
        <w:tc>
          <w:tcPr>
            <w:tcW w:w="613" w:type="pct"/>
            <w:noWrap/>
            <w:vAlign w:val="center"/>
          </w:tcPr>
          <w:p w14:paraId="4404CAE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494F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132443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35ABD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5CC4F7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725F00E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CN"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文旅县域经济考核奖励县市数量</w:t>
            </w:r>
          </w:p>
        </w:tc>
        <w:tc>
          <w:tcPr>
            <w:tcW w:w="886" w:type="pct"/>
            <w:shd w:val="clear" w:color="auto" w:fill="auto"/>
            <w:noWrap w:val="0"/>
            <w:vAlign w:val="center"/>
          </w:tcPr>
          <w:p w14:paraId="532B4EE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CN"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4</w:t>
            </w:r>
            <w:r>
              <w:rPr>
                <w:rFonts w:hint="default" w:ascii="Times New Roman" w:hAnsi="Times New Roman" w:cs="Times New Roman"/>
                <w:i w:val="0"/>
                <w:iCs w:val="0"/>
                <w:strike w:val="0"/>
                <w:color w:val="auto"/>
                <w:kern w:val="0"/>
                <w:sz w:val="21"/>
                <w:szCs w:val="21"/>
                <w:highlight w:val="none"/>
                <w:u w:val="none"/>
                <w:lang w:val="en-US" w:eastAsia="zh-CN" w:bidi="ar"/>
              </w:rPr>
              <w:t>个</w:t>
            </w:r>
          </w:p>
        </w:tc>
        <w:tc>
          <w:tcPr>
            <w:tcW w:w="856" w:type="pct"/>
            <w:shd w:val="clear" w:color="auto" w:fill="auto"/>
            <w:noWrap w:val="0"/>
            <w:vAlign w:val="center"/>
          </w:tcPr>
          <w:p w14:paraId="3D5810F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val="0"/>
                <w:color w:val="auto"/>
                <w:kern w:val="0"/>
                <w:sz w:val="21"/>
                <w:szCs w:val="21"/>
                <w:highlight w:val="none"/>
                <w:u w:val="none"/>
                <w:lang w:val="en-US" w:eastAsia="zh" w:bidi="ar"/>
              </w:rPr>
            </w:pPr>
            <w:r>
              <w:rPr>
                <w:rFonts w:hint="default" w:ascii="Times New Roman" w:hAnsi="Times New Roman" w:eastAsia="仿宋_GB2312" w:cs="Times New Roman"/>
                <w:i w:val="0"/>
                <w:iCs w:val="0"/>
                <w:strike w:val="0"/>
                <w:color w:val="auto"/>
                <w:kern w:val="0"/>
                <w:sz w:val="21"/>
                <w:szCs w:val="21"/>
                <w:highlight w:val="none"/>
                <w:u w:val="none"/>
                <w:lang w:val="en-US" w:eastAsia="zh-CN" w:bidi="ar"/>
              </w:rPr>
              <w:t>4</w:t>
            </w:r>
            <w:r>
              <w:rPr>
                <w:rFonts w:hint="default" w:ascii="Times New Roman" w:hAnsi="Times New Roman" w:cs="Times New Roman"/>
                <w:i w:val="0"/>
                <w:iCs w:val="0"/>
                <w:strike w:val="0"/>
                <w:color w:val="auto"/>
                <w:kern w:val="0"/>
                <w:sz w:val="21"/>
                <w:szCs w:val="21"/>
                <w:highlight w:val="none"/>
                <w:u w:val="none"/>
                <w:lang w:val="en-US" w:eastAsia="zh-CN" w:bidi="ar"/>
              </w:rPr>
              <w:t>个</w:t>
            </w:r>
          </w:p>
        </w:tc>
        <w:tc>
          <w:tcPr>
            <w:tcW w:w="613" w:type="pct"/>
            <w:noWrap w:val="0"/>
            <w:vAlign w:val="center"/>
          </w:tcPr>
          <w:p w14:paraId="25C2E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C4C1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0" w:hRule="atLeast"/>
          <w:jc w:val="center"/>
        </w:trPr>
        <w:tc>
          <w:tcPr>
            <w:tcW w:w="614" w:type="pct"/>
            <w:vMerge w:val="continue"/>
            <w:noWrap w:val="0"/>
            <w:vAlign w:val="center"/>
          </w:tcPr>
          <w:p w14:paraId="497889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3930C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614E6A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329A88D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高品质旅游住宿业奖补</w:t>
            </w:r>
          </w:p>
        </w:tc>
        <w:tc>
          <w:tcPr>
            <w:tcW w:w="886" w:type="pct"/>
            <w:shd w:val="clear" w:color="auto" w:fill="auto"/>
            <w:noWrap/>
            <w:vAlign w:val="center"/>
          </w:tcPr>
          <w:p w14:paraId="13BC3C5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家</w:t>
            </w:r>
          </w:p>
        </w:tc>
        <w:tc>
          <w:tcPr>
            <w:tcW w:w="856" w:type="pct"/>
            <w:shd w:val="clear" w:color="auto" w:fill="auto"/>
            <w:noWrap/>
            <w:vAlign w:val="center"/>
          </w:tcPr>
          <w:p w14:paraId="22C9B3F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家</w:t>
            </w:r>
          </w:p>
        </w:tc>
        <w:tc>
          <w:tcPr>
            <w:tcW w:w="613" w:type="pct"/>
            <w:noWrap/>
            <w:vAlign w:val="center"/>
          </w:tcPr>
          <w:p w14:paraId="36A471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1A8C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614" w:type="pct"/>
            <w:vMerge w:val="continue"/>
            <w:noWrap w:val="0"/>
            <w:vAlign w:val="center"/>
          </w:tcPr>
          <w:p w14:paraId="4FF0D3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6B4D54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49168F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55B819E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全省旅发大会重点活动</w:t>
            </w:r>
          </w:p>
        </w:tc>
        <w:tc>
          <w:tcPr>
            <w:tcW w:w="886" w:type="pct"/>
            <w:shd w:val="clear" w:color="auto" w:fill="auto"/>
            <w:noWrap/>
            <w:vAlign w:val="center"/>
          </w:tcPr>
          <w:p w14:paraId="1CDBC4A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856" w:type="pct"/>
            <w:shd w:val="clear" w:color="auto" w:fill="auto"/>
            <w:noWrap/>
            <w:vAlign w:val="center"/>
          </w:tcPr>
          <w:p w14:paraId="78E2638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613" w:type="pct"/>
            <w:noWrap/>
            <w:vAlign w:val="center"/>
          </w:tcPr>
          <w:p w14:paraId="1FC82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9474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57B8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80794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continue"/>
            <w:noWrap w:val="0"/>
            <w:vAlign w:val="center"/>
          </w:tcPr>
          <w:p w14:paraId="4F3741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0DF1280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全省旅发大会配套活动</w:t>
            </w:r>
          </w:p>
        </w:tc>
        <w:tc>
          <w:tcPr>
            <w:tcW w:w="886" w:type="pct"/>
            <w:shd w:val="clear" w:color="auto" w:fill="auto"/>
            <w:noWrap/>
            <w:vAlign w:val="center"/>
          </w:tcPr>
          <w:p w14:paraId="34B946E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SA"/>
              </w:rPr>
              <w:t>4</w:t>
            </w:r>
            <w:r>
              <w:rPr>
                <w:rFonts w:hint="default" w:ascii="Times New Roman" w:hAnsi="Times New Roman" w:cs="Times New Roman"/>
                <w:i w:val="0"/>
                <w:iCs w:val="0"/>
                <w:color w:val="auto"/>
                <w:kern w:val="0"/>
                <w:sz w:val="21"/>
                <w:szCs w:val="21"/>
                <w:highlight w:val="none"/>
                <w:u w:val="none"/>
                <w:lang w:val="en-US" w:eastAsia="zh-CN" w:bidi="ar-SA"/>
              </w:rPr>
              <w:t>个</w:t>
            </w:r>
          </w:p>
        </w:tc>
        <w:tc>
          <w:tcPr>
            <w:tcW w:w="856" w:type="pct"/>
            <w:shd w:val="clear" w:color="auto" w:fill="auto"/>
            <w:noWrap/>
            <w:vAlign w:val="center"/>
          </w:tcPr>
          <w:p w14:paraId="4E8C845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SA"/>
              </w:rPr>
            </w:pPr>
            <w:r>
              <w:rPr>
                <w:rFonts w:hint="default" w:ascii="Times New Roman" w:hAnsi="Times New Roman" w:eastAsia="仿宋_GB2312" w:cs="Times New Roman"/>
                <w:i w:val="0"/>
                <w:iCs w:val="0"/>
                <w:color w:val="auto"/>
                <w:kern w:val="0"/>
                <w:sz w:val="21"/>
                <w:szCs w:val="21"/>
                <w:highlight w:val="none"/>
                <w:u w:val="none"/>
                <w:lang w:val="en-US" w:eastAsia="zh-CN" w:bidi="ar-SA"/>
              </w:rPr>
              <w:t>4</w:t>
            </w:r>
            <w:r>
              <w:rPr>
                <w:rFonts w:hint="default" w:ascii="Times New Roman" w:hAnsi="Times New Roman" w:cs="Times New Roman"/>
                <w:i w:val="0"/>
                <w:iCs w:val="0"/>
                <w:color w:val="auto"/>
                <w:kern w:val="0"/>
                <w:sz w:val="21"/>
                <w:szCs w:val="21"/>
                <w:highlight w:val="none"/>
                <w:u w:val="none"/>
                <w:lang w:val="en-US" w:eastAsia="zh-CN" w:bidi="ar-SA"/>
              </w:rPr>
              <w:t>个</w:t>
            </w:r>
          </w:p>
        </w:tc>
        <w:tc>
          <w:tcPr>
            <w:tcW w:w="613" w:type="pct"/>
            <w:noWrap/>
            <w:vAlign w:val="center"/>
          </w:tcPr>
          <w:p w14:paraId="54A482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F650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614" w:type="pct"/>
            <w:vMerge w:val="continue"/>
            <w:noWrap w:val="0"/>
            <w:vAlign w:val="center"/>
          </w:tcPr>
          <w:p w14:paraId="4E5F18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62CC00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43" w:type="pct"/>
            <w:vMerge w:val="restart"/>
            <w:noWrap w:val="0"/>
            <w:vAlign w:val="center"/>
          </w:tcPr>
          <w:p w14:paraId="64C46D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933" w:type="pct"/>
            <w:shd w:val="clear" w:color="auto" w:fill="auto"/>
            <w:noWrap w:val="0"/>
            <w:vAlign w:val="center"/>
          </w:tcPr>
          <w:p w14:paraId="098714C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真抓实干达标率</w:t>
            </w:r>
          </w:p>
        </w:tc>
        <w:tc>
          <w:tcPr>
            <w:tcW w:w="886" w:type="pct"/>
            <w:shd w:val="clear" w:color="auto" w:fill="auto"/>
            <w:noWrap/>
            <w:vAlign w:val="center"/>
          </w:tcPr>
          <w:p w14:paraId="44392E5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35B9A59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13" w:type="pct"/>
            <w:noWrap/>
            <w:vAlign w:val="center"/>
          </w:tcPr>
          <w:p w14:paraId="14C82B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BF1D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14" w:type="pct"/>
            <w:vMerge w:val="continue"/>
            <w:noWrap w:val="0"/>
            <w:vAlign w:val="center"/>
          </w:tcPr>
          <w:p w14:paraId="2D65CC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250CA4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5E41BC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7DF9276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奖补资金申报（拨付）程序规范性</w:t>
            </w:r>
          </w:p>
        </w:tc>
        <w:tc>
          <w:tcPr>
            <w:tcW w:w="886" w:type="pct"/>
            <w:shd w:val="clear" w:color="auto" w:fill="auto"/>
            <w:noWrap/>
            <w:vAlign w:val="center"/>
          </w:tcPr>
          <w:p w14:paraId="0207E0A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cs="Times New Roman"/>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25905F1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13" w:type="pct"/>
            <w:noWrap/>
            <w:vAlign w:val="center"/>
          </w:tcPr>
          <w:p w14:paraId="72B33C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B092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614" w:type="pct"/>
            <w:vMerge w:val="continue"/>
            <w:noWrap w:val="0"/>
            <w:vAlign w:val="center"/>
          </w:tcPr>
          <w:p w14:paraId="239730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C52C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7D07C2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24D2AFB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方案完备性</w:t>
            </w:r>
          </w:p>
        </w:tc>
        <w:tc>
          <w:tcPr>
            <w:tcW w:w="886" w:type="pct"/>
            <w:shd w:val="clear" w:color="auto" w:fill="auto"/>
            <w:noWrap/>
            <w:vAlign w:val="center"/>
          </w:tcPr>
          <w:p w14:paraId="1AE0E44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cs="Times New Roman"/>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56" w:type="pct"/>
            <w:shd w:val="clear" w:color="auto" w:fill="auto"/>
            <w:noWrap/>
            <w:vAlign w:val="center"/>
          </w:tcPr>
          <w:p w14:paraId="462AEB2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13" w:type="pct"/>
            <w:noWrap/>
            <w:vAlign w:val="center"/>
          </w:tcPr>
          <w:p w14:paraId="1618DA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61CE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26BC24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037396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0EAC49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0EFC6DB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年度旅游有效投诉受理率和办结率</w:t>
            </w:r>
          </w:p>
        </w:tc>
        <w:tc>
          <w:tcPr>
            <w:tcW w:w="886" w:type="pct"/>
            <w:shd w:val="clear" w:color="auto" w:fill="auto"/>
            <w:noWrap/>
            <w:vAlign w:val="center"/>
          </w:tcPr>
          <w:p w14:paraId="1B85237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cs="Times New Roman"/>
                <w:i w:val="0"/>
                <w:iCs w:val="0"/>
                <w:color w:val="auto"/>
                <w:kern w:val="0"/>
                <w:sz w:val="21"/>
                <w:szCs w:val="21"/>
                <w:highlight w:val="none"/>
                <w:u w:val="none"/>
                <w:lang w:val="en-US" w:eastAsia="zh-CN" w:bidi="ar"/>
              </w:rPr>
              <w:t>%</w:t>
            </w:r>
          </w:p>
        </w:tc>
        <w:tc>
          <w:tcPr>
            <w:tcW w:w="856" w:type="pct"/>
            <w:noWrap/>
            <w:vAlign w:val="center"/>
          </w:tcPr>
          <w:p w14:paraId="47E3E85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13" w:type="pct"/>
            <w:shd w:val="clear" w:color="auto" w:fill="auto"/>
            <w:noWrap/>
            <w:vAlign w:val="center"/>
          </w:tcPr>
          <w:p w14:paraId="5CE42D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D346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511D29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357068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392E6D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933" w:type="pct"/>
            <w:shd w:val="clear" w:color="auto" w:fill="auto"/>
            <w:noWrap w:val="0"/>
            <w:vAlign w:val="center"/>
          </w:tcPr>
          <w:p w14:paraId="6E08A39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886" w:type="pct"/>
            <w:shd w:val="clear" w:color="auto" w:fill="auto"/>
            <w:noWrap w:val="0"/>
            <w:vAlign w:val="center"/>
          </w:tcPr>
          <w:p w14:paraId="2D901F4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56" w:type="pct"/>
            <w:noWrap w:val="0"/>
            <w:vAlign w:val="center"/>
          </w:tcPr>
          <w:p w14:paraId="7779452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613" w:type="pct"/>
            <w:shd w:val="clear" w:color="auto" w:fill="auto"/>
            <w:noWrap w:val="0"/>
            <w:vAlign w:val="center"/>
          </w:tcPr>
          <w:p w14:paraId="100411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0492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615236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7E9BA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74B07A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14E726D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项目评审及时率</w:t>
            </w:r>
          </w:p>
        </w:tc>
        <w:tc>
          <w:tcPr>
            <w:tcW w:w="886" w:type="pct"/>
            <w:shd w:val="clear" w:color="auto" w:fill="auto"/>
            <w:noWrap w:val="0"/>
            <w:vAlign w:val="center"/>
          </w:tcPr>
          <w:p w14:paraId="7864718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shd w:val="clear" w:color="auto" w:fill="auto"/>
            <w:noWrap w:val="0"/>
            <w:vAlign w:val="center"/>
          </w:tcPr>
          <w:p w14:paraId="71625F1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13" w:type="pct"/>
            <w:noWrap w:val="0"/>
            <w:vAlign w:val="center"/>
          </w:tcPr>
          <w:p w14:paraId="53834F6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0BA49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jc w:val="center"/>
        </w:trPr>
        <w:tc>
          <w:tcPr>
            <w:tcW w:w="614" w:type="pct"/>
            <w:vMerge w:val="continue"/>
            <w:noWrap w:val="0"/>
            <w:vAlign w:val="center"/>
          </w:tcPr>
          <w:p w14:paraId="78D95E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0"/>
            <w:vAlign w:val="center"/>
          </w:tcPr>
          <w:p w14:paraId="2D26FA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73B5F0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2DE8B61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项目完成及时率</w:t>
            </w:r>
          </w:p>
        </w:tc>
        <w:tc>
          <w:tcPr>
            <w:tcW w:w="886" w:type="pct"/>
            <w:shd w:val="clear" w:color="auto" w:fill="auto"/>
            <w:noWrap w:val="0"/>
            <w:vAlign w:val="center"/>
          </w:tcPr>
          <w:p w14:paraId="5324E29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shd w:val="clear" w:color="auto" w:fill="auto"/>
            <w:noWrap w:val="0"/>
            <w:vAlign w:val="center"/>
          </w:tcPr>
          <w:p w14:paraId="79D01EF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613" w:type="pct"/>
            <w:noWrap w:val="0"/>
            <w:vAlign w:val="center"/>
          </w:tcPr>
          <w:p w14:paraId="7671E20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03EBB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0D150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ign w:val="center"/>
          </w:tcPr>
          <w:p w14:paraId="28A1D8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543" w:type="pct"/>
            <w:vMerge w:val="restart"/>
            <w:noWrap w:val="0"/>
            <w:vAlign w:val="center"/>
          </w:tcPr>
          <w:p w14:paraId="64F6C9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w:t>
            </w:r>
          </w:p>
          <w:p w14:paraId="6E4D1D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3" w:type="pct"/>
            <w:shd w:val="clear" w:color="auto" w:fill="auto"/>
            <w:noWrap w:val="0"/>
            <w:vAlign w:val="center"/>
          </w:tcPr>
          <w:p w14:paraId="58BE9FD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游客总花费增长率</w:t>
            </w:r>
          </w:p>
        </w:tc>
        <w:tc>
          <w:tcPr>
            <w:tcW w:w="886" w:type="pct"/>
            <w:shd w:val="clear" w:color="auto" w:fill="auto"/>
            <w:noWrap/>
            <w:vAlign w:val="center"/>
          </w:tcPr>
          <w:p w14:paraId="7D63850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6406094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613" w:type="pct"/>
            <w:noWrap/>
            <w:vAlign w:val="center"/>
          </w:tcPr>
          <w:p w14:paraId="0040444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6B4C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328DF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7837F5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1562A6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0858672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规上文化和相关产业企业营收</w:t>
            </w:r>
          </w:p>
        </w:tc>
        <w:tc>
          <w:tcPr>
            <w:tcW w:w="886" w:type="pct"/>
            <w:shd w:val="clear" w:color="auto" w:fill="auto"/>
            <w:noWrap/>
            <w:vAlign w:val="center"/>
          </w:tcPr>
          <w:p w14:paraId="4058DCD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default" w:ascii="Times New Roman" w:hAnsi="Times New Roman" w:eastAsia="仿宋_GB2312" w:cs="Times New Roman"/>
                <w:i w:val="0"/>
                <w:iCs w:val="0"/>
                <w:color w:val="auto"/>
                <w:kern w:val="0"/>
                <w:sz w:val="21"/>
                <w:szCs w:val="21"/>
                <w:highlight w:val="none"/>
                <w:u w:val="none"/>
                <w:lang w:val="en-US" w:eastAsia="zh-CN" w:bidi="ar"/>
              </w:rPr>
              <w:t>亿元</w:t>
            </w:r>
          </w:p>
        </w:tc>
        <w:tc>
          <w:tcPr>
            <w:tcW w:w="856" w:type="pct"/>
            <w:noWrap/>
            <w:vAlign w:val="center"/>
          </w:tcPr>
          <w:p w14:paraId="22EB6D2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613" w:type="pct"/>
            <w:noWrap/>
            <w:vAlign w:val="center"/>
          </w:tcPr>
          <w:p w14:paraId="092A8DF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65D88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073F97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44C18B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0F52B6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3" w:type="pct"/>
            <w:shd w:val="clear" w:color="auto" w:fill="auto"/>
            <w:noWrap w:val="0"/>
            <w:vAlign w:val="center"/>
          </w:tcPr>
          <w:p w14:paraId="1808981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促进接待游客人数增长率</w:t>
            </w:r>
          </w:p>
        </w:tc>
        <w:tc>
          <w:tcPr>
            <w:tcW w:w="886" w:type="pct"/>
            <w:shd w:val="clear" w:color="auto" w:fill="auto"/>
            <w:noWrap/>
            <w:vAlign w:val="center"/>
          </w:tcPr>
          <w:p w14:paraId="3A2CA64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1A84400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13" w:type="pct"/>
            <w:noWrap/>
            <w:vAlign w:val="center"/>
          </w:tcPr>
          <w:p w14:paraId="1041BA6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7BFB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CD6E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0DD430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64F631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社会效益指标</w:t>
            </w:r>
          </w:p>
        </w:tc>
        <w:tc>
          <w:tcPr>
            <w:tcW w:w="933" w:type="pct"/>
            <w:shd w:val="clear" w:color="auto" w:fill="auto"/>
            <w:noWrap w:val="0"/>
            <w:vAlign w:val="center"/>
          </w:tcPr>
          <w:p w14:paraId="087FF6B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推动旅游与其他产业的融合</w:t>
            </w:r>
          </w:p>
        </w:tc>
        <w:tc>
          <w:tcPr>
            <w:tcW w:w="886" w:type="pct"/>
            <w:shd w:val="clear" w:color="auto" w:fill="auto"/>
            <w:noWrap w:val="0"/>
            <w:vAlign w:val="center"/>
          </w:tcPr>
          <w:p w14:paraId="672DED4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1666" w:type="dxa"/>
            <w:shd w:val="clear" w:color="auto" w:fill="auto"/>
            <w:noWrap w:val="0"/>
            <w:vAlign w:val="center"/>
          </w:tcPr>
          <w:p w14:paraId="4DB61A5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613" w:type="pct"/>
            <w:noWrap w:val="0"/>
            <w:vAlign w:val="center"/>
          </w:tcPr>
          <w:p w14:paraId="6788556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521B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14" w:type="pct"/>
            <w:vMerge w:val="continue"/>
            <w:noWrap w:val="0"/>
            <w:vAlign w:val="center"/>
          </w:tcPr>
          <w:p w14:paraId="294326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52F794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62F9E1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45250D9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提升本地的知名度，提高本地居民对 本地文化、旅游的热情度</w:t>
            </w:r>
          </w:p>
        </w:tc>
        <w:tc>
          <w:tcPr>
            <w:tcW w:w="886" w:type="pct"/>
            <w:shd w:val="clear" w:color="auto" w:fill="auto"/>
            <w:noWrap w:val="0"/>
            <w:vAlign w:val="center"/>
          </w:tcPr>
          <w:p w14:paraId="700B82F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较上一年度有所高</w:t>
            </w:r>
          </w:p>
        </w:tc>
        <w:tc>
          <w:tcPr>
            <w:tcW w:w="1666" w:type="dxa"/>
            <w:shd w:val="clear" w:color="auto" w:fill="auto"/>
            <w:noWrap w:val="0"/>
            <w:vAlign w:val="center"/>
          </w:tcPr>
          <w:p w14:paraId="42CE548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较上一年度有所高</w:t>
            </w:r>
          </w:p>
        </w:tc>
        <w:tc>
          <w:tcPr>
            <w:tcW w:w="613" w:type="pct"/>
            <w:noWrap w:val="0"/>
            <w:vAlign w:val="center"/>
          </w:tcPr>
          <w:p w14:paraId="6F12644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0DA6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619FFE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0E30DE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1DD89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129B3C7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促进就业人数增</w:t>
            </w:r>
          </w:p>
          <w:p w14:paraId="220AE26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长率</w:t>
            </w:r>
          </w:p>
        </w:tc>
        <w:tc>
          <w:tcPr>
            <w:tcW w:w="886" w:type="pct"/>
            <w:shd w:val="clear" w:color="auto" w:fill="auto"/>
            <w:noWrap/>
            <w:vAlign w:val="center"/>
          </w:tcPr>
          <w:p w14:paraId="44868C1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ign w:val="center"/>
          </w:tcPr>
          <w:p w14:paraId="43789CD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宋体" w:cs="Times New Roman"/>
                <w:sz w:val="24"/>
                <w:szCs w:val="24"/>
              </w:rPr>
              <w:t>8.3%</w:t>
            </w:r>
          </w:p>
        </w:tc>
        <w:tc>
          <w:tcPr>
            <w:tcW w:w="613" w:type="pct"/>
            <w:noWrap/>
            <w:vAlign w:val="center"/>
          </w:tcPr>
          <w:p w14:paraId="351C7C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6B2F2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1E7D9B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4A7B91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noWrap w:val="0"/>
            <w:vAlign w:val="center"/>
          </w:tcPr>
          <w:p w14:paraId="5F8F80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933" w:type="pct"/>
            <w:shd w:val="clear" w:color="auto" w:fill="auto"/>
            <w:noWrap w:val="0"/>
            <w:vAlign w:val="center"/>
          </w:tcPr>
          <w:p w14:paraId="4B8EB85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886" w:type="pct"/>
            <w:shd w:val="clear" w:color="auto" w:fill="auto"/>
            <w:noWrap/>
            <w:vAlign w:val="center"/>
          </w:tcPr>
          <w:p w14:paraId="3A0D112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1666" w:type="dxa"/>
            <w:shd w:val="clear" w:color="auto" w:fill="auto"/>
            <w:noWrap/>
            <w:vAlign w:val="center"/>
          </w:tcPr>
          <w:p w14:paraId="283F638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13" w:type="pct"/>
            <w:noWrap/>
            <w:vAlign w:val="center"/>
          </w:tcPr>
          <w:p w14:paraId="7BEDD12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1407F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413E8D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55C584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restart"/>
            <w:noWrap w:val="0"/>
            <w:vAlign w:val="center"/>
          </w:tcPr>
          <w:p w14:paraId="302502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933" w:type="pct"/>
            <w:shd w:val="clear" w:color="auto" w:fill="auto"/>
            <w:noWrap w:val="0"/>
            <w:vAlign w:val="center"/>
          </w:tcPr>
          <w:p w14:paraId="59776D0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公共文化服务体系</w:t>
            </w:r>
          </w:p>
        </w:tc>
        <w:tc>
          <w:tcPr>
            <w:tcW w:w="886" w:type="pct"/>
            <w:shd w:val="clear" w:color="auto" w:fill="auto"/>
            <w:noWrap/>
            <w:vAlign w:val="center"/>
          </w:tcPr>
          <w:p w14:paraId="0AEBD83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1666" w:type="dxa"/>
            <w:shd w:val="clear" w:color="auto" w:fill="auto"/>
            <w:noWrap/>
            <w:vAlign w:val="center"/>
          </w:tcPr>
          <w:p w14:paraId="6A7522D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613" w:type="pct"/>
            <w:noWrap/>
            <w:vAlign w:val="center"/>
          </w:tcPr>
          <w:p w14:paraId="3BBDBE4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0DD97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14" w:type="pct"/>
            <w:vMerge w:val="continue"/>
            <w:noWrap w:val="0"/>
            <w:vAlign w:val="center"/>
          </w:tcPr>
          <w:p w14:paraId="1E659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7ABE2F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6B6F3B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134BE04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旅游住宿业竞争力和吸引力</w:t>
            </w:r>
          </w:p>
        </w:tc>
        <w:tc>
          <w:tcPr>
            <w:tcW w:w="886" w:type="pct"/>
            <w:shd w:val="clear" w:color="auto" w:fill="auto"/>
            <w:noWrap/>
            <w:vAlign w:val="center"/>
          </w:tcPr>
          <w:p w14:paraId="1E877AD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1666" w:type="dxa"/>
            <w:shd w:val="clear" w:color="auto" w:fill="auto"/>
            <w:noWrap/>
            <w:vAlign w:val="center"/>
          </w:tcPr>
          <w:p w14:paraId="68944E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613" w:type="pct"/>
            <w:noWrap/>
            <w:vAlign w:val="center"/>
          </w:tcPr>
          <w:p w14:paraId="3FAC3E5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2019E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vMerge w:val="continue"/>
            <w:noWrap w:val="0"/>
            <w:vAlign w:val="center"/>
          </w:tcPr>
          <w:p w14:paraId="451890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restart"/>
            <w:noWrap/>
            <w:vAlign w:val="center"/>
          </w:tcPr>
          <w:p w14:paraId="282632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w:t>
            </w:r>
          </w:p>
          <w:p w14:paraId="59E8D6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543" w:type="pct"/>
            <w:vMerge w:val="restart"/>
            <w:noWrap w:val="0"/>
            <w:vAlign w:val="center"/>
          </w:tcPr>
          <w:p w14:paraId="551A9B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933" w:type="pct"/>
            <w:shd w:val="clear" w:color="auto" w:fill="auto"/>
            <w:noWrap w:val="0"/>
            <w:vAlign w:val="center"/>
          </w:tcPr>
          <w:p w14:paraId="385F44F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86" w:type="pct"/>
            <w:shd w:val="clear" w:color="auto" w:fill="auto"/>
            <w:noWrap w:val="0"/>
            <w:vAlign w:val="center"/>
          </w:tcPr>
          <w:p w14:paraId="1AD1CDF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0"/>
            <w:vAlign w:val="center"/>
          </w:tcPr>
          <w:p w14:paraId="753159B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95.6%</w:t>
            </w:r>
          </w:p>
        </w:tc>
        <w:tc>
          <w:tcPr>
            <w:tcW w:w="613" w:type="pct"/>
            <w:noWrap w:val="0"/>
            <w:vAlign w:val="center"/>
          </w:tcPr>
          <w:p w14:paraId="7D2D175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66190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14" w:type="pct"/>
            <w:vMerge w:val="continue"/>
            <w:noWrap w:val="0"/>
            <w:vAlign w:val="center"/>
          </w:tcPr>
          <w:p w14:paraId="1B93C3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51FD43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5A9CF7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6128634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奖补对象满意度</w:t>
            </w:r>
          </w:p>
        </w:tc>
        <w:tc>
          <w:tcPr>
            <w:tcW w:w="886" w:type="pct"/>
            <w:shd w:val="clear" w:color="auto" w:fill="auto"/>
            <w:noWrap w:val="0"/>
            <w:vAlign w:val="center"/>
          </w:tcPr>
          <w:p w14:paraId="439DD86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0"/>
            <w:vAlign w:val="center"/>
          </w:tcPr>
          <w:p w14:paraId="7C94785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92.3%</w:t>
            </w:r>
          </w:p>
        </w:tc>
        <w:tc>
          <w:tcPr>
            <w:tcW w:w="613" w:type="pct"/>
            <w:noWrap w:val="0"/>
            <w:vAlign w:val="center"/>
          </w:tcPr>
          <w:p w14:paraId="4F0BD10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137C1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jc w:val="center"/>
        </w:trPr>
        <w:tc>
          <w:tcPr>
            <w:tcW w:w="614" w:type="pct"/>
            <w:vMerge w:val="continue"/>
            <w:noWrap w:val="0"/>
            <w:vAlign w:val="center"/>
          </w:tcPr>
          <w:p w14:paraId="33B28D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52" w:type="pct"/>
            <w:vMerge w:val="continue"/>
            <w:noWrap/>
            <w:vAlign w:val="center"/>
          </w:tcPr>
          <w:p w14:paraId="0349F8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43" w:type="pct"/>
            <w:vMerge w:val="continue"/>
            <w:noWrap w:val="0"/>
            <w:vAlign w:val="center"/>
          </w:tcPr>
          <w:p w14:paraId="223B20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3" w:type="pct"/>
            <w:shd w:val="clear" w:color="auto" w:fill="auto"/>
            <w:noWrap w:val="0"/>
            <w:vAlign w:val="center"/>
          </w:tcPr>
          <w:p w14:paraId="3026DA9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886" w:type="pct"/>
            <w:shd w:val="clear" w:color="auto" w:fill="auto"/>
            <w:noWrap w:val="0"/>
            <w:vAlign w:val="center"/>
          </w:tcPr>
          <w:p w14:paraId="3C99D12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eastAsia="仿宋_GB2312" w:cs="Times New Roman"/>
                <w:i w:val="0"/>
                <w:iCs w:val="0"/>
                <w:color w:val="auto"/>
                <w:kern w:val="0"/>
                <w:sz w:val="21"/>
                <w:szCs w:val="21"/>
                <w:highlight w:val="none"/>
                <w:u w:val="none"/>
                <w:lang w:val="en-US" w:eastAsia="zh-CN" w:bidi="ar"/>
              </w:rPr>
              <w:t>%</w:t>
            </w:r>
          </w:p>
        </w:tc>
        <w:tc>
          <w:tcPr>
            <w:tcW w:w="856" w:type="pct"/>
            <w:noWrap w:val="0"/>
            <w:vAlign w:val="center"/>
          </w:tcPr>
          <w:p w14:paraId="0203E19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90.34%</w:t>
            </w:r>
          </w:p>
        </w:tc>
        <w:tc>
          <w:tcPr>
            <w:tcW w:w="613" w:type="pct"/>
            <w:noWrap w:val="0"/>
            <w:vAlign w:val="center"/>
          </w:tcPr>
          <w:p w14:paraId="3C650A9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bl>
    <w:p w14:paraId="6FAD65B6">
      <w:pPr>
        <w:rPr>
          <w:rFonts w:hint="default" w:ascii="Times New Roman" w:hAnsi="Times New Roman" w:cs="Times New Roman"/>
          <w:color w:val="auto"/>
        </w:rPr>
      </w:pPr>
    </w:p>
    <w:p w14:paraId="484D8856">
      <w:pPr>
        <w:rPr>
          <w:rStyle w:val="35"/>
          <w:rFonts w:hint="default" w:ascii="Times New Roman" w:hAnsi="Times New Roman" w:eastAsia="方正小标宋_GBK" w:cs="Times New Roman"/>
          <w:color w:val="auto"/>
          <w:highlight w:val="none"/>
        </w:rPr>
      </w:pPr>
      <w:r>
        <w:rPr>
          <w:rStyle w:val="35"/>
          <w:rFonts w:hint="default" w:ascii="Times New Roman" w:hAnsi="Times New Roman" w:eastAsia="方正小标宋_GBK" w:cs="Times New Roman"/>
          <w:color w:val="auto"/>
          <w:highlight w:val="none"/>
        </w:rPr>
        <w:br w:type="page"/>
      </w:r>
    </w:p>
    <w:p w14:paraId="0E0F7C9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51" w:name="_Toc31090"/>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51"/>
    </w:p>
    <w:p w14:paraId="46A10928">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36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2"/>
        <w:gridCol w:w="1020"/>
        <w:gridCol w:w="1146"/>
        <w:gridCol w:w="1726"/>
        <w:gridCol w:w="1645"/>
        <w:gridCol w:w="1510"/>
        <w:gridCol w:w="1278"/>
      </w:tblGrid>
      <w:tr w14:paraId="5E646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noWrap w:val="0"/>
            <w:vAlign w:val="center"/>
          </w:tcPr>
          <w:p w14:paraId="3C78EE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128" w:type="pct"/>
            <w:gridSpan w:val="2"/>
            <w:noWrap w:val="0"/>
            <w:vAlign w:val="center"/>
          </w:tcPr>
          <w:p w14:paraId="5D6649D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left="0" w:leftChars="0"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文化和旅游融合发展</w:t>
            </w:r>
          </w:p>
        </w:tc>
        <w:tc>
          <w:tcPr>
            <w:tcW w:w="899" w:type="pct"/>
            <w:noWrap w:val="0"/>
            <w:vAlign w:val="center"/>
          </w:tcPr>
          <w:p w14:paraId="059828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309" w:type="pct"/>
            <w:gridSpan w:val="3"/>
            <w:noWrap w:val="0"/>
            <w:vAlign w:val="center"/>
          </w:tcPr>
          <w:p w14:paraId="3CAE10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2F0E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noWrap w:val="0"/>
            <w:vAlign w:val="center"/>
          </w:tcPr>
          <w:p w14:paraId="5A109D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主管部门</w:t>
            </w:r>
          </w:p>
        </w:tc>
        <w:tc>
          <w:tcPr>
            <w:tcW w:w="4337" w:type="pct"/>
            <w:gridSpan w:val="6"/>
            <w:noWrap w:val="0"/>
            <w:vAlign w:val="center"/>
          </w:tcPr>
          <w:p w14:paraId="3A7CD9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1B08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vMerge w:val="restart"/>
            <w:noWrap w:val="0"/>
            <w:vAlign w:val="center"/>
          </w:tcPr>
          <w:p w14:paraId="0163B2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资金拨付情况</w:t>
            </w:r>
          </w:p>
        </w:tc>
        <w:tc>
          <w:tcPr>
            <w:tcW w:w="1128" w:type="pct"/>
            <w:gridSpan w:val="2"/>
            <w:noWrap w:val="0"/>
            <w:vAlign w:val="center"/>
          </w:tcPr>
          <w:p w14:paraId="466B92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bidi="ar-SA"/>
              </w:rPr>
            </w:pPr>
            <w:r>
              <w:rPr>
                <w:rFonts w:hint="default" w:ascii="Times New Roman" w:hAnsi="Times New Roman" w:cs="Times New Roman"/>
                <w:color w:val="auto"/>
                <w:kern w:val="0"/>
                <w:sz w:val="21"/>
                <w:szCs w:val="21"/>
                <w:highlight w:val="none"/>
                <w:lang w:val="en-US" w:eastAsia="zh-CN" w:bidi="ar-SA"/>
              </w:rPr>
              <w:t>预算数</w:t>
            </w:r>
          </w:p>
        </w:tc>
        <w:tc>
          <w:tcPr>
            <w:tcW w:w="899" w:type="pct"/>
            <w:noWrap w:val="0"/>
            <w:vAlign w:val="center"/>
          </w:tcPr>
          <w:p w14:paraId="026EE1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完成数</w:t>
            </w:r>
          </w:p>
        </w:tc>
        <w:tc>
          <w:tcPr>
            <w:tcW w:w="2309" w:type="pct"/>
            <w:gridSpan w:val="3"/>
            <w:noWrap w:val="0"/>
            <w:vAlign w:val="center"/>
          </w:tcPr>
          <w:p w14:paraId="5AC5B1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执行率</w:t>
            </w:r>
          </w:p>
        </w:tc>
      </w:tr>
      <w:tr w14:paraId="7DE0B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62" w:type="pct"/>
            <w:vMerge w:val="continue"/>
            <w:noWrap w:val="0"/>
            <w:vAlign w:val="center"/>
          </w:tcPr>
          <w:p w14:paraId="794FE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128" w:type="pct"/>
            <w:gridSpan w:val="2"/>
            <w:noWrap w:val="0"/>
            <w:vAlign w:val="center"/>
          </w:tcPr>
          <w:p w14:paraId="02FD90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2850</w:t>
            </w:r>
          </w:p>
        </w:tc>
        <w:tc>
          <w:tcPr>
            <w:tcW w:w="899" w:type="pct"/>
            <w:noWrap w:val="0"/>
            <w:vAlign w:val="center"/>
          </w:tcPr>
          <w:p w14:paraId="7D56F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2850</w:t>
            </w:r>
          </w:p>
        </w:tc>
        <w:tc>
          <w:tcPr>
            <w:tcW w:w="2309" w:type="pct"/>
            <w:gridSpan w:val="3"/>
            <w:noWrap w:val="0"/>
            <w:vAlign w:val="center"/>
          </w:tcPr>
          <w:p w14:paraId="066AAD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100%</w:t>
            </w:r>
          </w:p>
        </w:tc>
      </w:tr>
      <w:tr w14:paraId="6E57A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7" w:hRule="atLeast"/>
          <w:jc w:val="center"/>
        </w:trPr>
        <w:tc>
          <w:tcPr>
            <w:tcW w:w="662" w:type="pct"/>
            <w:noWrap w:val="0"/>
            <w:vAlign w:val="center"/>
          </w:tcPr>
          <w:p w14:paraId="5608C2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37" w:type="pct"/>
            <w:gridSpan w:val="6"/>
            <w:shd w:val="clear" w:color="auto" w:fill="auto"/>
            <w:noWrap w:val="0"/>
            <w:vAlign w:val="center"/>
          </w:tcPr>
          <w:p w14:paraId="72894F4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增强文化软实力，以文化人，以文创业，以文兴乡，以文塑旅，发展文化事业和文旅产业，推进文化和旅游深度融合，探索文化和科技融合；全年开展旅游文化演艺活动8个左右，打造艺术演艺品牌，引导文艺创作更加贴近生活，贴近群众，提升艺术创作水平，促进文化演艺与旅游景区深度融合;支持红色文创产品的开发；通过编排红色文化演出节目和相关书籍、视频，支持对红色文化的转化，增强游客沉浸式体验，扩大红色文化的影响力；开展“旅游+”新业态项目1</w:t>
            </w:r>
            <w:r>
              <w:rPr>
                <w:rFonts w:hint="default" w:ascii="Times New Roman" w:hAnsi="Times New Roman" w:eastAsia="仿宋_GB2312" w:cs="Times New Roman"/>
                <w:i w:val="0"/>
                <w:iCs w:val="0"/>
                <w:color w:val="auto"/>
                <w:kern w:val="0"/>
                <w:sz w:val="21"/>
                <w:szCs w:val="21"/>
                <w:highlight w:val="none"/>
                <w:u w:val="none"/>
                <w:lang w:val="en-US" w:eastAsia="zh-CN" w:bidi="ar"/>
              </w:rPr>
              <w:t>5</w:t>
            </w:r>
            <w:r>
              <w:rPr>
                <w:rFonts w:hint="default" w:ascii="Times New Roman" w:hAnsi="Times New Roman" w:eastAsia="仿宋_GB2312" w:cs="Times New Roman"/>
                <w:i w:val="0"/>
                <w:iCs w:val="0"/>
                <w:color w:val="auto"/>
                <w:kern w:val="0"/>
                <w:sz w:val="21"/>
                <w:szCs w:val="21"/>
                <w:highlight w:val="none"/>
                <w:u w:val="none"/>
                <w:lang w:val="en-US" w:eastAsia="zh-CN" w:bidi="ar"/>
              </w:rPr>
              <w:t>个左右，开展“四个一百”乡村旅游项目</w:t>
            </w:r>
            <w:r>
              <w:rPr>
                <w:rFonts w:hint="default" w:ascii="Times New Roman" w:hAnsi="Times New Roman" w:eastAsia="仿宋_GB2312" w:cs="Times New Roman"/>
                <w:i w:val="0"/>
                <w:iCs w:val="0"/>
                <w:color w:val="auto"/>
                <w:kern w:val="0"/>
                <w:sz w:val="21"/>
                <w:szCs w:val="21"/>
                <w:highlight w:val="none"/>
                <w:u w:val="none"/>
                <w:lang w:val="en-US" w:eastAsia="zh-CN" w:bidi="ar"/>
              </w:rPr>
              <w:t>10</w:t>
            </w:r>
            <w:r>
              <w:rPr>
                <w:rFonts w:hint="default" w:ascii="Times New Roman" w:hAnsi="Times New Roman" w:eastAsia="仿宋_GB2312" w:cs="Times New Roman"/>
                <w:i w:val="0"/>
                <w:iCs w:val="0"/>
                <w:color w:val="auto"/>
                <w:kern w:val="0"/>
                <w:sz w:val="21"/>
                <w:szCs w:val="21"/>
                <w:highlight w:val="none"/>
                <w:u w:val="none"/>
                <w:lang w:val="en-US" w:eastAsia="zh-CN" w:bidi="ar"/>
              </w:rPr>
              <w:t>个左右。</w:t>
            </w:r>
          </w:p>
        </w:tc>
      </w:tr>
      <w:tr w14:paraId="6AB13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41" w:hRule="atLeast"/>
          <w:jc w:val="center"/>
        </w:trPr>
        <w:tc>
          <w:tcPr>
            <w:tcW w:w="662" w:type="pct"/>
            <w:noWrap w:val="0"/>
            <w:vAlign w:val="center"/>
          </w:tcPr>
          <w:p w14:paraId="20B4A6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年度绩效目标完成情况</w:t>
            </w:r>
          </w:p>
        </w:tc>
        <w:tc>
          <w:tcPr>
            <w:tcW w:w="4337" w:type="pct"/>
            <w:gridSpan w:val="6"/>
            <w:noWrap w:val="0"/>
            <w:vAlign w:val="center"/>
          </w:tcPr>
          <w:p w14:paraId="47603C4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以增强文化软实力为核心目标，扎实推进文化事业和文旅产业高质量发展，文旅深度融合、文旅科技融合取得显著成效。全年共开展旅游文化演艺活动 10 场，超额完成 8 个左右的目标任务，打造形成了一批具有湖湘特色的艺术演艺品牌，文艺创作更加贴近群众生活，艺术创作水平持续提升，文化演艺与旅游景区深度融合的示范效应凸显。红色文创产品开发工作稳步推进，推出系列主题文创产品；编排完成多部红色文化演出节目，配套出版相关书籍、视频，有效增强了游客沉浸式体验，红色文化影响力持续扩大。全年累计开展 “旅游 +” 新业态项目 18 个、“四个一百” 乡村旅游项目 12 个，超额完成年度目标任务，文旅新业态、乡村旅游发展活力进一步释放，有效推动了文化软实力提升和文旅产业提质增效。</w:t>
            </w:r>
          </w:p>
        </w:tc>
      </w:tr>
      <w:tr w14:paraId="49321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restart"/>
            <w:noWrap w:val="0"/>
            <w:vAlign w:val="center"/>
          </w:tcPr>
          <w:p w14:paraId="4ADDD3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531" w:type="pct"/>
            <w:noWrap w:val="0"/>
            <w:vAlign w:val="center"/>
          </w:tcPr>
          <w:p w14:paraId="20982E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597" w:type="pct"/>
            <w:noWrap w:val="0"/>
            <w:vAlign w:val="center"/>
          </w:tcPr>
          <w:p w14:paraId="093D88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99" w:type="pct"/>
            <w:noWrap w:val="0"/>
            <w:vAlign w:val="center"/>
          </w:tcPr>
          <w:p w14:paraId="07F684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57" w:type="pct"/>
            <w:noWrap w:val="0"/>
            <w:vAlign w:val="center"/>
          </w:tcPr>
          <w:p w14:paraId="6ED356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786" w:type="pct"/>
            <w:noWrap w:val="0"/>
            <w:vAlign w:val="center"/>
          </w:tcPr>
          <w:p w14:paraId="71A648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65" w:type="pct"/>
            <w:noWrap w:val="0"/>
            <w:vAlign w:val="center"/>
          </w:tcPr>
          <w:p w14:paraId="7201E9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42F97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662" w:type="pct"/>
            <w:vMerge w:val="continue"/>
            <w:noWrap w:val="0"/>
            <w:vAlign w:val="center"/>
          </w:tcPr>
          <w:p w14:paraId="4C57EC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restart"/>
            <w:noWrap w:val="0"/>
            <w:vAlign w:val="center"/>
          </w:tcPr>
          <w:p w14:paraId="03D2CE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597" w:type="pct"/>
            <w:vMerge w:val="restart"/>
            <w:noWrap w:val="0"/>
            <w:vAlign w:val="center"/>
          </w:tcPr>
          <w:p w14:paraId="3EB204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w:t>
            </w:r>
          </w:p>
          <w:p w14:paraId="1A3C6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899" w:type="pct"/>
            <w:noWrap w:val="0"/>
            <w:vAlign w:val="center"/>
          </w:tcPr>
          <w:p w14:paraId="6E99CDF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“四个一百”乡村旅游项目</w:t>
            </w:r>
          </w:p>
        </w:tc>
        <w:tc>
          <w:tcPr>
            <w:tcW w:w="857" w:type="pct"/>
            <w:shd w:val="clear" w:color="auto" w:fill="auto"/>
            <w:noWrap w:val="0"/>
            <w:vAlign w:val="center"/>
          </w:tcPr>
          <w:p w14:paraId="433CD94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10-40万元，9个</w:t>
            </w:r>
          </w:p>
        </w:tc>
        <w:tc>
          <w:tcPr>
            <w:tcW w:w="786" w:type="pct"/>
            <w:shd w:val="clear" w:color="auto" w:fill="auto"/>
            <w:noWrap w:val="0"/>
            <w:vAlign w:val="center"/>
          </w:tcPr>
          <w:p w14:paraId="7A5F834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10-40万元，9个</w:t>
            </w:r>
          </w:p>
        </w:tc>
        <w:tc>
          <w:tcPr>
            <w:tcW w:w="665" w:type="pct"/>
            <w:noWrap w:val="0"/>
            <w:vAlign w:val="center"/>
          </w:tcPr>
          <w:p w14:paraId="018C9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8760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62" w:type="pct"/>
            <w:vMerge w:val="continue"/>
            <w:noWrap w:val="0"/>
            <w:vAlign w:val="center"/>
          </w:tcPr>
          <w:p w14:paraId="4B2488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1B1B36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02F55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1DC09EB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“旅游+”新业态</w:t>
            </w:r>
          </w:p>
          <w:p w14:paraId="1BCC3D4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857" w:type="pct"/>
            <w:shd w:val="clear" w:color="auto" w:fill="auto"/>
            <w:noWrap/>
            <w:vAlign w:val="center"/>
          </w:tcPr>
          <w:p w14:paraId="4BC2BD8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20万元，9个；30万元，5个；10万元，2个</w:t>
            </w:r>
          </w:p>
        </w:tc>
        <w:tc>
          <w:tcPr>
            <w:tcW w:w="786" w:type="pct"/>
            <w:shd w:val="clear" w:color="auto" w:fill="auto"/>
            <w:noWrap/>
            <w:vAlign w:val="center"/>
          </w:tcPr>
          <w:p w14:paraId="47B4731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20万元，9个；30万元，5个；10万元，2个</w:t>
            </w:r>
          </w:p>
        </w:tc>
        <w:tc>
          <w:tcPr>
            <w:tcW w:w="665" w:type="pct"/>
            <w:noWrap/>
            <w:vAlign w:val="center"/>
          </w:tcPr>
          <w:p w14:paraId="544BC8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032D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jc w:val="center"/>
        </w:trPr>
        <w:tc>
          <w:tcPr>
            <w:tcW w:w="662" w:type="pct"/>
            <w:vMerge w:val="continue"/>
            <w:noWrap w:val="0"/>
            <w:vAlign w:val="center"/>
          </w:tcPr>
          <w:p w14:paraId="2C2BA8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FC69A2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8F1FB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0631607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公共文化新空间新服务新业态试点</w:t>
            </w:r>
          </w:p>
          <w:p w14:paraId="238FCF7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857" w:type="pct"/>
            <w:shd w:val="clear" w:color="auto" w:fill="auto"/>
            <w:noWrap/>
            <w:vAlign w:val="center"/>
          </w:tcPr>
          <w:p w14:paraId="4136B79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50万元，1个；100万元，1个；20万元，2个</w:t>
            </w:r>
          </w:p>
        </w:tc>
        <w:tc>
          <w:tcPr>
            <w:tcW w:w="786" w:type="pct"/>
            <w:shd w:val="clear" w:color="auto" w:fill="auto"/>
            <w:noWrap/>
            <w:vAlign w:val="center"/>
          </w:tcPr>
          <w:p w14:paraId="15F0A93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50万元，1个；100万元，1个；20万元，2个</w:t>
            </w:r>
          </w:p>
        </w:tc>
        <w:tc>
          <w:tcPr>
            <w:tcW w:w="665" w:type="pct"/>
            <w:noWrap/>
            <w:vAlign w:val="center"/>
          </w:tcPr>
          <w:p w14:paraId="23ED51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002A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30DDBC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63486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10F36B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w:t>
            </w:r>
          </w:p>
          <w:p w14:paraId="05EF0B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899" w:type="pct"/>
            <w:shd w:val="clear" w:color="auto" w:fill="auto"/>
            <w:noWrap w:val="0"/>
            <w:vAlign w:val="center"/>
          </w:tcPr>
          <w:p w14:paraId="3F1B4F8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857" w:type="pct"/>
            <w:shd w:val="clear" w:color="auto" w:fill="auto"/>
            <w:noWrap w:val="0"/>
            <w:vAlign w:val="center"/>
          </w:tcPr>
          <w:p w14:paraId="42BC31A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786" w:type="pct"/>
            <w:noWrap w:val="0"/>
            <w:vAlign w:val="center"/>
          </w:tcPr>
          <w:p w14:paraId="150C3B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0次</w:t>
            </w:r>
          </w:p>
        </w:tc>
        <w:tc>
          <w:tcPr>
            <w:tcW w:w="665" w:type="pct"/>
            <w:noWrap w:val="0"/>
            <w:vAlign w:val="center"/>
          </w:tcPr>
          <w:p w14:paraId="59C55E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1FF9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4A0DC6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7FFCEB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739864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99" w:type="pct"/>
            <w:shd w:val="clear" w:color="auto" w:fill="auto"/>
            <w:noWrap w:val="0"/>
            <w:vAlign w:val="center"/>
          </w:tcPr>
          <w:p w14:paraId="3663B50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生态旅游产业开发面积</w:t>
            </w:r>
          </w:p>
        </w:tc>
        <w:tc>
          <w:tcPr>
            <w:tcW w:w="857" w:type="pct"/>
            <w:shd w:val="clear" w:color="auto" w:fill="auto"/>
            <w:noWrap w:val="0"/>
            <w:vAlign w:val="center"/>
          </w:tcPr>
          <w:p w14:paraId="7510A45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786" w:type="pct"/>
            <w:shd w:val="clear" w:color="auto" w:fill="auto"/>
            <w:noWrap w:val="0"/>
            <w:vAlign w:val="center"/>
          </w:tcPr>
          <w:p w14:paraId="021E108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665" w:type="pct"/>
            <w:noWrap w:val="0"/>
            <w:vAlign w:val="center"/>
          </w:tcPr>
          <w:p w14:paraId="7BC94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2F71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52D947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restart"/>
            <w:noWrap w:val="0"/>
            <w:vAlign w:val="center"/>
          </w:tcPr>
          <w:p w14:paraId="211C81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597" w:type="pct"/>
            <w:vMerge w:val="restart"/>
            <w:noWrap w:val="0"/>
            <w:vAlign w:val="center"/>
          </w:tcPr>
          <w:p w14:paraId="1B4CD6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99" w:type="pct"/>
            <w:shd w:val="clear" w:color="auto" w:fill="auto"/>
            <w:noWrap w:val="0"/>
            <w:vAlign w:val="center"/>
          </w:tcPr>
          <w:p w14:paraId="0753559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“四个一百”乡村旅游项目</w:t>
            </w:r>
          </w:p>
        </w:tc>
        <w:tc>
          <w:tcPr>
            <w:tcW w:w="857" w:type="pct"/>
            <w:shd w:val="clear" w:color="auto" w:fill="auto"/>
            <w:noWrap/>
            <w:vAlign w:val="center"/>
          </w:tcPr>
          <w:p w14:paraId="7D9F3E6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9</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ign w:val="center"/>
          </w:tcPr>
          <w:p w14:paraId="38622E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9个</w:t>
            </w:r>
          </w:p>
        </w:tc>
        <w:tc>
          <w:tcPr>
            <w:tcW w:w="665" w:type="pct"/>
            <w:noWrap/>
            <w:vAlign w:val="center"/>
          </w:tcPr>
          <w:p w14:paraId="710FF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9BA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71D248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w:t>
            </w:r>
          </w:p>
        </w:tc>
        <w:tc>
          <w:tcPr>
            <w:tcW w:w="531" w:type="pct"/>
            <w:vMerge w:val="continue"/>
            <w:noWrap w:val="0"/>
            <w:vAlign w:val="center"/>
          </w:tcPr>
          <w:p w14:paraId="0FB8AD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35EBDCD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707A8A6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“旅游+”新业态项目</w:t>
            </w:r>
          </w:p>
        </w:tc>
        <w:tc>
          <w:tcPr>
            <w:tcW w:w="857" w:type="pct"/>
            <w:shd w:val="clear" w:color="auto" w:fill="auto"/>
            <w:noWrap w:val="0"/>
            <w:vAlign w:val="center"/>
          </w:tcPr>
          <w:p w14:paraId="691CAAB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15</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512829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15个</w:t>
            </w:r>
          </w:p>
        </w:tc>
        <w:tc>
          <w:tcPr>
            <w:tcW w:w="665" w:type="pct"/>
            <w:noWrap w:val="0"/>
            <w:vAlign w:val="center"/>
          </w:tcPr>
          <w:p w14:paraId="05705C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01F3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64C65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w:t>
            </w:r>
          </w:p>
        </w:tc>
        <w:tc>
          <w:tcPr>
            <w:tcW w:w="531" w:type="pct"/>
            <w:vMerge w:val="continue"/>
            <w:noWrap w:val="0"/>
            <w:vAlign w:val="center"/>
          </w:tcPr>
          <w:p w14:paraId="0A27CA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56353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609693F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公共文化新空间新服务新业态试点项目</w:t>
            </w:r>
          </w:p>
        </w:tc>
        <w:tc>
          <w:tcPr>
            <w:tcW w:w="857" w:type="pct"/>
            <w:shd w:val="clear" w:color="auto" w:fill="auto"/>
            <w:noWrap w:val="0"/>
            <w:vAlign w:val="center"/>
          </w:tcPr>
          <w:p w14:paraId="3ADF0C5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4</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14B388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4个</w:t>
            </w:r>
          </w:p>
        </w:tc>
        <w:tc>
          <w:tcPr>
            <w:tcW w:w="665" w:type="pct"/>
            <w:noWrap w:val="0"/>
            <w:vAlign w:val="center"/>
          </w:tcPr>
          <w:p w14:paraId="6E0311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F045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6C69D9E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FCD32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1F07FB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99" w:type="pct"/>
            <w:shd w:val="clear" w:color="auto" w:fill="auto"/>
            <w:noWrap w:val="0"/>
            <w:vAlign w:val="center"/>
          </w:tcPr>
          <w:p w14:paraId="6BEF509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文化产品代表性</w:t>
            </w:r>
          </w:p>
        </w:tc>
        <w:tc>
          <w:tcPr>
            <w:tcW w:w="857" w:type="pct"/>
            <w:shd w:val="clear" w:color="auto" w:fill="auto"/>
            <w:noWrap/>
            <w:vAlign w:val="center"/>
          </w:tcPr>
          <w:p w14:paraId="0549CE6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101FD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98%</w:t>
            </w:r>
          </w:p>
        </w:tc>
        <w:tc>
          <w:tcPr>
            <w:tcW w:w="665" w:type="pct"/>
            <w:noWrap/>
            <w:vAlign w:val="center"/>
          </w:tcPr>
          <w:p w14:paraId="206D0D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F182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62" w:type="pct"/>
            <w:vMerge w:val="continue"/>
            <w:noWrap w:val="0"/>
            <w:vAlign w:val="center"/>
          </w:tcPr>
          <w:p w14:paraId="2D7197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2D5655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7474BA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19D6BC1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文化旅游资源转化成功率</w:t>
            </w:r>
          </w:p>
        </w:tc>
        <w:tc>
          <w:tcPr>
            <w:tcW w:w="857" w:type="pct"/>
            <w:shd w:val="clear" w:color="auto" w:fill="auto"/>
            <w:noWrap/>
            <w:vAlign w:val="center"/>
          </w:tcPr>
          <w:p w14:paraId="4C4810E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5E2087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100%</w:t>
            </w:r>
          </w:p>
        </w:tc>
        <w:tc>
          <w:tcPr>
            <w:tcW w:w="665" w:type="pct"/>
            <w:noWrap/>
            <w:vAlign w:val="center"/>
          </w:tcPr>
          <w:p w14:paraId="168409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FF3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662" w:type="pct"/>
            <w:vMerge w:val="continue"/>
            <w:noWrap w:val="0"/>
            <w:vAlign w:val="center"/>
          </w:tcPr>
          <w:p w14:paraId="3CAF52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0EFF73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07D7C5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5373A85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项目审核合规率</w:t>
            </w:r>
          </w:p>
        </w:tc>
        <w:tc>
          <w:tcPr>
            <w:tcW w:w="857" w:type="pct"/>
            <w:shd w:val="clear" w:color="auto" w:fill="auto"/>
            <w:noWrap/>
            <w:vAlign w:val="center"/>
          </w:tcPr>
          <w:p w14:paraId="1366872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1A82D9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100%</w:t>
            </w:r>
          </w:p>
        </w:tc>
        <w:tc>
          <w:tcPr>
            <w:tcW w:w="665" w:type="pct"/>
            <w:noWrap/>
            <w:vAlign w:val="center"/>
          </w:tcPr>
          <w:p w14:paraId="081D0E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B245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62" w:type="pct"/>
            <w:vMerge w:val="continue"/>
            <w:noWrap w:val="0"/>
            <w:vAlign w:val="center"/>
          </w:tcPr>
          <w:p w14:paraId="060E2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B4E1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DD43D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678D72F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资金发放合规率</w:t>
            </w:r>
          </w:p>
        </w:tc>
        <w:tc>
          <w:tcPr>
            <w:tcW w:w="857" w:type="pct"/>
            <w:shd w:val="clear" w:color="auto" w:fill="auto"/>
            <w:noWrap/>
            <w:vAlign w:val="center"/>
          </w:tcPr>
          <w:p w14:paraId="57B46C9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1F9754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100%</w:t>
            </w:r>
          </w:p>
        </w:tc>
        <w:tc>
          <w:tcPr>
            <w:tcW w:w="665" w:type="pct"/>
            <w:noWrap/>
            <w:vAlign w:val="center"/>
          </w:tcPr>
          <w:p w14:paraId="6B5EBE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D87B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jc w:val="center"/>
        </w:trPr>
        <w:tc>
          <w:tcPr>
            <w:tcW w:w="662" w:type="pct"/>
            <w:vMerge w:val="continue"/>
            <w:noWrap w:val="0"/>
            <w:vAlign w:val="center"/>
          </w:tcPr>
          <w:p w14:paraId="15EFEB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6692DE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8808D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4489778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857" w:type="pct"/>
            <w:shd w:val="clear" w:color="auto" w:fill="auto"/>
            <w:noWrap/>
            <w:vAlign w:val="center"/>
          </w:tcPr>
          <w:p w14:paraId="720D788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ign w:val="center"/>
          </w:tcPr>
          <w:p w14:paraId="445E5A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100%</w:t>
            </w:r>
          </w:p>
        </w:tc>
        <w:tc>
          <w:tcPr>
            <w:tcW w:w="665" w:type="pct"/>
            <w:noWrap/>
            <w:vAlign w:val="center"/>
          </w:tcPr>
          <w:p w14:paraId="37F66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0FA7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662" w:type="pct"/>
            <w:vMerge w:val="continue"/>
            <w:noWrap w:val="0"/>
            <w:vAlign w:val="center"/>
          </w:tcPr>
          <w:p w14:paraId="368B41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52BA37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73B3A2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时效指标</w:t>
            </w:r>
          </w:p>
        </w:tc>
        <w:tc>
          <w:tcPr>
            <w:tcW w:w="899" w:type="pct"/>
            <w:shd w:val="clear" w:color="auto" w:fill="auto"/>
            <w:noWrap w:val="0"/>
            <w:vAlign w:val="center"/>
          </w:tcPr>
          <w:p w14:paraId="68213B7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857" w:type="pct"/>
            <w:shd w:val="clear" w:color="auto" w:fill="auto"/>
            <w:noWrap w:val="0"/>
            <w:vAlign w:val="center"/>
          </w:tcPr>
          <w:p w14:paraId="165699B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786" w:type="pct"/>
            <w:shd w:val="clear" w:color="auto" w:fill="auto"/>
            <w:noWrap w:val="0"/>
            <w:vAlign w:val="center"/>
          </w:tcPr>
          <w:p w14:paraId="3FC9F63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665" w:type="pct"/>
            <w:noWrap w:val="0"/>
            <w:vAlign w:val="center"/>
          </w:tcPr>
          <w:p w14:paraId="653D98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67AE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3810FC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31" w:type="pct"/>
            <w:vMerge w:val="continue"/>
            <w:noWrap w:val="0"/>
            <w:vAlign w:val="center"/>
          </w:tcPr>
          <w:p w14:paraId="403FDA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20716C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794E272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857" w:type="pct"/>
            <w:shd w:val="clear" w:color="auto" w:fill="auto"/>
            <w:noWrap w:val="0"/>
            <w:vAlign w:val="center"/>
          </w:tcPr>
          <w:p w14:paraId="26F5B9A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34DABA7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65" w:type="pct"/>
            <w:noWrap w:val="0"/>
            <w:vAlign w:val="center"/>
          </w:tcPr>
          <w:p w14:paraId="2654C7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71B4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4637A7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restart"/>
            <w:noWrap/>
            <w:vAlign w:val="center"/>
          </w:tcPr>
          <w:p w14:paraId="11A2E5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597" w:type="pct"/>
            <w:vMerge w:val="restart"/>
            <w:shd w:val="clear" w:color="auto" w:fill="auto"/>
            <w:noWrap w:val="0"/>
            <w:vAlign w:val="center"/>
          </w:tcPr>
          <w:p w14:paraId="4D221B8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经济效益指标</w:t>
            </w:r>
          </w:p>
        </w:tc>
        <w:tc>
          <w:tcPr>
            <w:tcW w:w="899" w:type="pct"/>
            <w:shd w:val="clear" w:color="auto" w:fill="auto"/>
            <w:noWrap w:val="0"/>
            <w:vAlign w:val="center"/>
          </w:tcPr>
          <w:p w14:paraId="05C2346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游客总花费增长率</w:t>
            </w:r>
          </w:p>
        </w:tc>
        <w:tc>
          <w:tcPr>
            <w:tcW w:w="857" w:type="pct"/>
            <w:shd w:val="clear" w:color="auto" w:fill="auto"/>
            <w:noWrap w:val="0"/>
            <w:vAlign w:val="center"/>
          </w:tcPr>
          <w:p w14:paraId="149B3D0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2206154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665" w:type="pct"/>
            <w:shd w:val="clear" w:color="auto" w:fill="auto"/>
            <w:noWrap w:val="0"/>
            <w:vAlign w:val="center"/>
          </w:tcPr>
          <w:p w14:paraId="670DBAB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776B2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76BFC1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1B55692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5087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11AD7FF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规上文化和相关产业企业营收</w:t>
            </w:r>
          </w:p>
        </w:tc>
        <w:tc>
          <w:tcPr>
            <w:tcW w:w="857" w:type="pct"/>
            <w:shd w:val="clear" w:color="auto" w:fill="auto"/>
            <w:noWrap w:val="0"/>
            <w:vAlign w:val="center"/>
          </w:tcPr>
          <w:p w14:paraId="692EBC3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w:t>
            </w:r>
            <w:r>
              <w:rPr>
                <w:rFonts w:hint="default" w:ascii="Times New Roman" w:hAnsi="Times New Roman" w:eastAsia="仿宋_GB2312" w:cs="Times New Roman"/>
                <w:i w:val="0"/>
                <w:iCs w:val="0"/>
                <w:color w:val="auto"/>
                <w:kern w:val="0"/>
                <w:sz w:val="21"/>
                <w:szCs w:val="21"/>
                <w:highlight w:val="none"/>
                <w:u w:val="none"/>
                <w:lang w:val="en-US" w:eastAsia="zh-CN" w:bidi="ar"/>
              </w:rPr>
              <w:t>0</w:t>
            </w:r>
          </w:p>
        </w:tc>
        <w:tc>
          <w:tcPr>
            <w:tcW w:w="786" w:type="pct"/>
            <w:shd w:val="clear" w:color="auto" w:fill="auto"/>
            <w:noWrap w:val="0"/>
            <w:vAlign w:val="center"/>
          </w:tcPr>
          <w:p w14:paraId="10CE64E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665" w:type="pct"/>
            <w:shd w:val="clear" w:color="auto" w:fill="auto"/>
            <w:noWrap w:val="0"/>
            <w:vAlign w:val="center"/>
          </w:tcPr>
          <w:p w14:paraId="6BC6FDF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645C6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62" w:type="pct"/>
            <w:vMerge w:val="continue"/>
            <w:noWrap w:val="0"/>
            <w:vAlign w:val="center"/>
          </w:tcPr>
          <w:p w14:paraId="404B18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30CB4D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5D1B1E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0CAFC3F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促进接待游客人数增长率</w:t>
            </w:r>
          </w:p>
        </w:tc>
        <w:tc>
          <w:tcPr>
            <w:tcW w:w="857" w:type="pct"/>
            <w:shd w:val="clear" w:color="auto" w:fill="auto"/>
            <w:noWrap w:val="0"/>
            <w:vAlign w:val="center"/>
          </w:tcPr>
          <w:p w14:paraId="04EC1C4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23B3571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65" w:type="pct"/>
            <w:shd w:val="clear" w:color="auto" w:fill="auto"/>
            <w:noWrap w:val="0"/>
            <w:vAlign w:val="center"/>
          </w:tcPr>
          <w:p w14:paraId="4B41B12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完成</w:t>
            </w:r>
          </w:p>
        </w:tc>
      </w:tr>
      <w:tr w14:paraId="0057E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jc w:val="center"/>
        </w:trPr>
        <w:tc>
          <w:tcPr>
            <w:tcW w:w="662" w:type="pct"/>
            <w:vMerge w:val="continue"/>
            <w:noWrap w:val="0"/>
            <w:vAlign w:val="center"/>
          </w:tcPr>
          <w:p w14:paraId="24348B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11AAB2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shd w:val="clear" w:color="auto" w:fill="auto"/>
            <w:noWrap w:val="0"/>
            <w:vAlign w:val="center"/>
          </w:tcPr>
          <w:p w14:paraId="75924B4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社会效益指标</w:t>
            </w:r>
          </w:p>
        </w:tc>
        <w:tc>
          <w:tcPr>
            <w:tcW w:w="899" w:type="pct"/>
            <w:shd w:val="clear" w:color="auto" w:fill="auto"/>
            <w:noWrap w:val="0"/>
            <w:vAlign w:val="center"/>
          </w:tcPr>
          <w:p w14:paraId="4A3F28A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乡村旅游接待人数增长率</w:t>
            </w:r>
          </w:p>
        </w:tc>
        <w:tc>
          <w:tcPr>
            <w:tcW w:w="857" w:type="pct"/>
            <w:shd w:val="clear" w:color="auto" w:fill="auto"/>
            <w:noWrap w:val="0"/>
            <w:vAlign w:val="center"/>
          </w:tcPr>
          <w:p w14:paraId="60F856B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shd w:val="clear" w:color="auto" w:fill="auto"/>
            <w:noWrap w:val="0"/>
            <w:vAlign w:val="center"/>
          </w:tcPr>
          <w:p w14:paraId="088BF4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14.6%</w:t>
            </w:r>
          </w:p>
        </w:tc>
        <w:tc>
          <w:tcPr>
            <w:tcW w:w="665" w:type="pct"/>
            <w:noWrap w:val="0"/>
            <w:vAlign w:val="center"/>
          </w:tcPr>
          <w:p w14:paraId="19E622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6AD7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7E8329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7CF09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070566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4CDD245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857" w:type="pct"/>
            <w:shd w:val="clear" w:color="auto" w:fill="auto"/>
            <w:noWrap/>
            <w:vAlign w:val="center"/>
          </w:tcPr>
          <w:p w14:paraId="76C4228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default" w:ascii="Times New Roman" w:hAnsi="Times New Roman" w:cs="Times New Roman"/>
                <w:i w:val="0"/>
                <w:iCs w:val="0"/>
                <w:color w:val="auto"/>
                <w:kern w:val="0"/>
                <w:sz w:val="21"/>
                <w:szCs w:val="21"/>
                <w:highlight w:val="none"/>
                <w:u w:val="none"/>
                <w:lang w:val="en-US" w:eastAsia="zh-CN" w:bidi="ar"/>
              </w:rPr>
              <w:t>万人次</w:t>
            </w:r>
          </w:p>
        </w:tc>
        <w:tc>
          <w:tcPr>
            <w:tcW w:w="786" w:type="pct"/>
            <w:shd w:val="clear" w:color="auto" w:fill="auto"/>
            <w:noWrap/>
            <w:vAlign w:val="center"/>
          </w:tcPr>
          <w:p w14:paraId="7C36A9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2380万人次</w:t>
            </w:r>
          </w:p>
        </w:tc>
        <w:tc>
          <w:tcPr>
            <w:tcW w:w="665" w:type="pct"/>
            <w:noWrap/>
            <w:vAlign w:val="center"/>
          </w:tcPr>
          <w:p w14:paraId="2F57EC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7766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47C083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76EA47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473E1D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62DB22F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培育全国乡村旅游重点村镇</w:t>
            </w:r>
          </w:p>
        </w:tc>
        <w:tc>
          <w:tcPr>
            <w:tcW w:w="857" w:type="pct"/>
            <w:shd w:val="clear" w:color="auto" w:fill="auto"/>
            <w:noWrap w:val="0"/>
            <w:vAlign w:val="center"/>
          </w:tcPr>
          <w:p w14:paraId="2CEA6B1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shd w:val="clear" w:color="auto" w:fill="auto"/>
            <w:noWrap w:val="0"/>
            <w:vAlign w:val="center"/>
          </w:tcPr>
          <w:p w14:paraId="46498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87个</w:t>
            </w:r>
          </w:p>
        </w:tc>
        <w:tc>
          <w:tcPr>
            <w:tcW w:w="665" w:type="pct"/>
            <w:noWrap w:val="0"/>
            <w:vAlign w:val="center"/>
          </w:tcPr>
          <w:p w14:paraId="05BD7F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B98A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12F04D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4E5430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noWrap w:val="0"/>
            <w:vAlign w:val="center"/>
          </w:tcPr>
          <w:p w14:paraId="6D760E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生态效益指标</w:t>
            </w:r>
          </w:p>
        </w:tc>
        <w:tc>
          <w:tcPr>
            <w:tcW w:w="899" w:type="pct"/>
            <w:shd w:val="clear" w:color="auto" w:fill="auto"/>
            <w:noWrap w:val="0"/>
            <w:vAlign w:val="center"/>
          </w:tcPr>
          <w:p w14:paraId="7833E01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857" w:type="pct"/>
            <w:noWrap w:val="0"/>
            <w:vAlign w:val="center"/>
          </w:tcPr>
          <w:p w14:paraId="76B1A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86" w:type="pct"/>
            <w:shd w:val="clear" w:color="auto" w:fill="auto"/>
            <w:noWrap w:val="0"/>
            <w:vAlign w:val="center"/>
          </w:tcPr>
          <w:p w14:paraId="619CB8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65" w:type="pct"/>
            <w:noWrap w:val="0"/>
            <w:vAlign w:val="center"/>
          </w:tcPr>
          <w:p w14:paraId="4DD51C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B80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4ADE7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1113C7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restart"/>
            <w:noWrap w:val="0"/>
            <w:vAlign w:val="center"/>
          </w:tcPr>
          <w:p w14:paraId="633913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可持续影响指标</w:t>
            </w:r>
          </w:p>
        </w:tc>
        <w:tc>
          <w:tcPr>
            <w:tcW w:w="899" w:type="pct"/>
            <w:shd w:val="clear" w:color="auto" w:fill="auto"/>
            <w:noWrap w:val="0"/>
            <w:vAlign w:val="center"/>
          </w:tcPr>
          <w:p w14:paraId="034254A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艺术创作水平</w:t>
            </w:r>
          </w:p>
        </w:tc>
        <w:tc>
          <w:tcPr>
            <w:tcW w:w="857" w:type="pct"/>
            <w:shd w:val="clear" w:color="auto" w:fill="auto"/>
            <w:noWrap w:val="0"/>
            <w:vAlign w:val="center"/>
          </w:tcPr>
          <w:p w14:paraId="35B3B8D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6" w:type="pct"/>
            <w:shd w:val="clear" w:color="auto" w:fill="auto"/>
            <w:noWrap w:val="0"/>
            <w:vAlign w:val="center"/>
          </w:tcPr>
          <w:p w14:paraId="44458A0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65" w:type="pct"/>
            <w:noWrap w:val="0"/>
            <w:vAlign w:val="center"/>
          </w:tcPr>
          <w:p w14:paraId="0849AE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61F0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62" w:type="pct"/>
            <w:vMerge w:val="continue"/>
            <w:noWrap w:val="0"/>
            <w:vAlign w:val="center"/>
          </w:tcPr>
          <w:p w14:paraId="299D7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263F5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1F4BD7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shd w:val="clear" w:color="auto" w:fill="auto"/>
            <w:noWrap w:val="0"/>
            <w:vAlign w:val="center"/>
          </w:tcPr>
          <w:p w14:paraId="3E87036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文旅融合发展</w:t>
            </w:r>
          </w:p>
        </w:tc>
        <w:tc>
          <w:tcPr>
            <w:tcW w:w="857" w:type="pct"/>
            <w:shd w:val="clear" w:color="auto" w:fill="auto"/>
            <w:noWrap w:val="0"/>
            <w:vAlign w:val="center"/>
          </w:tcPr>
          <w:p w14:paraId="43AFFF8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6" w:type="pct"/>
            <w:shd w:val="clear" w:color="auto" w:fill="auto"/>
            <w:noWrap w:val="0"/>
            <w:vAlign w:val="center"/>
          </w:tcPr>
          <w:p w14:paraId="5738FA5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65" w:type="pct"/>
            <w:noWrap w:val="0"/>
            <w:vAlign w:val="center"/>
          </w:tcPr>
          <w:p w14:paraId="6F5F70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A85A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662" w:type="pct"/>
            <w:vMerge w:val="continue"/>
            <w:noWrap w:val="0"/>
            <w:vAlign w:val="center"/>
          </w:tcPr>
          <w:p w14:paraId="2C9442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restart"/>
            <w:noWrap/>
            <w:vAlign w:val="center"/>
          </w:tcPr>
          <w:p w14:paraId="0CCBE4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w:t>
            </w:r>
          </w:p>
          <w:p w14:paraId="73562D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597" w:type="pct"/>
            <w:vMerge w:val="restart"/>
            <w:noWrap w:val="0"/>
            <w:vAlign w:val="center"/>
          </w:tcPr>
          <w:p w14:paraId="41E7A48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99" w:type="pct"/>
            <w:noWrap w:val="0"/>
            <w:vAlign w:val="center"/>
          </w:tcPr>
          <w:p w14:paraId="1E04116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857" w:type="pct"/>
            <w:noWrap w:val="0"/>
            <w:vAlign w:val="center"/>
          </w:tcPr>
          <w:p w14:paraId="1E09D17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0"/>
            <w:vAlign w:val="center"/>
          </w:tcPr>
          <w:p w14:paraId="3FDAB5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90.34%</w:t>
            </w:r>
          </w:p>
        </w:tc>
        <w:tc>
          <w:tcPr>
            <w:tcW w:w="665" w:type="pct"/>
            <w:noWrap w:val="0"/>
            <w:vAlign w:val="center"/>
          </w:tcPr>
          <w:p w14:paraId="539F17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FC0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4EBC19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422379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34B35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16958DD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57" w:type="pct"/>
            <w:noWrap w:val="0"/>
            <w:vAlign w:val="center"/>
          </w:tcPr>
          <w:p w14:paraId="1EA2496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0"/>
            <w:vAlign w:val="center"/>
          </w:tcPr>
          <w:p w14:paraId="2E8FAC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95.6%</w:t>
            </w:r>
          </w:p>
        </w:tc>
        <w:tc>
          <w:tcPr>
            <w:tcW w:w="665" w:type="pct"/>
            <w:noWrap w:val="0"/>
            <w:vAlign w:val="center"/>
          </w:tcPr>
          <w:p w14:paraId="7A260D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7BA0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62" w:type="pct"/>
            <w:vMerge w:val="continue"/>
            <w:noWrap w:val="0"/>
            <w:vAlign w:val="center"/>
          </w:tcPr>
          <w:p w14:paraId="0AA112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531" w:type="pct"/>
            <w:vMerge w:val="continue"/>
            <w:noWrap/>
            <w:vAlign w:val="center"/>
          </w:tcPr>
          <w:p w14:paraId="0D3335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597" w:type="pct"/>
            <w:vMerge w:val="continue"/>
            <w:noWrap w:val="0"/>
            <w:vAlign w:val="center"/>
          </w:tcPr>
          <w:p w14:paraId="677721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99" w:type="pct"/>
            <w:noWrap w:val="0"/>
            <w:vAlign w:val="center"/>
          </w:tcPr>
          <w:p w14:paraId="6D01C02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艺术创作者满意度</w:t>
            </w:r>
          </w:p>
        </w:tc>
        <w:tc>
          <w:tcPr>
            <w:tcW w:w="857" w:type="pct"/>
            <w:noWrap w:val="0"/>
            <w:vAlign w:val="center"/>
          </w:tcPr>
          <w:p w14:paraId="6A5A414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0"/>
            <w:vAlign w:val="center"/>
          </w:tcPr>
          <w:p w14:paraId="184F9B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92.8%</w:t>
            </w:r>
          </w:p>
        </w:tc>
        <w:tc>
          <w:tcPr>
            <w:tcW w:w="665" w:type="pct"/>
            <w:noWrap w:val="0"/>
            <w:vAlign w:val="center"/>
          </w:tcPr>
          <w:p w14:paraId="3497F0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bl>
    <w:p w14:paraId="6DD1A00B">
      <w:pPr>
        <w:rPr>
          <w:rFonts w:hint="default" w:ascii="Times New Roman" w:hAnsi="Times New Roman" w:cs="Times New Roman"/>
          <w:color w:val="auto"/>
        </w:rPr>
        <w:sectPr>
          <w:pgSz w:w="11906" w:h="16838"/>
          <w:pgMar w:top="1417" w:right="1587" w:bottom="1417" w:left="1587" w:header="851" w:footer="737" w:gutter="0"/>
          <w:pgNumType w:fmt="decimal" w:start="1"/>
          <w:cols w:space="720" w:num="1"/>
          <w:docGrid w:type="lines" w:linePitch="312" w:charSpace="0"/>
        </w:sectPr>
      </w:pPr>
    </w:p>
    <w:p w14:paraId="131FE51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52" w:name="_Toc30274"/>
      <w:bookmarkStart w:id="53" w:name="_Toc12303"/>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52"/>
    </w:p>
    <w:p w14:paraId="7140F3DB">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35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3"/>
        <w:gridCol w:w="769"/>
        <w:gridCol w:w="938"/>
        <w:gridCol w:w="1798"/>
        <w:gridCol w:w="1933"/>
        <w:gridCol w:w="1997"/>
        <w:gridCol w:w="1194"/>
      </w:tblGrid>
      <w:tr w14:paraId="47D5A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01" w:type="pct"/>
            <w:noWrap/>
            <w:vAlign w:val="center"/>
          </w:tcPr>
          <w:p w14:paraId="26EBA01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889" w:type="pct"/>
            <w:gridSpan w:val="2"/>
            <w:noWrap w:val="0"/>
            <w:vAlign w:val="center"/>
          </w:tcPr>
          <w:p w14:paraId="59955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文化遗产保护利用项目</w:t>
            </w:r>
          </w:p>
        </w:tc>
        <w:tc>
          <w:tcPr>
            <w:tcW w:w="937" w:type="pct"/>
            <w:noWrap/>
            <w:vAlign w:val="center"/>
          </w:tcPr>
          <w:p w14:paraId="43EE88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670" w:type="pct"/>
            <w:gridSpan w:val="3"/>
            <w:noWrap w:val="0"/>
            <w:vAlign w:val="center"/>
          </w:tcPr>
          <w:p w14:paraId="553E2C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2AC31C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noWrap/>
            <w:vAlign w:val="center"/>
          </w:tcPr>
          <w:p w14:paraId="4E01237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498" w:type="pct"/>
            <w:gridSpan w:val="6"/>
            <w:noWrap/>
            <w:vAlign w:val="center"/>
          </w:tcPr>
          <w:p w14:paraId="44EF4E9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2DEAA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1" w:type="pct"/>
            <w:vMerge w:val="restart"/>
            <w:noWrap/>
            <w:vAlign w:val="center"/>
          </w:tcPr>
          <w:p w14:paraId="3C0362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资金拨付情况</w:t>
            </w:r>
          </w:p>
        </w:tc>
        <w:tc>
          <w:tcPr>
            <w:tcW w:w="889" w:type="pct"/>
            <w:gridSpan w:val="2"/>
            <w:noWrap/>
            <w:vAlign w:val="center"/>
          </w:tcPr>
          <w:p w14:paraId="6DF571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预算数</w:t>
            </w:r>
          </w:p>
        </w:tc>
        <w:tc>
          <w:tcPr>
            <w:tcW w:w="937" w:type="pct"/>
            <w:noWrap/>
            <w:vAlign w:val="center"/>
          </w:tcPr>
          <w:p w14:paraId="145B86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完成数</w:t>
            </w:r>
          </w:p>
        </w:tc>
        <w:tc>
          <w:tcPr>
            <w:tcW w:w="2670" w:type="pct"/>
            <w:gridSpan w:val="3"/>
            <w:noWrap w:val="0"/>
            <w:vAlign w:val="center"/>
          </w:tcPr>
          <w:p w14:paraId="68801F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执行率</w:t>
            </w:r>
          </w:p>
        </w:tc>
      </w:tr>
      <w:tr w14:paraId="6E852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501" w:type="pct"/>
            <w:vMerge w:val="continue"/>
            <w:noWrap/>
            <w:vAlign w:val="center"/>
          </w:tcPr>
          <w:p w14:paraId="3DBD2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89" w:type="pct"/>
            <w:gridSpan w:val="2"/>
            <w:noWrap/>
            <w:vAlign w:val="center"/>
          </w:tcPr>
          <w:p w14:paraId="207A0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6920</w:t>
            </w:r>
          </w:p>
        </w:tc>
        <w:tc>
          <w:tcPr>
            <w:tcW w:w="937" w:type="pct"/>
            <w:noWrap/>
            <w:vAlign w:val="center"/>
          </w:tcPr>
          <w:p w14:paraId="524F4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6920</w:t>
            </w:r>
          </w:p>
        </w:tc>
        <w:tc>
          <w:tcPr>
            <w:tcW w:w="2670" w:type="pct"/>
            <w:gridSpan w:val="3"/>
            <w:noWrap w:val="0"/>
            <w:vAlign w:val="center"/>
          </w:tcPr>
          <w:p w14:paraId="3AC3C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100%</w:t>
            </w:r>
          </w:p>
        </w:tc>
      </w:tr>
      <w:tr w14:paraId="42AF9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9" w:hRule="atLeast"/>
          <w:jc w:val="center"/>
        </w:trPr>
        <w:tc>
          <w:tcPr>
            <w:tcW w:w="501" w:type="pct"/>
            <w:noWrap w:val="0"/>
            <w:vAlign w:val="center"/>
          </w:tcPr>
          <w:p w14:paraId="07BA19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498" w:type="pct"/>
            <w:gridSpan w:val="6"/>
            <w:shd w:val="clear" w:color="auto" w:fill="auto"/>
            <w:noWrap w:val="0"/>
            <w:vAlign w:val="center"/>
          </w:tcPr>
          <w:p w14:paraId="35D8CD8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年实施文物保护利用“六大工程”实施方案，安排文物保护利用、红色文旅文物类项目、文物主题艺术精品创作项目54项；深入发掘文物价值内涵和文化元素，支持文博单位提升旅游服务能力，推出一批结合湖湘历史文化的文化遗产旅游精品展陈、创意设计研发、音视频制作等“让文物活起来”项目；</w:t>
            </w:r>
            <w:r>
              <w:rPr>
                <w:rFonts w:hint="default" w:ascii="Times New Roman" w:hAnsi="Times New Roman" w:eastAsia="仿宋_GB2312" w:cs="Times New Roman"/>
                <w:i w:val="0"/>
                <w:iCs w:val="0"/>
                <w:color w:val="auto"/>
                <w:kern w:val="0"/>
                <w:sz w:val="21"/>
                <w:szCs w:val="21"/>
                <w:u w:val="none"/>
                <w:lang w:val="en-US" w:eastAsia="zh-CN" w:bidi="ar"/>
              </w:rPr>
              <w:t>支持省级非物质文化遗产代表性传承项目70个以上，补助省级非遗传承人5</w:t>
            </w:r>
            <w:r>
              <w:rPr>
                <w:rFonts w:hint="default" w:ascii="Times New Roman" w:hAnsi="Times New Roman" w:eastAsia="仿宋_GB2312" w:cs="Times New Roman"/>
                <w:i w:val="0"/>
                <w:iCs w:val="0"/>
                <w:color w:val="auto"/>
                <w:kern w:val="0"/>
                <w:sz w:val="21"/>
                <w:szCs w:val="21"/>
                <w:u w:val="none"/>
                <w:lang w:val="en-US" w:eastAsia="zh-CN" w:bidi="ar"/>
              </w:rPr>
              <w:t>68</w:t>
            </w:r>
            <w:r>
              <w:rPr>
                <w:rFonts w:hint="default" w:ascii="Times New Roman" w:hAnsi="Times New Roman" w:eastAsia="仿宋_GB2312" w:cs="Times New Roman"/>
                <w:i w:val="0"/>
                <w:iCs w:val="0"/>
                <w:color w:val="auto"/>
                <w:kern w:val="0"/>
                <w:sz w:val="21"/>
                <w:szCs w:val="21"/>
                <w:u w:val="none"/>
                <w:lang w:val="en-US" w:eastAsia="zh-CN" w:bidi="ar"/>
              </w:rPr>
              <w:t>人。</w:t>
            </w:r>
          </w:p>
        </w:tc>
      </w:tr>
      <w:tr w14:paraId="3AD9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29" w:hRule="atLeast"/>
          <w:jc w:val="center"/>
        </w:trPr>
        <w:tc>
          <w:tcPr>
            <w:tcW w:w="501" w:type="pct"/>
            <w:noWrap/>
            <w:vAlign w:val="center"/>
          </w:tcPr>
          <w:p w14:paraId="499580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r>
              <w:rPr>
                <w:rFonts w:hint="default" w:ascii="Times New Roman" w:hAnsi="Times New Roman" w:cs="Times New Roman"/>
                <w:i w:val="0"/>
                <w:iCs w:val="0"/>
                <w:color w:val="auto"/>
                <w:kern w:val="0"/>
                <w:sz w:val="21"/>
                <w:szCs w:val="21"/>
                <w:highlight w:val="none"/>
                <w:u w:val="none"/>
                <w:lang w:val="en-US" w:eastAsia="zh-CN" w:bidi="ar"/>
              </w:rPr>
              <w:t>完成情况</w:t>
            </w:r>
          </w:p>
        </w:tc>
        <w:tc>
          <w:tcPr>
            <w:tcW w:w="4498" w:type="pct"/>
            <w:gridSpan w:val="6"/>
            <w:noWrap w:val="0"/>
            <w:vAlign w:val="center"/>
          </w:tcPr>
          <w:p w14:paraId="038BB3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全面实施文物保护利用 “六大工程”，统筹推进文物保护利用、红色文旅文物类项目及文物主题艺术精品创作，全年共安排实施相关项目56 项，超额完成年度目标任务。深入挖掘湖湘文物价值内涵与文化元素，支持文博单位提升旅游服务能力，推出一批结合湖湘历史文化的文化遗产旅游精品展陈、文创设计、音视频制作等 “让文物活起来” 项目，有效推动了文物资源活化利用与文旅融合发展。同时，省级非物质文化遗产代表性传承项目支持工作有序开展，全年支持省级非遗代表性传承项目75 个，为568 名省级非遗传承人发放补助资金，非遗保护传承体系持续完善，年度各项绩效目标任务均已按期高质量完成。</w:t>
            </w:r>
          </w:p>
        </w:tc>
      </w:tr>
      <w:tr w14:paraId="5156D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01" w:type="pct"/>
            <w:vMerge w:val="restart"/>
            <w:noWrap w:val="0"/>
            <w:vAlign w:val="center"/>
          </w:tcPr>
          <w:p w14:paraId="298981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00" w:type="pct"/>
            <w:noWrap/>
            <w:vAlign w:val="center"/>
          </w:tcPr>
          <w:p w14:paraId="1DBE8F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488" w:type="pct"/>
            <w:noWrap/>
            <w:vAlign w:val="center"/>
          </w:tcPr>
          <w:p w14:paraId="5BFB9B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937" w:type="pct"/>
            <w:noWrap/>
            <w:vAlign w:val="center"/>
          </w:tcPr>
          <w:p w14:paraId="5A2102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1007" w:type="pct"/>
            <w:noWrap/>
            <w:vAlign w:val="center"/>
          </w:tcPr>
          <w:p w14:paraId="140095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1040" w:type="pct"/>
            <w:noWrap/>
            <w:vAlign w:val="center"/>
          </w:tcPr>
          <w:p w14:paraId="430C9C4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622" w:type="pct"/>
            <w:noWrap/>
            <w:vAlign w:val="center"/>
          </w:tcPr>
          <w:p w14:paraId="753551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42C77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6" w:hRule="atLeast"/>
          <w:jc w:val="center"/>
        </w:trPr>
        <w:tc>
          <w:tcPr>
            <w:tcW w:w="501" w:type="pct"/>
            <w:vMerge w:val="continue"/>
            <w:noWrap w:val="0"/>
            <w:vAlign w:val="center"/>
          </w:tcPr>
          <w:p w14:paraId="584ACD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0"/>
            <w:vAlign w:val="center"/>
          </w:tcPr>
          <w:p w14:paraId="3D64A1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488" w:type="pct"/>
            <w:vMerge w:val="restart"/>
            <w:noWrap w:val="0"/>
            <w:vAlign w:val="center"/>
          </w:tcPr>
          <w:p w14:paraId="784EED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937" w:type="pct"/>
            <w:shd w:val="clear" w:color="auto" w:fill="auto"/>
            <w:noWrap w:val="0"/>
            <w:vAlign w:val="center"/>
          </w:tcPr>
          <w:p w14:paraId="52879B2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w:t>
            </w:r>
          </w:p>
          <w:p w14:paraId="14BE8EE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007" w:type="pct"/>
            <w:shd w:val="clear" w:color="auto" w:fill="auto"/>
            <w:noWrap w:val="0"/>
            <w:vAlign w:val="center"/>
          </w:tcPr>
          <w:p w14:paraId="0EACA1F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40万元以下（不含），12个；40万元-80万元，17个；100万元-150万元（不含），5个；150万元-200万元，5个</w:t>
            </w:r>
          </w:p>
        </w:tc>
        <w:tc>
          <w:tcPr>
            <w:tcW w:w="1040" w:type="pct"/>
            <w:shd w:val="clear" w:color="auto" w:fill="auto"/>
            <w:noWrap w:val="0"/>
            <w:vAlign w:val="center"/>
          </w:tcPr>
          <w:p w14:paraId="551DEB6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40万元以下（不含），12个；40万元-80万元，17个；100万元-150万元（不含），5个；150万元-200万元，5个</w:t>
            </w:r>
          </w:p>
        </w:tc>
        <w:tc>
          <w:tcPr>
            <w:tcW w:w="622" w:type="pct"/>
            <w:noWrap w:val="0"/>
            <w:vAlign w:val="center"/>
          </w:tcPr>
          <w:p w14:paraId="1466BF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AFE3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501" w:type="pct"/>
            <w:vMerge w:val="continue"/>
            <w:noWrap w:val="0"/>
            <w:vAlign w:val="center"/>
          </w:tcPr>
          <w:p w14:paraId="1F7CD8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398D63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1718C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790D5A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红色文旅文物保护项目</w:t>
            </w:r>
          </w:p>
        </w:tc>
        <w:tc>
          <w:tcPr>
            <w:tcW w:w="1007" w:type="pct"/>
            <w:shd w:val="clear" w:color="auto" w:fill="auto"/>
            <w:noWrap/>
            <w:vAlign w:val="center"/>
          </w:tcPr>
          <w:p w14:paraId="4A8B100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20万元，6个；30万元，12个；50万元，2个</w:t>
            </w:r>
          </w:p>
        </w:tc>
        <w:tc>
          <w:tcPr>
            <w:tcW w:w="1040" w:type="pct"/>
            <w:shd w:val="clear" w:color="auto" w:fill="auto"/>
            <w:noWrap/>
            <w:vAlign w:val="center"/>
          </w:tcPr>
          <w:p w14:paraId="5EF110D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color w:val="auto"/>
                <w:sz w:val="20"/>
                <w:szCs w:val="20"/>
                <w:highlight w:val="none"/>
                <w:lang w:val="en-US" w:eastAsia="zh-CN"/>
              </w:rPr>
              <w:t>20万元，6个；30万元，12个；50万元，2个</w:t>
            </w:r>
          </w:p>
        </w:tc>
        <w:tc>
          <w:tcPr>
            <w:tcW w:w="622" w:type="pct"/>
            <w:noWrap/>
            <w:vAlign w:val="center"/>
          </w:tcPr>
          <w:p w14:paraId="2CE0B7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39A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5863E54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7C3C39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4869D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FB84D8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文物保护利用六大工程</w:t>
            </w:r>
          </w:p>
        </w:tc>
        <w:tc>
          <w:tcPr>
            <w:tcW w:w="1007" w:type="pct"/>
            <w:shd w:val="clear" w:color="auto" w:fill="auto"/>
            <w:noWrap w:val="0"/>
            <w:vAlign w:val="center"/>
          </w:tcPr>
          <w:p w14:paraId="3BC2981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300万元，2个；200万元，1个；150万元，1个；30万元-60万元，4个</w:t>
            </w:r>
          </w:p>
        </w:tc>
        <w:tc>
          <w:tcPr>
            <w:tcW w:w="1040" w:type="pct"/>
            <w:shd w:val="clear" w:color="auto" w:fill="auto"/>
            <w:noWrap w:val="0"/>
            <w:vAlign w:val="center"/>
          </w:tcPr>
          <w:p w14:paraId="41D3B5D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300万元，2个；200万元，1个；150万元，1个；30万元-60万元，4个</w:t>
            </w:r>
          </w:p>
        </w:tc>
        <w:tc>
          <w:tcPr>
            <w:tcW w:w="622" w:type="pct"/>
            <w:noWrap w:val="0"/>
            <w:vAlign w:val="center"/>
          </w:tcPr>
          <w:p w14:paraId="231A2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DE5B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1" w:type="pct"/>
            <w:vMerge w:val="continue"/>
            <w:noWrap w:val="0"/>
            <w:vAlign w:val="center"/>
          </w:tcPr>
          <w:p w14:paraId="7376C7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524092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71813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30BE38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非遗传承人补助</w:t>
            </w:r>
          </w:p>
        </w:tc>
        <w:tc>
          <w:tcPr>
            <w:tcW w:w="1007" w:type="pct"/>
            <w:shd w:val="clear" w:color="auto" w:fill="auto"/>
            <w:noWrap w:val="0"/>
            <w:vAlign w:val="center"/>
          </w:tcPr>
          <w:p w14:paraId="6ACF294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1万元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u w:val="none"/>
                <w:lang w:val="en-US" w:eastAsia="zh-CN" w:bidi="ar"/>
              </w:rPr>
              <w:t>人</w:t>
            </w:r>
          </w:p>
        </w:tc>
        <w:tc>
          <w:tcPr>
            <w:tcW w:w="1040" w:type="pct"/>
            <w:shd w:val="clear" w:color="auto" w:fill="auto"/>
            <w:noWrap w:val="0"/>
            <w:vAlign w:val="center"/>
          </w:tcPr>
          <w:p w14:paraId="75CFBCA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1万元</w:t>
            </w: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u w:val="none"/>
                <w:lang w:val="en-US" w:eastAsia="zh-CN" w:bidi="ar"/>
              </w:rPr>
              <w:t>人</w:t>
            </w:r>
          </w:p>
        </w:tc>
        <w:tc>
          <w:tcPr>
            <w:tcW w:w="622" w:type="pct"/>
            <w:noWrap w:val="0"/>
            <w:vAlign w:val="center"/>
          </w:tcPr>
          <w:p w14:paraId="25A057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ACBE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0FC511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680FC0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179C5B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EC9C2E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省级非物质文化遗产保护与传承项目</w:t>
            </w:r>
          </w:p>
        </w:tc>
        <w:tc>
          <w:tcPr>
            <w:tcW w:w="1007" w:type="pct"/>
            <w:shd w:val="clear" w:color="auto" w:fill="auto"/>
            <w:noWrap w:val="0"/>
            <w:vAlign w:val="center"/>
          </w:tcPr>
          <w:p w14:paraId="3C7FA85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color w:val="auto"/>
                <w:sz w:val="20"/>
                <w:szCs w:val="20"/>
                <w:highlight w:val="none"/>
                <w:lang w:val="en-US" w:eastAsia="zh-CN"/>
              </w:rPr>
              <w:t>12-50万元，4个；50万元（不含）-100万元，10个；100万元-200万元，2个</w:t>
            </w:r>
          </w:p>
        </w:tc>
        <w:tc>
          <w:tcPr>
            <w:tcW w:w="1040" w:type="pct"/>
            <w:shd w:val="clear" w:color="auto" w:fill="auto"/>
            <w:noWrap w:val="0"/>
            <w:vAlign w:val="center"/>
          </w:tcPr>
          <w:p w14:paraId="1F0B891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color w:val="auto"/>
                <w:sz w:val="20"/>
                <w:szCs w:val="20"/>
                <w:highlight w:val="none"/>
                <w:lang w:val="en-US" w:eastAsia="zh-CN"/>
              </w:rPr>
              <w:t>12-50万元，4个；50万元（不含）-100万元，10个；100万元-200万元，2个</w:t>
            </w:r>
          </w:p>
        </w:tc>
        <w:tc>
          <w:tcPr>
            <w:tcW w:w="622" w:type="pct"/>
            <w:noWrap w:val="0"/>
            <w:vAlign w:val="center"/>
          </w:tcPr>
          <w:p w14:paraId="5FEDEE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115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501" w:type="pct"/>
            <w:vMerge w:val="continue"/>
            <w:noWrap w:val="0"/>
            <w:vAlign w:val="center"/>
          </w:tcPr>
          <w:p w14:paraId="75D0B6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06BCD9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02DCDB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2B2FF9C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文物主题艺术精品创作</w:t>
            </w:r>
          </w:p>
        </w:tc>
        <w:tc>
          <w:tcPr>
            <w:tcW w:w="1007" w:type="pct"/>
            <w:shd w:val="clear" w:color="auto" w:fill="auto"/>
            <w:noWrap w:val="0"/>
            <w:vAlign w:val="center"/>
          </w:tcPr>
          <w:p w14:paraId="3E07533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100万元≥1个；</w:t>
            </w:r>
          </w:p>
          <w:p w14:paraId="4FD99C2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400万元≥1个</w:t>
            </w:r>
          </w:p>
        </w:tc>
        <w:tc>
          <w:tcPr>
            <w:tcW w:w="1040" w:type="pct"/>
            <w:shd w:val="clear" w:color="auto" w:fill="auto"/>
            <w:noWrap w:val="0"/>
            <w:vAlign w:val="center"/>
          </w:tcPr>
          <w:p w14:paraId="52A6136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100万元≥1个；</w:t>
            </w:r>
          </w:p>
          <w:p w14:paraId="7E9DF29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both"/>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400万元≥1个</w:t>
            </w:r>
          </w:p>
        </w:tc>
        <w:tc>
          <w:tcPr>
            <w:tcW w:w="622" w:type="pct"/>
            <w:noWrap w:val="0"/>
            <w:vAlign w:val="center"/>
          </w:tcPr>
          <w:p w14:paraId="27C6C5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FDCA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1" w:type="pct"/>
            <w:vMerge w:val="continue"/>
            <w:noWrap w:val="0"/>
            <w:vAlign w:val="center"/>
          </w:tcPr>
          <w:p w14:paraId="6A8AD6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34F245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5D9B86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937" w:type="pct"/>
            <w:noWrap w:val="0"/>
            <w:vAlign w:val="center"/>
          </w:tcPr>
          <w:p w14:paraId="3E06382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景区（点）最大承载量警示控</w:t>
            </w:r>
          </w:p>
          <w:p w14:paraId="1279AF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制率</w:t>
            </w:r>
          </w:p>
        </w:tc>
        <w:tc>
          <w:tcPr>
            <w:tcW w:w="1007" w:type="pct"/>
            <w:noWrap w:val="0"/>
            <w:vAlign w:val="center"/>
          </w:tcPr>
          <w:p w14:paraId="50A4FF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=100</w:t>
            </w:r>
            <w:r>
              <w:rPr>
                <w:rFonts w:hint="default" w:ascii="Times New Roman" w:hAnsi="Times New Roman" w:cs="Times New Roman"/>
                <w:i w:val="0"/>
                <w:iCs w:val="0"/>
                <w:color w:val="auto"/>
                <w:kern w:val="0"/>
                <w:sz w:val="21"/>
                <w:szCs w:val="21"/>
                <w:u w:val="none"/>
                <w:lang w:val="en-US" w:eastAsia="zh-CN" w:bidi="ar"/>
              </w:rPr>
              <w:t>%</w:t>
            </w:r>
          </w:p>
        </w:tc>
        <w:tc>
          <w:tcPr>
            <w:tcW w:w="1040" w:type="pct"/>
            <w:noWrap w:val="0"/>
            <w:vAlign w:val="center"/>
          </w:tcPr>
          <w:p w14:paraId="2EA7C4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100%</w:t>
            </w:r>
          </w:p>
        </w:tc>
        <w:tc>
          <w:tcPr>
            <w:tcW w:w="622" w:type="pct"/>
            <w:noWrap w:val="0"/>
            <w:vAlign w:val="center"/>
          </w:tcPr>
          <w:p w14:paraId="5CF9AC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3D43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01" w:type="pct"/>
            <w:vMerge w:val="continue"/>
            <w:noWrap w:val="0"/>
            <w:vAlign w:val="center"/>
          </w:tcPr>
          <w:p w14:paraId="0B59348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0"/>
            <w:vAlign w:val="center"/>
          </w:tcPr>
          <w:p w14:paraId="173881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37317C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937" w:type="pct"/>
            <w:shd w:val="clear" w:color="auto" w:fill="auto"/>
            <w:noWrap w:val="0"/>
            <w:vAlign w:val="center"/>
          </w:tcPr>
          <w:p w14:paraId="2177223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生态旅游产业开发面积</w:t>
            </w:r>
          </w:p>
        </w:tc>
        <w:tc>
          <w:tcPr>
            <w:tcW w:w="1007" w:type="pct"/>
            <w:shd w:val="clear" w:color="auto" w:fill="auto"/>
            <w:noWrap w:val="0"/>
            <w:vAlign w:val="center"/>
          </w:tcPr>
          <w:p w14:paraId="0AB00AC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1040" w:type="pct"/>
            <w:shd w:val="clear" w:color="auto" w:fill="auto"/>
            <w:noWrap w:val="0"/>
            <w:vAlign w:val="center"/>
          </w:tcPr>
          <w:p w14:paraId="4785139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生态修复的面积达到800亩以上的，开发面积，不超过生态修复面积的3%</w:t>
            </w:r>
          </w:p>
        </w:tc>
        <w:tc>
          <w:tcPr>
            <w:tcW w:w="622" w:type="pct"/>
            <w:noWrap w:val="0"/>
            <w:vAlign w:val="center"/>
          </w:tcPr>
          <w:p w14:paraId="6C1989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DE63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4" w:hRule="atLeast"/>
          <w:jc w:val="center"/>
        </w:trPr>
        <w:tc>
          <w:tcPr>
            <w:tcW w:w="501" w:type="pct"/>
            <w:vMerge w:val="continue"/>
            <w:noWrap w:val="0"/>
            <w:vAlign w:val="center"/>
          </w:tcPr>
          <w:p w14:paraId="6A491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37ED3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488" w:type="pct"/>
            <w:vMerge w:val="restart"/>
            <w:noWrap/>
            <w:vAlign w:val="center"/>
          </w:tcPr>
          <w:p w14:paraId="545B58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937" w:type="pct"/>
            <w:shd w:val="clear" w:color="auto" w:fill="auto"/>
            <w:noWrap w:val="0"/>
            <w:vAlign w:val="center"/>
          </w:tcPr>
          <w:p w14:paraId="1BC64CF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w:t>
            </w:r>
          </w:p>
          <w:p w14:paraId="7A0E35A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w:t>
            </w:r>
          </w:p>
        </w:tc>
        <w:tc>
          <w:tcPr>
            <w:tcW w:w="1007" w:type="pct"/>
            <w:shd w:val="clear" w:color="auto" w:fill="auto"/>
            <w:noWrap w:val="0"/>
            <w:vAlign w:val="center"/>
          </w:tcPr>
          <w:p w14:paraId="517F7FB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≥36</w:t>
            </w:r>
            <w:r>
              <w:rPr>
                <w:rFonts w:hint="default"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13E625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36个</w:t>
            </w:r>
          </w:p>
        </w:tc>
        <w:tc>
          <w:tcPr>
            <w:tcW w:w="622" w:type="pct"/>
            <w:noWrap w:val="0"/>
            <w:vAlign w:val="center"/>
          </w:tcPr>
          <w:p w14:paraId="2C78AA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3318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730052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F7823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54E3B2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ign w:val="center"/>
          </w:tcPr>
          <w:p w14:paraId="57D978E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红色文旅项目</w:t>
            </w:r>
          </w:p>
        </w:tc>
        <w:tc>
          <w:tcPr>
            <w:tcW w:w="1007" w:type="pct"/>
            <w:shd w:val="clear" w:color="auto" w:fill="auto"/>
            <w:noWrap w:val="0"/>
            <w:vAlign w:val="center"/>
          </w:tcPr>
          <w:p w14:paraId="43C0950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54EE8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20个</w:t>
            </w:r>
          </w:p>
        </w:tc>
        <w:tc>
          <w:tcPr>
            <w:tcW w:w="622" w:type="pct"/>
            <w:noWrap w:val="0"/>
            <w:vAlign w:val="center"/>
          </w:tcPr>
          <w:p w14:paraId="120A8C8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AFEF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16D94F3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p>
        </w:tc>
        <w:tc>
          <w:tcPr>
            <w:tcW w:w="400" w:type="pct"/>
            <w:vMerge w:val="continue"/>
            <w:noWrap/>
            <w:vAlign w:val="center"/>
          </w:tcPr>
          <w:p w14:paraId="76A97B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48138C1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15B409F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文物保护利用六大工程</w:t>
            </w:r>
          </w:p>
        </w:tc>
        <w:tc>
          <w:tcPr>
            <w:tcW w:w="1007" w:type="pct"/>
            <w:shd w:val="clear" w:color="auto" w:fill="auto"/>
            <w:noWrap w:val="0"/>
            <w:vAlign w:val="center"/>
          </w:tcPr>
          <w:p w14:paraId="36AACCC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w:t>
            </w:r>
            <w:r>
              <w:rPr>
                <w:rFonts w:hint="default"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0F66BD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6个</w:t>
            </w:r>
          </w:p>
        </w:tc>
        <w:tc>
          <w:tcPr>
            <w:tcW w:w="622" w:type="pct"/>
            <w:noWrap w:val="0"/>
            <w:vAlign w:val="center"/>
          </w:tcPr>
          <w:p w14:paraId="5DC3B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DE29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5793F1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p>
        </w:tc>
        <w:tc>
          <w:tcPr>
            <w:tcW w:w="400" w:type="pct"/>
            <w:vMerge w:val="continue"/>
            <w:noWrap/>
            <w:vAlign w:val="center"/>
          </w:tcPr>
          <w:p w14:paraId="44FD89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410AC8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6A599F1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省级非物质文化遗产保护与传承项目</w:t>
            </w:r>
          </w:p>
        </w:tc>
        <w:tc>
          <w:tcPr>
            <w:tcW w:w="1007" w:type="pct"/>
            <w:shd w:val="clear" w:color="auto" w:fill="auto"/>
            <w:noWrap w:val="0"/>
            <w:vAlign w:val="center"/>
          </w:tcPr>
          <w:p w14:paraId="72B08E9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≥70</w:t>
            </w:r>
            <w:r>
              <w:rPr>
                <w:rFonts w:hint="default" w:ascii="Times New Roman" w:hAnsi="Times New Roman" w:cs="Times New Roman"/>
                <w:i w:val="0"/>
                <w:iCs w:val="0"/>
                <w:color w:val="auto"/>
                <w:kern w:val="0"/>
                <w:sz w:val="21"/>
                <w:szCs w:val="21"/>
                <w:u w:val="none"/>
                <w:lang w:val="en-US" w:eastAsia="zh-CN" w:bidi="ar"/>
              </w:rPr>
              <w:t>个</w:t>
            </w:r>
          </w:p>
        </w:tc>
        <w:tc>
          <w:tcPr>
            <w:tcW w:w="1040" w:type="pct"/>
            <w:noWrap w:val="0"/>
            <w:vAlign w:val="center"/>
          </w:tcPr>
          <w:p w14:paraId="7E8792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70个</w:t>
            </w:r>
          </w:p>
        </w:tc>
        <w:tc>
          <w:tcPr>
            <w:tcW w:w="622" w:type="pct"/>
            <w:noWrap w:val="0"/>
            <w:vAlign w:val="center"/>
          </w:tcPr>
          <w:p w14:paraId="56E1FE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EAFC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1A3D9A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旅游·</w:t>
            </w:r>
          </w:p>
        </w:tc>
        <w:tc>
          <w:tcPr>
            <w:tcW w:w="400" w:type="pct"/>
            <w:vMerge w:val="continue"/>
            <w:noWrap/>
            <w:vAlign w:val="center"/>
          </w:tcPr>
          <w:p w14:paraId="66AA9B6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rPr>
            </w:pPr>
          </w:p>
        </w:tc>
        <w:tc>
          <w:tcPr>
            <w:tcW w:w="488" w:type="pct"/>
            <w:vMerge w:val="continue"/>
            <w:noWrap/>
            <w:vAlign w:val="center"/>
          </w:tcPr>
          <w:p w14:paraId="31E8454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73F5653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省级非遗传承人补助</w:t>
            </w:r>
          </w:p>
        </w:tc>
        <w:tc>
          <w:tcPr>
            <w:tcW w:w="1007" w:type="pct"/>
            <w:shd w:val="clear" w:color="auto" w:fill="auto"/>
            <w:noWrap w:val="0"/>
            <w:vAlign w:val="center"/>
          </w:tcPr>
          <w:p w14:paraId="07B4091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568</w:t>
            </w:r>
            <w:r>
              <w:rPr>
                <w:rFonts w:hint="default" w:ascii="Times New Roman" w:hAnsi="Times New Roman" w:cs="Times New Roman"/>
                <w:i w:val="0"/>
                <w:iCs w:val="0"/>
                <w:color w:val="auto"/>
                <w:kern w:val="0"/>
                <w:sz w:val="21"/>
                <w:szCs w:val="21"/>
                <w:u w:val="none"/>
                <w:lang w:val="en-US" w:eastAsia="zh-CN" w:bidi="ar"/>
              </w:rPr>
              <w:t>人</w:t>
            </w:r>
          </w:p>
        </w:tc>
        <w:tc>
          <w:tcPr>
            <w:tcW w:w="1040" w:type="pct"/>
            <w:noWrap w:val="0"/>
            <w:vAlign w:val="center"/>
          </w:tcPr>
          <w:p w14:paraId="6A4A96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568人</w:t>
            </w:r>
          </w:p>
        </w:tc>
        <w:tc>
          <w:tcPr>
            <w:tcW w:w="622" w:type="pct"/>
            <w:noWrap w:val="0"/>
            <w:vAlign w:val="center"/>
          </w:tcPr>
          <w:p w14:paraId="37803E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45DF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493EDE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4F31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B582E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2F7CC4F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文物主题艺术精品创作</w:t>
            </w:r>
          </w:p>
        </w:tc>
        <w:tc>
          <w:tcPr>
            <w:tcW w:w="1007" w:type="pct"/>
            <w:shd w:val="clear" w:color="auto" w:fill="auto"/>
            <w:noWrap w:val="0"/>
            <w:vAlign w:val="center"/>
          </w:tcPr>
          <w:p w14:paraId="6348F26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cs="Times New Roman"/>
                <w:i w:val="0"/>
                <w:iCs w:val="0"/>
                <w:color w:val="auto"/>
                <w:kern w:val="0"/>
                <w:sz w:val="21"/>
                <w:szCs w:val="21"/>
                <w:highlight w:val="none"/>
                <w:u w:val="none"/>
                <w:lang w:val="en-US" w:eastAsia="zh-CN" w:bidi="ar"/>
              </w:rPr>
              <w:t>个</w:t>
            </w:r>
          </w:p>
        </w:tc>
        <w:tc>
          <w:tcPr>
            <w:tcW w:w="1040" w:type="pct"/>
            <w:noWrap w:val="0"/>
            <w:vAlign w:val="center"/>
          </w:tcPr>
          <w:p w14:paraId="78890E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2个</w:t>
            </w:r>
          </w:p>
        </w:tc>
        <w:tc>
          <w:tcPr>
            <w:tcW w:w="622" w:type="pct"/>
            <w:noWrap w:val="0"/>
            <w:vAlign w:val="center"/>
          </w:tcPr>
          <w:p w14:paraId="3FC11C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EF74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6C205A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982B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791F2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937" w:type="pct"/>
            <w:shd w:val="clear" w:color="auto" w:fill="auto"/>
            <w:noWrap w:val="0"/>
            <w:vAlign w:val="center"/>
          </w:tcPr>
          <w:p w14:paraId="2C3FF57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文化旅游资源转化成功率</w:t>
            </w:r>
          </w:p>
        </w:tc>
        <w:tc>
          <w:tcPr>
            <w:tcW w:w="1007" w:type="pct"/>
            <w:shd w:val="clear" w:color="auto" w:fill="auto"/>
            <w:noWrap w:val="0"/>
            <w:vAlign w:val="center"/>
          </w:tcPr>
          <w:p w14:paraId="22617B7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619D18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4E7170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F9D4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1AE5E6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43D4DB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4ED3C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A16826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项目审核合规率</w:t>
            </w:r>
          </w:p>
        </w:tc>
        <w:tc>
          <w:tcPr>
            <w:tcW w:w="1007" w:type="pct"/>
            <w:shd w:val="clear" w:color="auto" w:fill="auto"/>
            <w:noWrap w:val="0"/>
            <w:vAlign w:val="center"/>
          </w:tcPr>
          <w:p w14:paraId="5352B12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46B96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48CEE7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7CB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51A5D2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6F0B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38EAACB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583A05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资金发放合规率</w:t>
            </w:r>
          </w:p>
        </w:tc>
        <w:tc>
          <w:tcPr>
            <w:tcW w:w="1007" w:type="pct"/>
            <w:shd w:val="clear" w:color="auto" w:fill="auto"/>
            <w:noWrap/>
            <w:vAlign w:val="center"/>
          </w:tcPr>
          <w:p w14:paraId="6DBD83E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ign w:val="center"/>
          </w:tcPr>
          <w:p w14:paraId="43A593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ign w:val="center"/>
          </w:tcPr>
          <w:p w14:paraId="232BEBD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B0C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01" w:type="pct"/>
            <w:vMerge w:val="continue"/>
            <w:noWrap w:val="0"/>
            <w:vAlign w:val="center"/>
          </w:tcPr>
          <w:p w14:paraId="756B62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3BFCA2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04192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7904D3E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1007" w:type="pct"/>
            <w:shd w:val="clear" w:color="auto" w:fill="auto"/>
            <w:noWrap w:val="0"/>
            <w:vAlign w:val="center"/>
          </w:tcPr>
          <w:p w14:paraId="3D55B61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65E151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6A24C8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8311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01" w:type="pct"/>
            <w:vMerge w:val="continue"/>
            <w:noWrap w:val="0"/>
            <w:vAlign w:val="center"/>
          </w:tcPr>
          <w:p w14:paraId="1D325C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4668A5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38124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937" w:type="pct"/>
            <w:shd w:val="clear" w:color="auto" w:fill="auto"/>
            <w:noWrap w:val="0"/>
            <w:vAlign w:val="center"/>
          </w:tcPr>
          <w:p w14:paraId="1199C31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spacing w:val="-11"/>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财政资金下拨</w:t>
            </w:r>
          </w:p>
          <w:p w14:paraId="331976B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时间</w:t>
            </w:r>
          </w:p>
        </w:tc>
        <w:tc>
          <w:tcPr>
            <w:tcW w:w="1007" w:type="pct"/>
            <w:shd w:val="clear" w:color="auto" w:fill="auto"/>
            <w:noWrap w:val="0"/>
            <w:vAlign w:val="center"/>
          </w:tcPr>
          <w:p w14:paraId="25F4A81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1040" w:type="pct"/>
            <w:shd w:val="clear" w:color="auto" w:fill="auto"/>
            <w:noWrap w:val="0"/>
            <w:vAlign w:val="center"/>
          </w:tcPr>
          <w:p w14:paraId="5E575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3C10B4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5412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7BA49EE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2C0D4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215F3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7274F7F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红色文化旅游项目开工时间</w:t>
            </w:r>
          </w:p>
        </w:tc>
        <w:tc>
          <w:tcPr>
            <w:tcW w:w="1007" w:type="pct"/>
            <w:shd w:val="clear" w:color="auto" w:fill="auto"/>
            <w:noWrap w:val="0"/>
            <w:vAlign w:val="center"/>
          </w:tcPr>
          <w:p w14:paraId="7D392DF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1040" w:type="pct"/>
            <w:shd w:val="clear" w:color="auto" w:fill="auto"/>
            <w:noWrap w:val="0"/>
            <w:vAlign w:val="center"/>
          </w:tcPr>
          <w:p w14:paraId="0A6CDA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3949F2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FDB2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1729C6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31DB43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2547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5FF89A9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1007" w:type="pct"/>
            <w:shd w:val="clear" w:color="auto" w:fill="auto"/>
            <w:noWrap w:val="0"/>
            <w:vAlign w:val="center"/>
          </w:tcPr>
          <w:p w14:paraId="76BDA20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271FB9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622" w:type="pct"/>
            <w:noWrap w:val="0"/>
            <w:vAlign w:val="center"/>
          </w:tcPr>
          <w:p w14:paraId="62D066C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1032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01" w:type="pct"/>
            <w:vMerge w:val="continue"/>
            <w:noWrap w:val="0"/>
            <w:vAlign w:val="center"/>
          </w:tcPr>
          <w:p w14:paraId="4ED135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5FAC993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488" w:type="pct"/>
            <w:vMerge w:val="restart"/>
            <w:noWrap w:val="0"/>
            <w:vAlign w:val="center"/>
          </w:tcPr>
          <w:p w14:paraId="681D05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w:t>
            </w:r>
            <w:r>
              <w:rPr>
                <w:rFonts w:hint="default" w:ascii="Times New Roman" w:hAnsi="Times New Roman" w:eastAsia="仿宋_GB2312" w:cs="Times New Roman"/>
                <w:i w:val="0"/>
                <w:iCs w:val="0"/>
                <w:color w:val="auto"/>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937" w:type="pct"/>
            <w:shd w:val="clear" w:color="auto" w:fill="auto"/>
            <w:noWrap w:val="0"/>
            <w:vAlign w:val="center"/>
          </w:tcPr>
          <w:p w14:paraId="4EB000F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w:t>
            </w:r>
          </w:p>
          <w:p w14:paraId="7A66E54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长率</w:t>
            </w:r>
          </w:p>
        </w:tc>
        <w:tc>
          <w:tcPr>
            <w:tcW w:w="1007" w:type="pct"/>
            <w:shd w:val="clear" w:color="auto" w:fill="auto"/>
            <w:noWrap w:val="0"/>
            <w:vAlign w:val="center"/>
          </w:tcPr>
          <w:p w14:paraId="2FA1982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3A17D4A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622" w:type="pct"/>
            <w:shd w:val="clear" w:color="auto" w:fill="auto"/>
            <w:noWrap w:val="0"/>
            <w:vAlign w:val="center"/>
          </w:tcPr>
          <w:p w14:paraId="38369C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CF225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0FE7DB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260502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A5EBA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7" w:type="pct"/>
            <w:shd w:val="clear" w:color="auto" w:fill="auto"/>
            <w:noWrap w:val="0"/>
            <w:vAlign w:val="center"/>
          </w:tcPr>
          <w:p w14:paraId="4822C46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1007" w:type="pct"/>
            <w:shd w:val="clear" w:color="auto" w:fill="auto"/>
            <w:noWrap w:val="0"/>
            <w:vAlign w:val="center"/>
          </w:tcPr>
          <w:p w14:paraId="2A4FE5F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1040" w:type="pct"/>
            <w:shd w:val="clear" w:color="auto" w:fill="auto"/>
            <w:noWrap w:val="0"/>
            <w:vAlign w:val="center"/>
          </w:tcPr>
          <w:p w14:paraId="657E17B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622" w:type="pct"/>
            <w:shd w:val="clear" w:color="auto" w:fill="auto"/>
            <w:noWrap w:val="0"/>
            <w:vAlign w:val="center"/>
          </w:tcPr>
          <w:p w14:paraId="1BB456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1417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01" w:type="pct"/>
            <w:vMerge w:val="continue"/>
            <w:noWrap w:val="0"/>
            <w:vAlign w:val="center"/>
          </w:tcPr>
          <w:p w14:paraId="670A82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31B77B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5323CE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274C3CC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1007" w:type="pct"/>
            <w:shd w:val="clear" w:color="auto" w:fill="auto"/>
            <w:noWrap w:val="0"/>
            <w:vAlign w:val="center"/>
          </w:tcPr>
          <w:p w14:paraId="4B1AF8C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shd w:val="clear" w:color="auto" w:fill="auto"/>
            <w:noWrap w:val="0"/>
            <w:vAlign w:val="center"/>
          </w:tcPr>
          <w:p w14:paraId="19E9E68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622" w:type="pct"/>
            <w:shd w:val="clear" w:color="auto" w:fill="auto"/>
            <w:noWrap w:val="0"/>
            <w:vAlign w:val="center"/>
          </w:tcPr>
          <w:p w14:paraId="7419D4D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F60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501" w:type="pct"/>
            <w:vMerge w:val="continue"/>
            <w:noWrap w:val="0"/>
            <w:vAlign w:val="center"/>
          </w:tcPr>
          <w:p w14:paraId="16696E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59F6DF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242CBA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社会效益指标</w:t>
            </w:r>
          </w:p>
        </w:tc>
        <w:tc>
          <w:tcPr>
            <w:tcW w:w="937" w:type="pct"/>
            <w:shd w:val="clear" w:color="auto" w:fill="auto"/>
            <w:noWrap w:val="0"/>
            <w:vAlign w:val="center"/>
          </w:tcPr>
          <w:p w14:paraId="3BBAC14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红色文化旅游与其他旅游项目融合率</w:t>
            </w:r>
          </w:p>
        </w:tc>
        <w:tc>
          <w:tcPr>
            <w:tcW w:w="1007" w:type="pct"/>
            <w:shd w:val="clear" w:color="auto" w:fill="auto"/>
            <w:noWrap/>
            <w:vAlign w:val="center"/>
          </w:tcPr>
          <w:p w14:paraId="7414A74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noWrap/>
            <w:vAlign w:val="center"/>
          </w:tcPr>
          <w:p w14:paraId="28A07BA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68%</w:t>
            </w:r>
          </w:p>
        </w:tc>
        <w:tc>
          <w:tcPr>
            <w:tcW w:w="622" w:type="pct"/>
            <w:noWrap/>
            <w:vAlign w:val="center"/>
          </w:tcPr>
          <w:p w14:paraId="7059FB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300A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501" w:type="pct"/>
            <w:vMerge w:val="continue"/>
            <w:noWrap w:val="0"/>
            <w:vAlign w:val="center"/>
          </w:tcPr>
          <w:p w14:paraId="4FFDE8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19AC14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4D2492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330D2DC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项目红色故事宣扬度</w:t>
            </w:r>
          </w:p>
        </w:tc>
        <w:tc>
          <w:tcPr>
            <w:tcW w:w="1007" w:type="pct"/>
            <w:shd w:val="clear" w:color="auto" w:fill="auto"/>
            <w:noWrap/>
            <w:vAlign w:val="center"/>
          </w:tcPr>
          <w:p w14:paraId="49CAA12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noWrap/>
            <w:vAlign w:val="center"/>
          </w:tcPr>
          <w:p w14:paraId="666E6CF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62%</w:t>
            </w:r>
          </w:p>
        </w:tc>
        <w:tc>
          <w:tcPr>
            <w:tcW w:w="622" w:type="pct"/>
            <w:noWrap/>
            <w:vAlign w:val="center"/>
          </w:tcPr>
          <w:p w14:paraId="1C07201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ECB6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28FBCA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1FE0E2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40B713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4DB55D2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1007" w:type="pct"/>
            <w:shd w:val="clear" w:color="auto" w:fill="auto"/>
            <w:noWrap/>
            <w:vAlign w:val="center"/>
          </w:tcPr>
          <w:p w14:paraId="443E95A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default" w:ascii="Times New Roman" w:hAnsi="Times New Roman" w:cs="Times New Roman"/>
                <w:i w:val="0"/>
                <w:iCs w:val="0"/>
                <w:color w:val="auto"/>
                <w:kern w:val="0"/>
                <w:sz w:val="21"/>
                <w:szCs w:val="21"/>
                <w:highlight w:val="none"/>
                <w:u w:val="none"/>
                <w:lang w:val="en-US" w:eastAsia="zh-CN" w:bidi="ar"/>
              </w:rPr>
              <w:t>万人次</w:t>
            </w:r>
          </w:p>
        </w:tc>
        <w:tc>
          <w:tcPr>
            <w:tcW w:w="1040" w:type="pct"/>
            <w:noWrap/>
            <w:vAlign w:val="center"/>
          </w:tcPr>
          <w:p w14:paraId="3AC89CD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2380 万人次</w:t>
            </w:r>
          </w:p>
        </w:tc>
        <w:tc>
          <w:tcPr>
            <w:tcW w:w="622" w:type="pct"/>
            <w:noWrap/>
            <w:vAlign w:val="center"/>
          </w:tcPr>
          <w:p w14:paraId="0939607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F854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69CC81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36450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1AA25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1E57ADC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传统文化传播与弘扬</w:t>
            </w:r>
          </w:p>
        </w:tc>
        <w:tc>
          <w:tcPr>
            <w:tcW w:w="1007" w:type="pct"/>
            <w:shd w:val="clear" w:color="auto" w:fill="auto"/>
            <w:noWrap w:val="0"/>
            <w:vAlign w:val="center"/>
          </w:tcPr>
          <w:p w14:paraId="0E43B56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1040" w:type="pct"/>
            <w:shd w:val="clear" w:color="auto" w:fill="auto"/>
            <w:noWrap w:val="0"/>
            <w:vAlign w:val="center"/>
          </w:tcPr>
          <w:p w14:paraId="1024F20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622" w:type="pct"/>
            <w:noWrap w:val="0"/>
            <w:vAlign w:val="center"/>
          </w:tcPr>
          <w:p w14:paraId="234347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B192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01" w:type="pct"/>
            <w:vMerge w:val="continue"/>
            <w:noWrap w:val="0"/>
            <w:vAlign w:val="center"/>
          </w:tcPr>
          <w:p w14:paraId="043FD8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79FC9D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noWrap w:val="0"/>
            <w:vAlign w:val="center"/>
          </w:tcPr>
          <w:p w14:paraId="31BB49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937" w:type="pct"/>
            <w:noWrap w:val="0"/>
            <w:vAlign w:val="center"/>
          </w:tcPr>
          <w:p w14:paraId="243CC5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1007" w:type="pct"/>
            <w:shd w:val="clear" w:color="auto" w:fill="auto"/>
            <w:noWrap/>
            <w:vAlign w:val="center"/>
          </w:tcPr>
          <w:p w14:paraId="1D96FB3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1040" w:type="pct"/>
            <w:shd w:val="clear" w:color="auto" w:fill="auto"/>
            <w:noWrap/>
            <w:vAlign w:val="center"/>
          </w:tcPr>
          <w:p w14:paraId="03C39E0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622" w:type="pct"/>
            <w:noWrap/>
            <w:vAlign w:val="center"/>
          </w:tcPr>
          <w:p w14:paraId="1CA4C6C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DE8D5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01" w:type="pct"/>
            <w:vMerge w:val="continue"/>
            <w:noWrap w:val="0"/>
            <w:vAlign w:val="center"/>
          </w:tcPr>
          <w:p w14:paraId="3D22E8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67961B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5E9E1E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937" w:type="pct"/>
            <w:shd w:val="clear" w:color="auto" w:fill="auto"/>
            <w:noWrap w:val="0"/>
            <w:vAlign w:val="center"/>
          </w:tcPr>
          <w:p w14:paraId="5B2E1D3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文物和文化遗产保护力度</w:t>
            </w:r>
          </w:p>
        </w:tc>
        <w:tc>
          <w:tcPr>
            <w:tcW w:w="1007" w:type="pct"/>
            <w:shd w:val="clear" w:color="auto" w:fill="auto"/>
            <w:noWrap w:val="0"/>
            <w:vAlign w:val="center"/>
          </w:tcPr>
          <w:p w14:paraId="68637DC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1040" w:type="pct"/>
            <w:shd w:val="clear" w:color="auto" w:fill="auto"/>
            <w:noWrap w:val="0"/>
            <w:vAlign w:val="center"/>
          </w:tcPr>
          <w:p w14:paraId="4BFEEB3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622" w:type="pct"/>
            <w:noWrap w:val="0"/>
            <w:vAlign w:val="center"/>
          </w:tcPr>
          <w:p w14:paraId="6AF60BB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2077C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501" w:type="pct"/>
            <w:vMerge w:val="continue"/>
            <w:noWrap w:val="0"/>
            <w:vAlign w:val="center"/>
          </w:tcPr>
          <w:p w14:paraId="713C37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37BB8F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098FBE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33138E4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w:t>
            </w:r>
          </w:p>
          <w:p w14:paraId="446E279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体系</w:t>
            </w:r>
          </w:p>
        </w:tc>
        <w:tc>
          <w:tcPr>
            <w:tcW w:w="1007" w:type="pct"/>
            <w:shd w:val="clear" w:color="auto" w:fill="auto"/>
            <w:noWrap w:val="0"/>
            <w:vAlign w:val="center"/>
          </w:tcPr>
          <w:p w14:paraId="587A03E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1040" w:type="pct"/>
            <w:shd w:val="clear" w:color="auto" w:fill="auto"/>
            <w:noWrap w:val="0"/>
            <w:vAlign w:val="center"/>
          </w:tcPr>
          <w:p w14:paraId="3701926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622" w:type="pct"/>
            <w:noWrap w:val="0"/>
            <w:vAlign w:val="center"/>
          </w:tcPr>
          <w:p w14:paraId="6287017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E7A3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501" w:type="pct"/>
            <w:vMerge w:val="continue"/>
            <w:noWrap w:val="0"/>
            <w:vAlign w:val="center"/>
          </w:tcPr>
          <w:p w14:paraId="50845B3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restart"/>
            <w:noWrap/>
            <w:vAlign w:val="center"/>
          </w:tcPr>
          <w:p w14:paraId="61AA55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488" w:type="pct"/>
            <w:vMerge w:val="restart"/>
            <w:noWrap w:val="0"/>
            <w:vAlign w:val="center"/>
          </w:tcPr>
          <w:p w14:paraId="6182E9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937" w:type="pct"/>
            <w:shd w:val="clear" w:color="auto" w:fill="auto"/>
            <w:noWrap w:val="0"/>
            <w:vAlign w:val="center"/>
          </w:tcPr>
          <w:p w14:paraId="6C50594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1007" w:type="pct"/>
            <w:shd w:val="clear" w:color="auto" w:fill="auto"/>
            <w:noWrap w:val="0"/>
            <w:vAlign w:val="center"/>
          </w:tcPr>
          <w:p w14:paraId="55D2762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noWrap w:val="0"/>
            <w:vAlign w:val="center"/>
          </w:tcPr>
          <w:p w14:paraId="1BB951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90.34%</w:t>
            </w:r>
          </w:p>
        </w:tc>
        <w:tc>
          <w:tcPr>
            <w:tcW w:w="622" w:type="pct"/>
            <w:noWrap w:val="0"/>
            <w:vAlign w:val="center"/>
          </w:tcPr>
          <w:p w14:paraId="10BDB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4557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01" w:type="pct"/>
            <w:vMerge w:val="continue"/>
            <w:noWrap w:val="0"/>
            <w:vAlign w:val="center"/>
          </w:tcPr>
          <w:p w14:paraId="43748B5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1D1101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7DCF7D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6E05516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1007" w:type="pct"/>
            <w:shd w:val="clear" w:color="auto" w:fill="auto"/>
            <w:noWrap w:val="0"/>
            <w:vAlign w:val="center"/>
          </w:tcPr>
          <w:p w14:paraId="2264107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noWrap w:val="0"/>
            <w:vAlign w:val="center"/>
          </w:tcPr>
          <w:p w14:paraId="7B5ADB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95.6%</w:t>
            </w:r>
          </w:p>
        </w:tc>
        <w:tc>
          <w:tcPr>
            <w:tcW w:w="622" w:type="pct"/>
            <w:noWrap w:val="0"/>
            <w:vAlign w:val="center"/>
          </w:tcPr>
          <w:p w14:paraId="6A0C80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9197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501" w:type="pct"/>
            <w:vMerge w:val="continue"/>
            <w:noWrap w:val="0"/>
            <w:vAlign w:val="center"/>
          </w:tcPr>
          <w:p w14:paraId="54ED93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00" w:type="pct"/>
            <w:vMerge w:val="continue"/>
            <w:noWrap/>
            <w:vAlign w:val="center"/>
          </w:tcPr>
          <w:p w14:paraId="0BDD776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6F3C95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937" w:type="pct"/>
            <w:shd w:val="clear" w:color="auto" w:fill="auto"/>
            <w:noWrap w:val="0"/>
            <w:vAlign w:val="center"/>
          </w:tcPr>
          <w:p w14:paraId="03F7699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w:t>
            </w:r>
          </w:p>
          <w:p w14:paraId="2D062B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意度</w:t>
            </w:r>
          </w:p>
        </w:tc>
        <w:tc>
          <w:tcPr>
            <w:tcW w:w="1007" w:type="pct"/>
            <w:shd w:val="clear" w:color="auto" w:fill="auto"/>
            <w:noWrap w:val="0"/>
            <w:vAlign w:val="center"/>
          </w:tcPr>
          <w:p w14:paraId="1F59FC7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1040" w:type="pct"/>
            <w:noWrap w:val="0"/>
            <w:vAlign w:val="center"/>
          </w:tcPr>
          <w:p w14:paraId="7979BE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92.8%</w:t>
            </w:r>
          </w:p>
        </w:tc>
        <w:tc>
          <w:tcPr>
            <w:tcW w:w="622" w:type="pct"/>
            <w:noWrap w:val="0"/>
            <w:vAlign w:val="center"/>
          </w:tcPr>
          <w:p w14:paraId="5405F3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bl>
    <w:p w14:paraId="642E7A29">
      <w:pPr>
        <w:ind w:left="0" w:leftChars="0" w:firstLine="0" w:firstLineChars="0"/>
        <w:rPr>
          <w:rStyle w:val="35"/>
          <w:rFonts w:hint="default" w:ascii="Times New Roman" w:hAnsi="Times New Roman" w:eastAsia="方正小标宋_GBK" w:cs="Times New Roman"/>
          <w:color w:val="auto"/>
          <w:highlight w:val="none"/>
        </w:rPr>
      </w:pPr>
      <w:r>
        <w:rPr>
          <w:rStyle w:val="35"/>
          <w:rFonts w:hint="default" w:ascii="Times New Roman" w:hAnsi="Times New Roman" w:eastAsia="方正小标宋_GBK" w:cs="Times New Roman"/>
          <w:color w:val="auto"/>
          <w:highlight w:val="none"/>
        </w:rPr>
        <w:br w:type="page"/>
      </w:r>
    </w:p>
    <w:p w14:paraId="53B755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53"/>
    </w:p>
    <w:p w14:paraId="1F428550">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48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69"/>
        <w:gridCol w:w="959"/>
        <w:gridCol w:w="1186"/>
        <w:gridCol w:w="1713"/>
        <w:gridCol w:w="1598"/>
        <w:gridCol w:w="1598"/>
        <w:gridCol w:w="1600"/>
      </w:tblGrid>
      <w:tr w14:paraId="1E785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noWrap/>
            <w:vAlign w:val="center"/>
          </w:tcPr>
          <w:p w14:paraId="6C0FBA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1091" w:type="pct"/>
            <w:gridSpan w:val="2"/>
            <w:noWrap w:val="0"/>
            <w:vAlign w:val="center"/>
          </w:tcPr>
          <w:p w14:paraId="5417EC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文旅活动和行业管理</w:t>
            </w:r>
          </w:p>
        </w:tc>
        <w:tc>
          <w:tcPr>
            <w:tcW w:w="871" w:type="pct"/>
            <w:noWrap/>
            <w:vAlign w:val="center"/>
          </w:tcPr>
          <w:p w14:paraId="547117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441" w:type="pct"/>
            <w:gridSpan w:val="3"/>
            <w:noWrap w:val="0"/>
            <w:vAlign w:val="center"/>
          </w:tcPr>
          <w:p w14:paraId="6D859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6E5E1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noWrap/>
            <w:vAlign w:val="center"/>
          </w:tcPr>
          <w:p w14:paraId="5B4D7A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404" w:type="pct"/>
            <w:gridSpan w:val="6"/>
            <w:noWrap/>
            <w:vAlign w:val="center"/>
          </w:tcPr>
          <w:p w14:paraId="3AA8F2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1635A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restart"/>
            <w:noWrap/>
            <w:vAlign w:val="center"/>
          </w:tcPr>
          <w:p w14:paraId="1798B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资金拨付情况</w:t>
            </w:r>
          </w:p>
        </w:tc>
        <w:tc>
          <w:tcPr>
            <w:tcW w:w="1091" w:type="pct"/>
            <w:gridSpan w:val="2"/>
            <w:noWrap/>
            <w:vAlign w:val="center"/>
          </w:tcPr>
          <w:p w14:paraId="7374D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预算数</w:t>
            </w:r>
          </w:p>
        </w:tc>
        <w:tc>
          <w:tcPr>
            <w:tcW w:w="871" w:type="pct"/>
            <w:noWrap/>
            <w:vAlign w:val="center"/>
          </w:tcPr>
          <w:p w14:paraId="72133F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完成数</w:t>
            </w:r>
          </w:p>
        </w:tc>
        <w:tc>
          <w:tcPr>
            <w:tcW w:w="2441" w:type="pct"/>
            <w:gridSpan w:val="3"/>
            <w:noWrap w:val="0"/>
            <w:vAlign w:val="center"/>
          </w:tcPr>
          <w:p w14:paraId="392D1D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cs="Times New Roman"/>
                <w:i w:val="0"/>
                <w:iCs w:val="0"/>
                <w:color w:val="auto"/>
                <w:sz w:val="21"/>
                <w:szCs w:val="21"/>
                <w:highlight w:val="none"/>
                <w:u w:val="none"/>
                <w:lang w:val="en-US" w:eastAsia="zh-CN"/>
              </w:rPr>
              <w:t>执行率</w:t>
            </w:r>
          </w:p>
        </w:tc>
      </w:tr>
      <w:tr w14:paraId="0F71E9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595" w:type="pct"/>
            <w:vMerge w:val="continue"/>
            <w:noWrap/>
            <w:vAlign w:val="center"/>
          </w:tcPr>
          <w:p w14:paraId="442F36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1091" w:type="pct"/>
            <w:gridSpan w:val="2"/>
            <w:noWrap/>
            <w:vAlign w:val="center"/>
          </w:tcPr>
          <w:p w14:paraId="5A30EF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7598</w:t>
            </w:r>
          </w:p>
        </w:tc>
        <w:tc>
          <w:tcPr>
            <w:tcW w:w="871" w:type="pct"/>
            <w:noWrap/>
            <w:vAlign w:val="center"/>
          </w:tcPr>
          <w:p w14:paraId="653756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7598</w:t>
            </w:r>
          </w:p>
        </w:tc>
        <w:tc>
          <w:tcPr>
            <w:tcW w:w="2441" w:type="pct"/>
            <w:gridSpan w:val="3"/>
            <w:noWrap w:val="0"/>
            <w:vAlign w:val="center"/>
          </w:tcPr>
          <w:p w14:paraId="5DD07F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100%</w:t>
            </w:r>
          </w:p>
        </w:tc>
      </w:tr>
      <w:tr w14:paraId="5CE8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595" w:type="pct"/>
            <w:noWrap w:val="0"/>
            <w:vAlign w:val="center"/>
          </w:tcPr>
          <w:p w14:paraId="5319D1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404" w:type="pct"/>
            <w:gridSpan w:val="6"/>
            <w:shd w:val="clear" w:color="auto" w:fill="auto"/>
            <w:noWrap w:val="0"/>
            <w:vAlign w:val="center"/>
          </w:tcPr>
          <w:p w14:paraId="4B16544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开展湖南国际文化旅游节、湖南省四季乡村文化旅游节、湖南红色旅游文化节等文旅活动；推动旅游产业持续发展，提升旅游公共服务水平。支持岳阳市、怀化市举办全省旅发大会；开展文旅业务活动</w:t>
            </w:r>
            <w:r>
              <w:rPr>
                <w:rFonts w:hint="default" w:ascii="Times New Roman" w:hAnsi="Times New Roman" w:eastAsia="仿宋_GB2312" w:cs="Times New Roman"/>
                <w:i w:val="0"/>
                <w:iCs w:val="0"/>
                <w:color w:val="auto"/>
                <w:kern w:val="0"/>
                <w:sz w:val="21"/>
                <w:szCs w:val="21"/>
                <w:highlight w:val="none"/>
                <w:u w:val="none"/>
                <w:lang w:val="en-US" w:eastAsia="zh-CN" w:bidi="ar"/>
              </w:rPr>
              <w:t>14</w:t>
            </w:r>
            <w:r>
              <w:rPr>
                <w:rFonts w:hint="default" w:ascii="Times New Roman" w:hAnsi="Times New Roman" w:eastAsia="仿宋_GB2312" w:cs="Times New Roman"/>
                <w:i w:val="0"/>
                <w:iCs w:val="0"/>
                <w:color w:val="auto"/>
                <w:kern w:val="0"/>
                <w:sz w:val="21"/>
                <w:szCs w:val="21"/>
                <w:highlight w:val="none"/>
                <w:u w:val="none"/>
                <w:lang w:val="en-US" w:eastAsia="zh-CN" w:bidi="ar"/>
              </w:rPr>
              <w:t>场；开展宣传推广活动</w:t>
            </w:r>
            <w:r>
              <w:rPr>
                <w:rFonts w:hint="default" w:ascii="Times New Roman" w:hAnsi="Times New Roman" w:eastAsia="仿宋_GB2312" w:cs="Times New Roman"/>
                <w:i w:val="0"/>
                <w:iCs w:val="0"/>
                <w:color w:val="auto"/>
                <w:kern w:val="0"/>
                <w:sz w:val="21"/>
                <w:szCs w:val="21"/>
                <w:highlight w:val="none"/>
                <w:u w:val="none"/>
                <w:lang w:val="en-US" w:eastAsia="zh-CN" w:bidi="ar"/>
              </w:rPr>
              <w:t>20</w:t>
            </w:r>
            <w:r>
              <w:rPr>
                <w:rFonts w:hint="default" w:ascii="Times New Roman" w:hAnsi="Times New Roman" w:eastAsia="仿宋_GB2312" w:cs="Times New Roman"/>
                <w:i w:val="0"/>
                <w:iCs w:val="0"/>
                <w:color w:val="auto"/>
                <w:kern w:val="0"/>
                <w:sz w:val="21"/>
                <w:szCs w:val="21"/>
                <w:highlight w:val="none"/>
                <w:u w:val="none"/>
                <w:lang w:val="en-US" w:eastAsia="zh-CN" w:bidi="ar"/>
              </w:rPr>
              <w:t>场，开展重大活动</w:t>
            </w: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eastAsia="仿宋_GB2312" w:cs="Times New Roman"/>
                <w:i w:val="0"/>
                <w:iCs w:val="0"/>
                <w:color w:val="auto"/>
                <w:kern w:val="0"/>
                <w:sz w:val="21"/>
                <w:szCs w:val="21"/>
                <w:highlight w:val="none"/>
                <w:u w:val="none"/>
                <w:lang w:val="en-US" w:eastAsia="zh-CN" w:bidi="ar"/>
              </w:rPr>
              <w:t>场。</w:t>
            </w:r>
          </w:p>
        </w:tc>
      </w:tr>
      <w:tr w14:paraId="7350E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4" w:hRule="atLeast"/>
          <w:jc w:val="center"/>
        </w:trPr>
        <w:tc>
          <w:tcPr>
            <w:tcW w:w="595" w:type="pct"/>
            <w:noWrap/>
            <w:vAlign w:val="center"/>
          </w:tcPr>
          <w:p w14:paraId="22D0D88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404" w:type="pct"/>
            <w:gridSpan w:val="6"/>
            <w:noWrap w:val="0"/>
            <w:vAlign w:val="center"/>
          </w:tcPr>
          <w:p w14:paraId="68FFCB0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成功举办湖南国际文化旅游节、湖南省四季乡村文化旅游节、湖南红色旅游文化节等系列文旅品牌活动，有效扩大了湖湘文旅影响力；旅游产业发展持续向好，旅游公共服务设施不断完善，服务水平稳步提升。全力支持岳阳市、怀化市承办全省旅游发展大会，推动两地文旅基础设施提档升级，带动区域文旅经济快速发展。全年共开展文旅业务活动 16 场、宣传推广活动 22 场、重大活动 13 场，超额完成年度目标任务，全面达成预期绩效目标</w:t>
            </w:r>
          </w:p>
        </w:tc>
      </w:tr>
      <w:tr w14:paraId="36EDD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595" w:type="pct"/>
            <w:vMerge w:val="restart"/>
            <w:noWrap w:val="0"/>
            <w:vAlign w:val="center"/>
          </w:tcPr>
          <w:p w14:paraId="15320A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88" w:type="pct"/>
            <w:noWrap/>
            <w:vAlign w:val="center"/>
          </w:tcPr>
          <w:p w14:paraId="76BA17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603" w:type="pct"/>
            <w:noWrap/>
            <w:vAlign w:val="center"/>
          </w:tcPr>
          <w:p w14:paraId="1B7980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71" w:type="pct"/>
            <w:noWrap/>
            <w:vAlign w:val="center"/>
          </w:tcPr>
          <w:p w14:paraId="2FC35A1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13" w:type="pct"/>
            <w:noWrap/>
            <w:vAlign w:val="center"/>
          </w:tcPr>
          <w:p w14:paraId="200978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813" w:type="pct"/>
            <w:noWrap/>
            <w:vAlign w:val="center"/>
          </w:tcPr>
          <w:p w14:paraId="7D1552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814" w:type="pct"/>
            <w:noWrap/>
            <w:vAlign w:val="center"/>
          </w:tcPr>
          <w:p w14:paraId="4F45E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4EF58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jc w:val="center"/>
        </w:trPr>
        <w:tc>
          <w:tcPr>
            <w:tcW w:w="595" w:type="pct"/>
            <w:vMerge w:val="continue"/>
            <w:noWrap w:val="0"/>
            <w:vAlign w:val="center"/>
          </w:tcPr>
          <w:p w14:paraId="786AA6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0"/>
            <w:vAlign w:val="center"/>
          </w:tcPr>
          <w:p w14:paraId="701D89E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成本指标</w:t>
            </w:r>
          </w:p>
        </w:tc>
        <w:tc>
          <w:tcPr>
            <w:tcW w:w="603" w:type="pct"/>
            <w:vMerge w:val="restart"/>
            <w:noWrap w:val="0"/>
            <w:vAlign w:val="center"/>
          </w:tcPr>
          <w:p w14:paraId="005B41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871" w:type="pct"/>
            <w:shd w:val="clear" w:color="auto" w:fill="auto"/>
            <w:noWrap w:val="0"/>
            <w:vAlign w:val="center"/>
          </w:tcPr>
          <w:p w14:paraId="1A08BE4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宣传推广活动</w:t>
            </w:r>
          </w:p>
        </w:tc>
        <w:tc>
          <w:tcPr>
            <w:tcW w:w="813" w:type="pct"/>
            <w:shd w:val="clear" w:color="auto" w:fill="auto"/>
            <w:noWrap w:val="0"/>
            <w:vAlign w:val="center"/>
          </w:tcPr>
          <w:p w14:paraId="2882E30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5万元-100万元（含），9个；100万元（不含）-300万元（含），4个；500万元-100万元，2个</w:t>
            </w:r>
          </w:p>
        </w:tc>
        <w:tc>
          <w:tcPr>
            <w:tcW w:w="813" w:type="pct"/>
            <w:shd w:val="clear" w:color="auto" w:fill="auto"/>
            <w:noWrap w:val="0"/>
            <w:vAlign w:val="center"/>
          </w:tcPr>
          <w:p w14:paraId="64D7787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strike/>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5万元-100万元（含），9个；100万元（不含）-300万元（含），4个；500万元-100万元，2个</w:t>
            </w:r>
          </w:p>
        </w:tc>
        <w:tc>
          <w:tcPr>
            <w:tcW w:w="814" w:type="pct"/>
            <w:noWrap w:val="0"/>
            <w:vAlign w:val="center"/>
          </w:tcPr>
          <w:p w14:paraId="3C8286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0A91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0A0B7F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D0A85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3FBF96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41C1F3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w:t>
            </w:r>
          </w:p>
        </w:tc>
        <w:tc>
          <w:tcPr>
            <w:tcW w:w="813" w:type="pct"/>
            <w:shd w:val="clear" w:color="auto" w:fill="auto"/>
            <w:noWrap w:val="0"/>
            <w:vAlign w:val="center"/>
          </w:tcPr>
          <w:p w14:paraId="1960D23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15万元-50万元，12个；50万元（不含）-100万元，2个15万元-50万元，12个；50万元（不含）-100万元，2个</w:t>
            </w:r>
          </w:p>
        </w:tc>
        <w:tc>
          <w:tcPr>
            <w:tcW w:w="813" w:type="pct"/>
            <w:shd w:val="clear" w:color="auto" w:fill="auto"/>
            <w:noWrap w:val="0"/>
            <w:vAlign w:val="center"/>
          </w:tcPr>
          <w:p w14:paraId="22C78D7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15万元-50万元，12个；50万元（不含）-100万元，2个15万元-50万元，12个；50万元（不含）-100万元，2个</w:t>
            </w:r>
          </w:p>
        </w:tc>
        <w:tc>
          <w:tcPr>
            <w:tcW w:w="814" w:type="pct"/>
            <w:noWrap w:val="0"/>
            <w:vAlign w:val="center"/>
          </w:tcPr>
          <w:p w14:paraId="48932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F828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3A9CD3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78CC3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3E5F72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4EA318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第五届全国红色故事讲解员大赛</w:t>
            </w:r>
          </w:p>
        </w:tc>
        <w:tc>
          <w:tcPr>
            <w:tcW w:w="813" w:type="pct"/>
            <w:shd w:val="clear" w:color="auto" w:fill="auto"/>
            <w:noWrap w:val="0"/>
            <w:vAlign w:val="center"/>
          </w:tcPr>
          <w:p w14:paraId="7F6B706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813" w:type="pct"/>
            <w:noWrap w:val="0"/>
            <w:vAlign w:val="center"/>
          </w:tcPr>
          <w:p w14:paraId="13A8CF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200万元</w:t>
            </w:r>
          </w:p>
        </w:tc>
        <w:tc>
          <w:tcPr>
            <w:tcW w:w="814" w:type="pct"/>
            <w:noWrap w:val="0"/>
            <w:vAlign w:val="center"/>
          </w:tcPr>
          <w:p w14:paraId="0B47D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A234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1CAE77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5BA493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1A3F413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7476AD4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湖南戏曲春晚</w:t>
            </w:r>
          </w:p>
        </w:tc>
        <w:tc>
          <w:tcPr>
            <w:tcW w:w="813" w:type="pct"/>
            <w:shd w:val="clear" w:color="auto" w:fill="auto"/>
            <w:noWrap w:val="0"/>
            <w:vAlign w:val="center"/>
          </w:tcPr>
          <w:p w14:paraId="5443571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≤600</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813" w:type="pct"/>
            <w:noWrap w:val="0"/>
            <w:vAlign w:val="center"/>
          </w:tcPr>
          <w:p w14:paraId="49C8D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600万元</w:t>
            </w:r>
          </w:p>
        </w:tc>
        <w:tc>
          <w:tcPr>
            <w:tcW w:w="814" w:type="pct"/>
            <w:noWrap w:val="0"/>
            <w:vAlign w:val="center"/>
          </w:tcPr>
          <w:p w14:paraId="6A24C0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F408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53BC22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345F53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6A506E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1DA278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“湘当有味的马王堆”美食文化推广活动</w:t>
            </w:r>
          </w:p>
        </w:tc>
        <w:tc>
          <w:tcPr>
            <w:tcW w:w="813" w:type="pct"/>
            <w:shd w:val="clear" w:color="auto" w:fill="auto"/>
            <w:noWrap w:val="0"/>
            <w:vAlign w:val="center"/>
          </w:tcPr>
          <w:p w14:paraId="3B33A47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300</w:t>
            </w:r>
            <w:r>
              <w:rPr>
                <w:rFonts w:hint="default" w:ascii="Times New Roman" w:hAnsi="Times New Roman" w:cs="Times New Roman"/>
                <w:i w:val="0"/>
                <w:iCs w:val="0"/>
                <w:color w:val="auto"/>
                <w:kern w:val="0"/>
                <w:sz w:val="21"/>
                <w:szCs w:val="21"/>
                <w:highlight w:val="none"/>
                <w:u w:val="none"/>
                <w:lang w:val="en-US" w:eastAsia="zh-CN" w:bidi="ar"/>
              </w:rPr>
              <w:t>万元</w:t>
            </w:r>
          </w:p>
        </w:tc>
        <w:tc>
          <w:tcPr>
            <w:tcW w:w="813" w:type="pct"/>
            <w:noWrap w:val="0"/>
            <w:vAlign w:val="center"/>
          </w:tcPr>
          <w:p w14:paraId="390B9BB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300万元</w:t>
            </w:r>
          </w:p>
        </w:tc>
        <w:tc>
          <w:tcPr>
            <w:tcW w:w="814" w:type="pct"/>
            <w:noWrap w:val="0"/>
            <w:vAlign w:val="center"/>
          </w:tcPr>
          <w:p w14:paraId="5EB6118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DDAC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3C32E8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2DD7D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5EB162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871" w:type="pct"/>
            <w:shd w:val="clear" w:color="auto" w:fill="auto"/>
            <w:noWrap w:val="0"/>
            <w:vAlign w:val="center"/>
          </w:tcPr>
          <w:p w14:paraId="6A26376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813" w:type="pct"/>
            <w:noWrap w:val="0"/>
            <w:vAlign w:val="center"/>
          </w:tcPr>
          <w:p w14:paraId="204BC9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813" w:type="pct"/>
            <w:noWrap w:val="0"/>
            <w:vAlign w:val="center"/>
          </w:tcPr>
          <w:p w14:paraId="4ADF17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0次</w:t>
            </w:r>
          </w:p>
        </w:tc>
        <w:tc>
          <w:tcPr>
            <w:tcW w:w="814" w:type="pct"/>
            <w:noWrap w:val="0"/>
            <w:vAlign w:val="center"/>
          </w:tcPr>
          <w:p w14:paraId="43DF0E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p>
        </w:tc>
      </w:tr>
      <w:tr w14:paraId="03BCF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595" w:type="pct"/>
            <w:vMerge w:val="continue"/>
            <w:noWrap w:val="0"/>
            <w:vAlign w:val="center"/>
          </w:tcPr>
          <w:p w14:paraId="4662F1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0"/>
            <w:vAlign w:val="center"/>
          </w:tcPr>
          <w:p w14:paraId="5F411D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17ED2D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71" w:type="pct"/>
            <w:shd w:val="clear" w:color="auto" w:fill="auto"/>
            <w:noWrap w:val="0"/>
            <w:vAlign w:val="center"/>
          </w:tcPr>
          <w:p w14:paraId="261613D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旅游资源普查外业调查造成生态环境重大破坏</w:t>
            </w:r>
          </w:p>
        </w:tc>
        <w:tc>
          <w:tcPr>
            <w:tcW w:w="813" w:type="pct"/>
            <w:shd w:val="clear" w:color="auto" w:fill="auto"/>
            <w:noWrap w:val="0"/>
            <w:vAlign w:val="center"/>
          </w:tcPr>
          <w:p w14:paraId="0F73A5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813" w:type="pct"/>
            <w:shd w:val="clear" w:color="auto" w:fill="auto"/>
            <w:noWrap w:val="0"/>
            <w:vAlign w:val="center"/>
          </w:tcPr>
          <w:p w14:paraId="3F9FF1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0次</w:t>
            </w:r>
          </w:p>
        </w:tc>
        <w:tc>
          <w:tcPr>
            <w:tcW w:w="814" w:type="pct"/>
            <w:noWrap w:val="0"/>
            <w:vAlign w:val="center"/>
          </w:tcPr>
          <w:p w14:paraId="1545DB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2D93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7F0F44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08E4D3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603" w:type="pct"/>
            <w:vMerge w:val="restart"/>
            <w:noWrap/>
            <w:vAlign w:val="center"/>
          </w:tcPr>
          <w:p w14:paraId="2DCECF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71" w:type="pct"/>
            <w:shd w:val="clear" w:color="auto" w:fill="auto"/>
            <w:noWrap w:val="0"/>
            <w:vAlign w:val="center"/>
          </w:tcPr>
          <w:p w14:paraId="676586A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宣传推广项目</w:t>
            </w:r>
          </w:p>
        </w:tc>
        <w:tc>
          <w:tcPr>
            <w:tcW w:w="813" w:type="pct"/>
            <w:shd w:val="clear" w:color="auto" w:fill="auto"/>
            <w:noWrap w:val="0"/>
            <w:vAlign w:val="center"/>
          </w:tcPr>
          <w:p w14:paraId="14106A4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20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813" w:type="pct"/>
            <w:noWrap w:val="0"/>
            <w:vAlign w:val="center"/>
          </w:tcPr>
          <w:p w14:paraId="3DBE44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20个</w:t>
            </w:r>
          </w:p>
        </w:tc>
        <w:tc>
          <w:tcPr>
            <w:tcW w:w="814" w:type="pct"/>
            <w:noWrap w:val="0"/>
            <w:vAlign w:val="center"/>
          </w:tcPr>
          <w:p w14:paraId="3AE119F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E659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3889EE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716F185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0F1D20E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5A8EA7E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w:t>
            </w:r>
          </w:p>
        </w:tc>
        <w:tc>
          <w:tcPr>
            <w:tcW w:w="813" w:type="pct"/>
            <w:shd w:val="clear" w:color="auto" w:fill="auto"/>
            <w:noWrap/>
            <w:vAlign w:val="center"/>
          </w:tcPr>
          <w:p w14:paraId="7B847E3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w:t>
            </w:r>
            <w:r>
              <w:rPr>
                <w:rFonts w:hint="default" w:ascii="Times New Roman" w:hAnsi="Times New Roman" w:eastAsia="仿宋_GB2312" w:cs="Times New Roman"/>
                <w:i w:val="0"/>
                <w:iCs w:val="0"/>
                <w:color w:val="auto"/>
                <w:kern w:val="0"/>
                <w:sz w:val="21"/>
                <w:szCs w:val="21"/>
                <w:highlight w:val="none"/>
                <w:u w:val="none"/>
                <w:lang w:val="en-US" w:eastAsia="zh-CN" w:bidi="ar"/>
              </w:rPr>
              <w:t>4</w:t>
            </w:r>
            <w:r>
              <w:rPr>
                <w:rFonts w:hint="default" w:ascii="Times New Roman" w:hAnsi="Times New Roman" w:cs="Times New Roman"/>
                <w:i w:val="0"/>
                <w:iCs w:val="0"/>
                <w:color w:val="auto"/>
                <w:kern w:val="0"/>
                <w:sz w:val="21"/>
                <w:szCs w:val="21"/>
                <w:highlight w:val="none"/>
                <w:u w:val="none"/>
                <w:lang w:val="en-US" w:eastAsia="zh-CN" w:bidi="ar"/>
              </w:rPr>
              <w:t>个</w:t>
            </w:r>
          </w:p>
        </w:tc>
        <w:tc>
          <w:tcPr>
            <w:tcW w:w="813" w:type="pct"/>
            <w:noWrap/>
            <w:vAlign w:val="center"/>
          </w:tcPr>
          <w:p w14:paraId="6F2518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14个</w:t>
            </w:r>
          </w:p>
        </w:tc>
        <w:tc>
          <w:tcPr>
            <w:tcW w:w="814" w:type="pct"/>
            <w:noWrap/>
            <w:vAlign w:val="center"/>
          </w:tcPr>
          <w:p w14:paraId="2A724E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C5A9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4F7313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32F05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5AC0E0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7A770A8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重大活动</w:t>
            </w:r>
          </w:p>
        </w:tc>
        <w:tc>
          <w:tcPr>
            <w:tcW w:w="813" w:type="pct"/>
            <w:shd w:val="clear" w:color="auto" w:fill="auto"/>
            <w:noWrap/>
            <w:vAlign w:val="center"/>
          </w:tcPr>
          <w:p w14:paraId="1638786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个</w:t>
            </w:r>
          </w:p>
        </w:tc>
        <w:tc>
          <w:tcPr>
            <w:tcW w:w="813" w:type="pct"/>
            <w:noWrap/>
            <w:vAlign w:val="center"/>
          </w:tcPr>
          <w:p w14:paraId="290B2CA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12个</w:t>
            </w:r>
          </w:p>
        </w:tc>
        <w:tc>
          <w:tcPr>
            <w:tcW w:w="814" w:type="pct"/>
            <w:noWrap/>
            <w:vAlign w:val="center"/>
          </w:tcPr>
          <w:p w14:paraId="1E2DC4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6577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jc w:val="center"/>
        </w:trPr>
        <w:tc>
          <w:tcPr>
            <w:tcW w:w="595" w:type="pct"/>
            <w:vMerge w:val="continue"/>
            <w:noWrap w:val="0"/>
            <w:vAlign w:val="center"/>
          </w:tcPr>
          <w:p w14:paraId="054CB9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16271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ign w:val="center"/>
          </w:tcPr>
          <w:p w14:paraId="02E102A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71" w:type="pct"/>
            <w:shd w:val="clear" w:color="auto" w:fill="auto"/>
            <w:noWrap w:val="0"/>
            <w:vAlign w:val="center"/>
          </w:tcPr>
          <w:p w14:paraId="47ABCFF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宣传旅游信息化平台优质率</w:t>
            </w:r>
          </w:p>
        </w:tc>
        <w:tc>
          <w:tcPr>
            <w:tcW w:w="813" w:type="pct"/>
            <w:shd w:val="clear" w:color="auto" w:fill="auto"/>
            <w:noWrap/>
            <w:vAlign w:val="center"/>
          </w:tcPr>
          <w:p w14:paraId="5131AD3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≥85</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noWrap/>
            <w:vAlign w:val="center"/>
          </w:tcPr>
          <w:p w14:paraId="162A21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95%</w:t>
            </w:r>
          </w:p>
        </w:tc>
        <w:tc>
          <w:tcPr>
            <w:tcW w:w="814" w:type="pct"/>
            <w:noWrap/>
            <w:vAlign w:val="center"/>
          </w:tcPr>
          <w:p w14:paraId="36C44B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B1DA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1540D3A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ABEC30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1228D1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722406C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项目验收合格率</w:t>
            </w:r>
          </w:p>
        </w:tc>
        <w:tc>
          <w:tcPr>
            <w:tcW w:w="813" w:type="pct"/>
            <w:shd w:val="clear" w:color="auto" w:fill="auto"/>
            <w:noWrap/>
            <w:vAlign w:val="center"/>
          </w:tcPr>
          <w:p w14:paraId="453DCFE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noWrap/>
            <w:vAlign w:val="center"/>
          </w:tcPr>
          <w:p w14:paraId="085B204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14" w:type="pct"/>
            <w:noWrap/>
            <w:vAlign w:val="center"/>
          </w:tcPr>
          <w:p w14:paraId="008968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2EC2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595" w:type="pct"/>
            <w:vMerge w:val="continue"/>
            <w:noWrap w:val="0"/>
            <w:vAlign w:val="center"/>
          </w:tcPr>
          <w:p w14:paraId="7A6B56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6254C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1CF6F6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13AE0AE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文旅宣传推广达标率</w:t>
            </w:r>
          </w:p>
        </w:tc>
        <w:tc>
          <w:tcPr>
            <w:tcW w:w="813" w:type="pct"/>
            <w:shd w:val="clear" w:color="auto" w:fill="auto"/>
            <w:noWrap w:val="0"/>
            <w:vAlign w:val="center"/>
          </w:tcPr>
          <w:p w14:paraId="5FDB650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noWrap w:val="0"/>
            <w:vAlign w:val="center"/>
          </w:tcPr>
          <w:p w14:paraId="43C9C6F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14" w:type="pct"/>
            <w:noWrap w:val="0"/>
            <w:vAlign w:val="center"/>
          </w:tcPr>
          <w:p w14:paraId="2491AB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1B4C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595" w:type="pct"/>
            <w:vMerge w:val="continue"/>
            <w:noWrap w:val="0"/>
            <w:vAlign w:val="center"/>
          </w:tcPr>
          <w:p w14:paraId="17691D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D4634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ign w:val="center"/>
          </w:tcPr>
          <w:p w14:paraId="7E32E0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871" w:type="pct"/>
            <w:shd w:val="clear" w:color="auto" w:fill="auto"/>
            <w:noWrap w:val="0"/>
            <w:vAlign w:val="center"/>
          </w:tcPr>
          <w:p w14:paraId="526626B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spacing w:val="-11"/>
                <w:kern w:val="0"/>
                <w:sz w:val="21"/>
                <w:szCs w:val="21"/>
                <w:highlight w:val="none"/>
                <w:u w:val="none"/>
                <w:lang w:val="en-US" w:eastAsia="zh-CN" w:bidi="ar"/>
              </w:rPr>
              <w:t>财政资金下拨时间</w:t>
            </w:r>
          </w:p>
        </w:tc>
        <w:tc>
          <w:tcPr>
            <w:tcW w:w="813" w:type="pct"/>
            <w:shd w:val="clear" w:color="auto" w:fill="auto"/>
            <w:noWrap w:val="0"/>
            <w:vAlign w:val="center"/>
          </w:tcPr>
          <w:p w14:paraId="252227B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13" w:type="pct"/>
            <w:shd w:val="clear" w:color="auto" w:fill="auto"/>
            <w:noWrap w:val="0"/>
            <w:vAlign w:val="center"/>
          </w:tcPr>
          <w:p w14:paraId="2E75F06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14" w:type="pct"/>
            <w:noWrap w:val="0"/>
            <w:vAlign w:val="center"/>
          </w:tcPr>
          <w:p w14:paraId="61759D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A6DE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595" w:type="pct"/>
            <w:vMerge w:val="continue"/>
            <w:noWrap w:val="0"/>
            <w:vAlign w:val="center"/>
          </w:tcPr>
          <w:p w14:paraId="018688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41C3F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ign w:val="center"/>
          </w:tcPr>
          <w:p w14:paraId="3B41D1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7F03A42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文旅业务活动开展</w:t>
            </w:r>
          </w:p>
          <w:p w14:paraId="703DAD2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时间</w:t>
            </w:r>
          </w:p>
        </w:tc>
        <w:tc>
          <w:tcPr>
            <w:tcW w:w="813" w:type="pct"/>
            <w:shd w:val="clear" w:color="auto" w:fill="auto"/>
            <w:noWrap w:val="0"/>
            <w:vAlign w:val="center"/>
          </w:tcPr>
          <w:p w14:paraId="2116367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813" w:type="pct"/>
            <w:shd w:val="clear" w:color="auto" w:fill="auto"/>
            <w:noWrap w:val="0"/>
            <w:vAlign w:val="center"/>
          </w:tcPr>
          <w:p w14:paraId="4BD2C46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814" w:type="pct"/>
            <w:noWrap w:val="0"/>
            <w:vAlign w:val="center"/>
          </w:tcPr>
          <w:p w14:paraId="6AFE86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CC59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595" w:type="pct"/>
            <w:vMerge w:val="continue"/>
            <w:noWrap w:val="0"/>
            <w:vAlign w:val="center"/>
          </w:tcPr>
          <w:p w14:paraId="488372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779A16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603" w:type="pct"/>
            <w:vMerge w:val="restart"/>
            <w:noWrap w:val="0"/>
            <w:vAlign w:val="center"/>
          </w:tcPr>
          <w:p w14:paraId="75E6DF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经济效益指标</w:t>
            </w:r>
          </w:p>
        </w:tc>
        <w:tc>
          <w:tcPr>
            <w:tcW w:w="871" w:type="pct"/>
            <w:shd w:val="clear" w:color="auto" w:fill="auto"/>
            <w:noWrap w:val="0"/>
            <w:vAlign w:val="center"/>
          </w:tcPr>
          <w:p w14:paraId="017F886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813" w:type="pct"/>
            <w:shd w:val="clear" w:color="auto" w:fill="auto"/>
            <w:noWrap w:val="0"/>
            <w:vAlign w:val="center"/>
          </w:tcPr>
          <w:p w14:paraId="05371F3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shd w:val="clear" w:color="auto" w:fill="auto"/>
            <w:noWrap w:val="0"/>
            <w:vAlign w:val="center"/>
          </w:tcPr>
          <w:p w14:paraId="3D6F922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814" w:type="pct"/>
            <w:shd w:val="clear" w:color="auto" w:fill="auto"/>
            <w:noWrap w:val="0"/>
            <w:vAlign w:val="center"/>
          </w:tcPr>
          <w:p w14:paraId="462071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77D5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2AE51E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E0199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56EF1C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shd w:val="clear" w:color="auto" w:fill="auto"/>
            <w:noWrap w:val="0"/>
            <w:vAlign w:val="center"/>
          </w:tcPr>
          <w:p w14:paraId="2816D25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813" w:type="pct"/>
            <w:shd w:val="clear" w:color="auto" w:fill="auto"/>
            <w:noWrap w:val="0"/>
            <w:vAlign w:val="center"/>
          </w:tcPr>
          <w:p w14:paraId="012F55F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813" w:type="pct"/>
            <w:shd w:val="clear" w:color="auto" w:fill="auto"/>
            <w:noWrap w:val="0"/>
            <w:vAlign w:val="center"/>
          </w:tcPr>
          <w:p w14:paraId="7791172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814" w:type="pct"/>
            <w:shd w:val="clear" w:color="auto" w:fill="auto"/>
            <w:noWrap w:val="0"/>
            <w:vAlign w:val="center"/>
          </w:tcPr>
          <w:p w14:paraId="331BAA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BEBE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95" w:type="pct"/>
            <w:vMerge w:val="continue"/>
            <w:noWrap w:val="0"/>
            <w:vAlign w:val="center"/>
          </w:tcPr>
          <w:p w14:paraId="2231D6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628EF9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5AD9D1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36247E2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813" w:type="pct"/>
            <w:shd w:val="clear" w:color="auto" w:fill="auto"/>
            <w:noWrap w:val="0"/>
            <w:vAlign w:val="center"/>
          </w:tcPr>
          <w:p w14:paraId="1CDBE28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shd w:val="clear" w:color="auto" w:fill="auto"/>
            <w:noWrap w:val="0"/>
            <w:vAlign w:val="center"/>
          </w:tcPr>
          <w:p w14:paraId="170A266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814" w:type="pct"/>
            <w:shd w:val="clear" w:color="auto" w:fill="auto"/>
            <w:noWrap w:val="0"/>
            <w:vAlign w:val="center"/>
          </w:tcPr>
          <w:p w14:paraId="6494B77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1414A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369386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2F77B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0"/>
            <w:vAlign w:val="center"/>
          </w:tcPr>
          <w:p w14:paraId="22C7D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社会效益指标</w:t>
            </w:r>
          </w:p>
        </w:tc>
        <w:tc>
          <w:tcPr>
            <w:tcW w:w="871" w:type="pct"/>
            <w:noWrap w:val="0"/>
            <w:vAlign w:val="center"/>
          </w:tcPr>
          <w:p w14:paraId="4A2E43C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推动旅游与其他产业的融合</w:t>
            </w:r>
          </w:p>
        </w:tc>
        <w:tc>
          <w:tcPr>
            <w:tcW w:w="813" w:type="pct"/>
            <w:noWrap/>
            <w:vAlign w:val="center"/>
          </w:tcPr>
          <w:p w14:paraId="119564F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813" w:type="pct"/>
            <w:noWrap/>
            <w:vAlign w:val="center"/>
          </w:tcPr>
          <w:p w14:paraId="4109EC3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较上一年度有所增强</w:t>
            </w:r>
          </w:p>
        </w:tc>
        <w:tc>
          <w:tcPr>
            <w:tcW w:w="814" w:type="pct"/>
            <w:noWrap/>
            <w:vAlign w:val="center"/>
          </w:tcPr>
          <w:p w14:paraId="08A62A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8F53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3D6258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0BA2D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13031A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71" w:type="pct"/>
            <w:noWrap w:val="0"/>
            <w:vAlign w:val="center"/>
          </w:tcPr>
          <w:p w14:paraId="3F2F2B3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spacing w:val="-6"/>
                <w:kern w:val="0"/>
                <w:sz w:val="21"/>
                <w:szCs w:val="21"/>
                <w:highlight w:val="none"/>
                <w:u w:val="none"/>
                <w:lang w:val="en-US" w:eastAsia="zh-CN" w:bidi="ar"/>
              </w:rPr>
              <w:t>提升本地的知名度，提高本地居民对 本地文化、旅游的热情度</w:t>
            </w:r>
          </w:p>
        </w:tc>
        <w:tc>
          <w:tcPr>
            <w:tcW w:w="813" w:type="pct"/>
            <w:noWrap/>
            <w:vAlign w:val="center"/>
          </w:tcPr>
          <w:p w14:paraId="0BEEE4B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13" w:type="pct"/>
            <w:noWrap/>
            <w:vAlign w:val="center"/>
          </w:tcPr>
          <w:p w14:paraId="686995D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14" w:type="pct"/>
            <w:noWrap/>
            <w:vAlign w:val="center"/>
          </w:tcPr>
          <w:p w14:paraId="171BF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3CE093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595" w:type="pct"/>
            <w:vMerge w:val="continue"/>
            <w:noWrap w:val="0"/>
            <w:vAlign w:val="center"/>
          </w:tcPr>
          <w:p w14:paraId="5B90EEF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6B016E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noWrap w:val="0"/>
            <w:vAlign w:val="center"/>
          </w:tcPr>
          <w:p w14:paraId="117A75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生态效益指标</w:t>
            </w:r>
          </w:p>
        </w:tc>
        <w:tc>
          <w:tcPr>
            <w:tcW w:w="871" w:type="pct"/>
            <w:noWrap w:val="0"/>
            <w:vAlign w:val="center"/>
          </w:tcPr>
          <w:p w14:paraId="59E64C9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对旅游地生态环境</w:t>
            </w:r>
          </w:p>
          <w:p w14:paraId="2F56F7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影响</w:t>
            </w:r>
          </w:p>
        </w:tc>
        <w:tc>
          <w:tcPr>
            <w:tcW w:w="813" w:type="pct"/>
            <w:noWrap/>
            <w:vAlign w:val="center"/>
          </w:tcPr>
          <w:p w14:paraId="41FB5D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13" w:type="pct"/>
            <w:noWrap/>
            <w:vAlign w:val="center"/>
          </w:tcPr>
          <w:p w14:paraId="2C656F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14" w:type="pct"/>
            <w:noWrap/>
            <w:vAlign w:val="center"/>
          </w:tcPr>
          <w:p w14:paraId="378B352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22FE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95" w:type="pct"/>
            <w:vMerge w:val="continue"/>
            <w:noWrap w:val="0"/>
            <w:vAlign w:val="center"/>
          </w:tcPr>
          <w:p w14:paraId="544054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2F6ED95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restart"/>
            <w:noWrap w:val="0"/>
            <w:vAlign w:val="center"/>
          </w:tcPr>
          <w:p w14:paraId="0CDAE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可持续影响指标</w:t>
            </w:r>
          </w:p>
        </w:tc>
        <w:tc>
          <w:tcPr>
            <w:tcW w:w="871" w:type="pct"/>
            <w:shd w:val="clear" w:color="auto" w:fill="auto"/>
            <w:noWrap w:val="0"/>
            <w:vAlign w:val="center"/>
          </w:tcPr>
          <w:p w14:paraId="696BEA0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公共文化服务体系</w:t>
            </w:r>
          </w:p>
        </w:tc>
        <w:tc>
          <w:tcPr>
            <w:tcW w:w="813" w:type="pct"/>
            <w:shd w:val="clear" w:color="auto" w:fill="auto"/>
            <w:noWrap w:val="0"/>
            <w:vAlign w:val="center"/>
          </w:tcPr>
          <w:p w14:paraId="451BCDE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13" w:type="pct"/>
            <w:shd w:val="clear" w:color="auto" w:fill="auto"/>
            <w:noWrap w:val="0"/>
            <w:vAlign w:val="center"/>
          </w:tcPr>
          <w:p w14:paraId="243A1DE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14" w:type="pct"/>
            <w:noWrap w:val="0"/>
            <w:vAlign w:val="center"/>
          </w:tcPr>
          <w:p w14:paraId="195540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9D6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595" w:type="pct"/>
            <w:vMerge w:val="continue"/>
            <w:noWrap w:val="0"/>
            <w:vAlign w:val="center"/>
          </w:tcPr>
          <w:p w14:paraId="53A58E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0E32A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2DF8E79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422B8C9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旅游业经营主体获得银行及融资担保公司的信贷支持</w:t>
            </w:r>
          </w:p>
        </w:tc>
        <w:tc>
          <w:tcPr>
            <w:tcW w:w="813" w:type="pct"/>
            <w:shd w:val="clear" w:color="auto" w:fill="auto"/>
            <w:noWrap w:val="0"/>
            <w:vAlign w:val="center"/>
          </w:tcPr>
          <w:p w14:paraId="452A534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13" w:type="pct"/>
            <w:shd w:val="clear" w:color="auto" w:fill="auto"/>
            <w:noWrap w:val="0"/>
            <w:vAlign w:val="center"/>
          </w:tcPr>
          <w:p w14:paraId="7964C34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SA"/>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14" w:type="pct"/>
            <w:noWrap w:val="0"/>
            <w:vAlign w:val="center"/>
          </w:tcPr>
          <w:p w14:paraId="3CCE32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987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jc w:val="center"/>
        </w:trPr>
        <w:tc>
          <w:tcPr>
            <w:tcW w:w="595" w:type="pct"/>
            <w:vMerge w:val="continue"/>
            <w:noWrap w:val="0"/>
            <w:vAlign w:val="center"/>
          </w:tcPr>
          <w:p w14:paraId="2E872AF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restart"/>
            <w:noWrap/>
            <w:vAlign w:val="center"/>
          </w:tcPr>
          <w:p w14:paraId="783197E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603" w:type="pct"/>
            <w:vMerge w:val="restart"/>
            <w:noWrap w:val="0"/>
            <w:vAlign w:val="center"/>
          </w:tcPr>
          <w:p w14:paraId="009079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71" w:type="pct"/>
            <w:shd w:val="clear" w:color="auto" w:fill="auto"/>
            <w:noWrap w:val="0"/>
            <w:vAlign w:val="center"/>
          </w:tcPr>
          <w:p w14:paraId="6E074A3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旅游企业满意度</w:t>
            </w:r>
          </w:p>
        </w:tc>
        <w:tc>
          <w:tcPr>
            <w:tcW w:w="813" w:type="pct"/>
            <w:shd w:val="clear" w:color="auto" w:fill="auto"/>
            <w:noWrap w:val="0"/>
            <w:vAlign w:val="center"/>
          </w:tcPr>
          <w:p w14:paraId="70E117B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noWrap w:val="0"/>
            <w:vAlign w:val="center"/>
          </w:tcPr>
          <w:p w14:paraId="07857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94.8%</w:t>
            </w:r>
          </w:p>
        </w:tc>
        <w:tc>
          <w:tcPr>
            <w:tcW w:w="814" w:type="pct"/>
            <w:noWrap w:val="0"/>
            <w:vAlign w:val="center"/>
          </w:tcPr>
          <w:p w14:paraId="125F8C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96E6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595" w:type="pct"/>
            <w:vMerge w:val="continue"/>
            <w:noWrap w:val="0"/>
            <w:vAlign w:val="center"/>
          </w:tcPr>
          <w:p w14:paraId="3D8765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8" w:type="pct"/>
            <w:vMerge w:val="continue"/>
            <w:noWrap/>
            <w:vAlign w:val="center"/>
          </w:tcPr>
          <w:p w14:paraId="439259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603" w:type="pct"/>
            <w:vMerge w:val="continue"/>
            <w:noWrap w:val="0"/>
            <w:vAlign w:val="center"/>
          </w:tcPr>
          <w:p w14:paraId="46E944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71" w:type="pct"/>
            <w:shd w:val="clear" w:color="auto" w:fill="auto"/>
            <w:noWrap w:val="0"/>
            <w:vAlign w:val="center"/>
          </w:tcPr>
          <w:p w14:paraId="0409212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813" w:type="pct"/>
            <w:shd w:val="clear" w:color="auto" w:fill="auto"/>
            <w:noWrap w:val="0"/>
            <w:vAlign w:val="center"/>
          </w:tcPr>
          <w:p w14:paraId="0EA22A1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cs="Times New Roman"/>
                <w:lang w:val="en-US" w:eastAsia="zh-CN"/>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cs="Times New Roman"/>
                <w:i w:val="0"/>
                <w:iCs w:val="0"/>
                <w:color w:val="auto"/>
                <w:kern w:val="0"/>
                <w:sz w:val="21"/>
                <w:szCs w:val="21"/>
                <w:highlight w:val="none"/>
                <w:u w:val="none"/>
                <w:lang w:val="en-US" w:eastAsia="zh-CN" w:bidi="ar"/>
              </w:rPr>
              <w:t>%</w:t>
            </w:r>
          </w:p>
        </w:tc>
        <w:tc>
          <w:tcPr>
            <w:tcW w:w="813" w:type="pct"/>
            <w:noWrap w:val="0"/>
            <w:vAlign w:val="center"/>
          </w:tcPr>
          <w:p w14:paraId="3BF6A34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95.6%</w:t>
            </w:r>
          </w:p>
        </w:tc>
        <w:tc>
          <w:tcPr>
            <w:tcW w:w="814" w:type="pct"/>
            <w:noWrap w:val="0"/>
            <w:vAlign w:val="center"/>
          </w:tcPr>
          <w:p w14:paraId="0A96B7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bl>
    <w:p w14:paraId="0C6A77EB">
      <w:pPr>
        <w:rPr>
          <w:rFonts w:hint="default" w:ascii="Times New Roman" w:hAnsi="Times New Roman" w:cs="Times New Roman"/>
          <w:color w:val="auto"/>
        </w:rPr>
      </w:pPr>
    </w:p>
    <w:p w14:paraId="44EBA0F4">
      <w:pPr>
        <w:rPr>
          <w:rFonts w:hint="default" w:ascii="Times New Roman" w:hAnsi="Times New Roman" w:cs="Times New Roman"/>
          <w:color w:val="auto"/>
        </w:rPr>
      </w:pPr>
    </w:p>
    <w:p w14:paraId="543BEA95">
      <w:pPr>
        <w:rPr>
          <w:rFonts w:hint="default" w:ascii="Times New Roman" w:hAnsi="Times New Roman" w:cs="Times New Roman"/>
          <w:color w:val="auto"/>
        </w:rPr>
      </w:pPr>
    </w:p>
    <w:p w14:paraId="7CE22487">
      <w:pPr>
        <w:rPr>
          <w:rFonts w:hint="default" w:ascii="Times New Roman" w:hAnsi="Times New Roman" w:cs="Times New Roman"/>
          <w:color w:val="auto"/>
        </w:rPr>
      </w:pPr>
    </w:p>
    <w:p w14:paraId="59871C3C">
      <w:pPr>
        <w:rPr>
          <w:rFonts w:hint="default" w:ascii="Times New Roman" w:hAnsi="Times New Roman" w:cs="Times New Roman"/>
          <w:color w:val="auto"/>
        </w:rPr>
      </w:pPr>
    </w:p>
    <w:p w14:paraId="3AE81C91">
      <w:pPr>
        <w:rPr>
          <w:rFonts w:hint="default" w:ascii="Times New Roman" w:hAnsi="Times New Roman" w:cs="Times New Roman"/>
          <w:color w:val="auto"/>
        </w:rPr>
      </w:pPr>
    </w:p>
    <w:p w14:paraId="4D056CC7">
      <w:pPr>
        <w:rPr>
          <w:rFonts w:hint="default" w:ascii="Times New Roman" w:hAnsi="Times New Roman" w:cs="Times New Roman"/>
          <w:color w:val="auto"/>
        </w:rPr>
      </w:pPr>
    </w:p>
    <w:p w14:paraId="2267986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54" w:name="_Toc11739"/>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54"/>
    </w:p>
    <w:p w14:paraId="360AAAB8">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3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7"/>
        <w:gridCol w:w="923"/>
        <w:gridCol w:w="865"/>
        <w:gridCol w:w="1638"/>
        <w:gridCol w:w="1587"/>
        <w:gridCol w:w="24"/>
        <w:gridCol w:w="1587"/>
        <w:gridCol w:w="24"/>
        <w:gridCol w:w="1587"/>
        <w:gridCol w:w="24"/>
      </w:tblGrid>
      <w:tr w14:paraId="4C82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noWrap/>
            <w:vAlign w:val="center"/>
          </w:tcPr>
          <w:p w14:paraId="43B59C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支出方向</w:t>
            </w:r>
          </w:p>
        </w:tc>
        <w:tc>
          <w:tcPr>
            <w:tcW w:w="935" w:type="pct"/>
            <w:gridSpan w:val="2"/>
            <w:noWrap w:val="0"/>
            <w:vAlign w:val="center"/>
          </w:tcPr>
          <w:p w14:paraId="426BF39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left="0" w:leftChars="0" w:firstLine="0" w:firstLineChars="0"/>
              <w:jc w:val="both"/>
              <w:textAlignment w:val="center"/>
              <w:rPr>
                <w:rFonts w:hint="default" w:ascii="Times New Roman" w:hAnsi="Times New Roman" w:eastAsia="仿宋_GB2312" w:cs="Times New Roman"/>
                <w:i w:val="0"/>
                <w:iCs w:val="0"/>
                <w:color w:val="auto"/>
                <w:sz w:val="21"/>
                <w:szCs w:val="21"/>
                <w:highlight w:val="none"/>
                <w:u w:val="none"/>
                <w:lang w:val="en-US"/>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文旅设施维修及设备更新</w:t>
            </w:r>
          </w:p>
        </w:tc>
        <w:tc>
          <w:tcPr>
            <w:tcW w:w="857" w:type="pct"/>
            <w:noWrap/>
            <w:vAlign w:val="center"/>
          </w:tcPr>
          <w:p w14:paraId="55EFBAC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所属专项</w:t>
            </w:r>
          </w:p>
        </w:tc>
        <w:tc>
          <w:tcPr>
            <w:tcW w:w="2528" w:type="pct"/>
            <w:gridSpan w:val="6"/>
            <w:noWrap w:val="0"/>
            <w:vAlign w:val="center"/>
          </w:tcPr>
          <w:p w14:paraId="74F0CF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6D8EB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noWrap/>
            <w:vAlign w:val="center"/>
          </w:tcPr>
          <w:p w14:paraId="13AA8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省级主管部门</w:t>
            </w:r>
          </w:p>
        </w:tc>
        <w:tc>
          <w:tcPr>
            <w:tcW w:w="4321" w:type="pct"/>
            <w:gridSpan w:val="9"/>
            <w:noWrap/>
            <w:vAlign w:val="center"/>
          </w:tcPr>
          <w:p w14:paraId="7262B4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湖南省文化和旅游厅</w:t>
            </w:r>
          </w:p>
        </w:tc>
      </w:tr>
      <w:tr w14:paraId="3ED3EB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restart"/>
            <w:noWrap/>
            <w:vAlign w:val="center"/>
          </w:tcPr>
          <w:p w14:paraId="5ACEB9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资金拨付情况</w:t>
            </w:r>
          </w:p>
        </w:tc>
        <w:tc>
          <w:tcPr>
            <w:tcW w:w="935" w:type="pct"/>
            <w:gridSpan w:val="2"/>
            <w:noWrap/>
            <w:vAlign w:val="center"/>
          </w:tcPr>
          <w:p w14:paraId="2EC8DE2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预算数</w:t>
            </w:r>
          </w:p>
        </w:tc>
        <w:tc>
          <w:tcPr>
            <w:tcW w:w="857" w:type="pct"/>
            <w:noWrap/>
            <w:vAlign w:val="center"/>
          </w:tcPr>
          <w:p w14:paraId="041EC8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完成数</w:t>
            </w:r>
          </w:p>
        </w:tc>
        <w:tc>
          <w:tcPr>
            <w:tcW w:w="2528" w:type="pct"/>
            <w:gridSpan w:val="6"/>
            <w:noWrap w:val="0"/>
            <w:vAlign w:val="center"/>
          </w:tcPr>
          <w:p w14:paraId="4A2C69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cs="Times New Roman"/>
                <w:i w:val="0"/>
                <w:iCs w:val="0"/>
                <w:color w:val="auto"/>
                <w:sz w:val="21"/>
                <w:szCs w:val="21"/>
                <w:highlight w:val="none"/>
                <w:u w:val="none"/>
                <w:lang w:val="en-US" w:eastAsia="zh-CN"/>
              </w:rPr>
              <w:t>执行率</w:t>
            </w:r>
          </w:p>
        </w:tc>
      </w:tr>
      <w:tr w14:paraId="6AFA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678" w:type="pct"/>
            <w:vMerge w:val="continue"/>
            <w:noWrap/>
            <w:vAlign w:val="center"/>
          </w:tcPr>
          <w:p w14:paraId="2B047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935" w:type="pct"/>
            <w:gridSpan w:val="2"/>
            <w:noWrap/>
            <w:vAlign w:val="center"/>
          </w:tcPr>
          <w:p w14:paraId="1FC7B4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1510</w:t>
            </w:r>
          </w:p>
        </w:tc>
        <w:tc>
          <w:tcPr>
            <w:tcW w:w="857" w:type="pct"/>
            <w:noWrap/>
            <w:vAlign w:val="center"/>
          </w:tcPr>
          <w:p w14:paraId="1878E62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1510</w:t>
            </w:r>
          </w:p>
        </w:tc>
        <w:tc>
          <w:tcPr>
            <w:tcW w:w="2528" w:type="pct"/>
            <w:gridSpan w:val="6"/>
            <w:noWrap w:val="0"/>
            <w:vAlign w:val="center"/>
          </w:tcPr>
          <w:p w14:paraId="272E2A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color w:val="auto"/>
                <w:kern w:val="0"/>
                <w:sz w:val="21"/>
                <w:szCs w:val="21"/>
                <w:highlight w:val="none"/>
                <w:lang w:val="en-US" w:eastAsia="zh-CN"/>
              </w:rPr>
            </w:pPr>
            <w:r>
              <w:rPr>
                <w:rFonts w:hint="default" w:ascii="Times New Roman" w:hAnsi="Times New Roman" w:cs="Times New Roman"/>
                <w:color w:val="auto"/>
                <w:kern w:val="0"/>
                <w:sz w:val="21"/>
                <w:szCs w:val="21"/>
                <w:highlight w:val="none"/>
                <w:lang w:val="en-US" w:eastAsia="zh-CN"/>
              </w:rPr>
              <w:t>100%</w:t>
            </w:r>
          </w:p>
        </w:tc>
      </w:tr>
      <w:tr w14:paraId="2575A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678" w:type="pct"/>
            <w:noWrap w:val="0"/>
            <w:vAlign w:val="center"/>
          </w:tcPr>
          <w:p w14:paraId="7DCA77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w:t>
            </w:r>
          </w:p>
        </w:tc>
        <w:tc>
          <w:tcPr>
            <w:tcW w:w="4321" w:type="pct"/>
            <w:gridSpan w:val="9"/>
            <w:shd w:val="clear" w:color="auto" w:fill="auto"/>
            <w:noWrap w:val="0"/>
            <w:vAlign w:val="center"/>
          </w:tcPr>
          <w:p w14:paraId="26B7CBD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全省文化场馆设施维修及设备购置项目20个以上，提升文物保护利用能力、提升游客接待能力和服务水平，推动文化和旅游高质量发展。</w:t>
            </w:r>
          </w:p>
        </w:tc>
      </w:tr>
      <w:tr w14:paraId="55DAD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8" w:hRule="atLeast"/>
          <w:jc w:val="center"/>
        </w:trPr>
        <w:tc>
          <w:tcPr>
            <w:tcW w:w="678" w:type="pct"/>
            <w:noWrap/>
            <w:vAlign w:val="center"/>
          </w:tcPr>
          <w:p w14:paraId="4ADCD56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321" w:type="pct"/>
            <w:gridSpan w:val="9"/>
            <w:shd w:val="clear" w:color="auto" w:fill="auto"/>
            <w:noWrap w:val="0"/>
            <w:vAlign w:val="center"/>
          </w:tcPr>
          <w:p w14:paraId="2DE3919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本年度，全省共实施文化场馆设施维修及设备购置项目 23 个，超额完成 20 个以上的年度目标任务。通过对博物馆、图书馆、文化馆等公共文化场馆设施的维修改造和设备更新，文物保护利用条件得到显著改善，游客接待能力与公共文化服务水平有效提升，为文化和旅游高质量发展提供了坚实的设施保障。</w:t>
            </w:r>
          </w:p>
        </w:tc>
      </w:tr>
      <w:tr w14:paraId="5CB1E6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jc w:val="center"/>
        </w:trPr>
        <w:tc>
          <w:tcPr>
            <w:tcW w:w="678" w:type="pct"/>
            <w:vMerge w:val="restart"/>
            <w:noWrap w:val="0"/>
            <w:vAlign w:val="center"/>
          </w:tcPr>
          <w:p w14:paraId="570DFD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本年度绩效指标</w:t>
            </w:r>
          </w:p>
        </w:tc>
        <w:tc>
          <w:tcPr>
            <w:tcW w:w="482" w:type="pct"/>
            <w:noWrap/>
            <w:vAlign w:val="center"/>
          </w:tcPr>
          <w:p w14:paraId="05B0B9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一级指标</w:t>
            </w:r>
          </w:p>
        </w:tc>
        <w:tc>
          <w:tcPr>
            <w:tcW w:w="452" w:type="pct"/>
            <w:noWrap/>
            <w:vAlign w:val="center"/>
          </w:tcPr>
          <w:p w14:paraId="5B8DE1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二级指标</w:t>
            </w:r>
          </w:p>
        </w:tc>
        <w:tc>
          <w:tcPr>
            <w:tcW w:w="857" w:type="pct"/>
            <w:noWrap/>
            <w:vAlign w:val="center"/>
          </w:tcPr>
          <w:p w14:paraId="29EFBF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三级指标</w:t>
            </w:r>
          </w:p>
        </w:tc>
        <w:tc>
          <w:tcPr>
            <w:tcW w:w="842" w:type="pct"/>
            <w:gridSpan w:val="2"/>
            <w:noWrap/>
            <w:vAlign w:val="center"/>
          </w:tcPr>
          <w:p w14:paraId="2F13F0E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指标值及单位</w:t>
            </w:r>
          </w:p>
        </w:tc>
        <w:tc>
          <w:tcPr>
            <w:tcW w:w="842" w:type="pct"/>
            <w:gridSpan w:val="2"/>
            <w:noWrap/>
            <w:vAlign w:val="center"/>
          </w:tcPr>
          <w:p w14:paraId="67F14EE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842" w:type="pct"/>
            <w:gridSpan w:val="2"/>
            <w:noWrap/>
            <w:vAlign w:val="center"/>
          </w:tcPr>
          <w:p w14:paraId="37EB61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16D2A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7612C7C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0"/>
            <w:vAlign w:val="center"/>
          </w:tcPr>
          <w:p w14:paraId="7A164F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成本指标</w:t>
            </w:r>
          </w:p>
        </w:tc>
        <w:tc>
          <w:tcPr>
            <w:tcW w:w="452" w:type="pct"/>
            <w:vMerge w:val="restart"/>
            <w:noWrap w:val="0"/>
            <w:vAlign w:val="center"/>
          </w:tcPr>
          <w:p w14:paraId="21BEA4C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经济成本指标</w:t>
            </w:r>
          </w:p>
        </w:tc>
        <w:tc>
          <w:tcPr>
            <w:tcW w:w="857" w:type="pct"/>
            <w:shd w:val="clear" w:color="auto" w:fill="auto"/>
            <w:noWrap w:val="0"/>
            <w:vAlign w:val="center"/>
          </w:tcPr>
          <w:p w14:paraId="693C249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市州文化设施维修改造支持资金</w:t>
            </w:r>
          </w:p>
        </w:tc>
        <w:tc>
          <w:tcPr>
            <w:tcW w:w="830" w:type="pct"/>
            <w:shd w:val="clear" w:color="auto" w:fill="auto"/>
            <w:noWrap w:val="0"/>
            <w:vAlign w:val="center"/>
          </w:tcPr>
          <w:p w14:paraId="7767D66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20万元-50万元</w:t>
            </w:r>
            <w:r>
              <w:rPr>
                <w:rFonts w:hint="default" w:ascii="Times New Roman" w:hAnsi="Times New Roman" w:eastAsia="仿宋_GB2312" w:cs="Times New Roman"/>
                <w:i w:val="0"/>
                <w:iCs w:val="0"/>
                <w:color w:val="auto"/>
                <w:kern w:val="0"/>
                <w:sz w:val="21"/>
                <w:szCs w:val="21"/>
                <w:highlight w:val="none"/>
                <w:u w:val="none"/>
                <w:lang w:val="en-US" w:eastAsia="zh-CN" w:bidi="ar"/>
              </w:rPr>
              <w:t>/个</w:t>
            </w:r>
          </w:p>
        </w:tc>
        <w:tc>
          <w:tcPr>
            <w:tcW w:w="842" w:type="pct"/>
            <w:gridSpan w:val="2"/>
            <w:shd w:val="clear" w:color="auto" w:fill="auto"/>
            <w:noWrap w:val="0"/>
            <w:vAlign w:val="center"/>
          </w:tcPr>
          <w:p w14:paraId="4FA96ED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kern w:val="0"/>
                <w:sz w:val="21"/>
                <w:szCs w:val="21"/>
                <w:highlight w:val="none"/>
                <w:u w:val="none"/>
                <w:lang w:val="en-US" w:eastAsia="zh-CN" w:bidi="ar"/>
              </w:rPr>
              <w:t>20万元-50万元</w:t>
            </w:r>
            <w:r>
              <w:rPr>
                <w:rFonts w:hint="default" w:ascii="Times New Roman" w:hAnsi="Times New Roman" w:eastAsia="仿宋_GB2312" w:cs="Times New Roman"/>
                <w:i w:val="0"/>
                <w:iCs w:val="0"/>
                <w:color w:val="auto"/>
                <w:kern w:val="0"/>
                <w:sz w:val="21"/>
                <w:szCs w:val="21"/>
                <w:highlight w:val="none"/>
                <w:u w:val="none"/>
                <w:lang w:val="en-US" w:eastAsia="zh-CN" w:bidi="ar"/>
              </w:rPr>
              <w:t>/个</w:t>
            </w:r>
          </w:p>
        </w:tc>
        <w:tc>
          <w:tcPr>
            <w:tcW w:w="842" w:type="pct"/>
            <w:gridSpan w:val="2"/>
            <w:noWrap w:val="0"/>
            <w:vAlign w:val="center"/>
          </w:tcPr>
          <w:p w14:paraId="5725C56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33A8C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4EBD981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366B6A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0D7A0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6176F39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省直单位文化设施维修改造支持资金</w:t>
            </w:r>
          </w:p>
        </w:tc>
        <w:tc>
          <w:tcPr>
            <w:tcW w:w="830" w:type="pct"/>
            <w:shd w:val="clear" w:color="auto" w:fill="auto"/>
            <w:noWrap w:val="0"/>
            <w:vAlign w:val="center"/>
          </w:tcPr>
          <w:p w14:paraId="5A2EA93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120万元以上（）含），3个；50-120万元（不含），6个</w:t>
            </w:r>
          </w:p>
        </w:tc>
        <w:tc>
          <w:tcPr>
            <w:tcW w:w="842" w:type="pct"/>
            <w:gridSpan w:val="2"/>
            <w:shd w:val="clear" w:color="auto" w:fill="auto"/>
            <w:noWrap w:val="0"/>
            <w:vAlign w:val="center"/>
          </w:tcPr>
          <w:p w14:paraId="713BFFE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120万元以上（）含），3个；50-120万元（不含），6个</w:t>
            </w:r>
          </w:p>
        </w:tc>
        <w:tc>
          <w:tcPr>
            <w:tcW w:w="842" w:type="pct"/>
            <w:gridSpan w:val="2"/>
            <w:noWrap w:val="0"/>
            <w:vAlign w:val="center"/>
          </w:tcPr>
          <w:p w14:paraId="4E7CF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1FCAC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1DC74E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26B9F31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noWrap w:val="0"/>
            <w:vAlign w:val="center"/>
          </w:tcPr>
          <w:p w14:paraId="04BB9F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社会成本指标</w:t>
            </w:r>
          </w:p>
        </w:tc>
        <w:tc>
          <w:tcPr>
            <w:tcW w:w="857" w:type="pct"/>
            <w:shd w:val="clear" w:color="auto" w:fill="auto"/>
            <w:noWrap w:val="0"/>
            <w:vAlign w:val="center"/>
          </w:tcPr>
          <w:p w14:paraId="1C1F7CD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因违规操作导致的重大安全事故</w:t>
            </w:r>
          </w:p>
        </w:tc>
        <w:tc>
          <w:tcPr>
            <w:tcW w:w="830" w:type="pct"/>
            <w:shd w:val="clear" w:color="auto" w:fill="auto"/>
            <w:noWrap w:val="0"/>
            <w:vAlign w:val="center"/>
          </w:tcPr>
          <w:p w14:paraId="0BE2743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=0</w:t>
            </w:r>
            <w:r>
              <w:rPr>
                <w:rFonts w:hint="default" w:ascii="Times New Roman" w:hAnsi="Times New Roman" w:cs="Times New Roman"/>
                <w:i w:val="0"/>
                <w:iCs w:val="0"/>
                <w:color w:val="auto"/>
                <w:kern w:val="0"/>
                <w:sz w:val="21"/>
                <w:szCs w:val="21"/>
                <w:highlight w:val="none"/>
                <w:u w:val="none"/>
                <w:lang w:val="en-US" w:eastAsia="zh-CN" w:bidi="ar"/>
              </w:rPr>
              <w:t>次</w:t>
            </w:r>
          </w:p>
        </w:tc>
        <w:tc>
          <w:tcPr>
            <w:tcW w:w="842" w:type="pct"/>
            <w:gridSpan w:val="2"/>
            <w:noWrap w:val="0"/>
            <w:vAlign w:val="center"/>
          </w:tcPr>
          <w:p w14:paraId="67A407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0次</w:t>
            </w:r>
          </w:p>
        </w:tc>
        <w:tc>
          <w:tcPr>
            <w:tcW w:w="842" w:type="pct"/>
            <w:gridSpan w:val="2"/>
            <w:noWrap w:val="0"/>
            <w:vAlign w:val="center"/>
          </w:tcPr>
          <w:p w14:paraId="389E64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5625B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3DD06DF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0"/>
            <w:vAlign w:val="center"/>
          </w:tcPr>
          <w:p w14:paraId="3F2D21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noWrap w:val="0"/>
            <w:vAlign w:val="center"/>
          </w:tcPr>
          <w:p w14:paraId="69DF3D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生态环境成本指标</w:t>
            </w:r>
          </w:p>
        </w:tc>
        <w:tc>
          <w:tcPr>
            <w:tcW w:w="857" w:type="pct"/>
            <w:shd w:val="clear" w:color="auto" w:fill="auto"/>
            <w:noWrap w:val="0"/>
            <w:vAlign w:val="center"/>
          </w:tcPr>
          <w:p w14:paraId="7D8BF71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不占用永久基本农田和生态保护红线的零星民宿用地</w:t>
            </w:r>
          </w:p>
        </w:tc>
        <w:tc>
          <w:tcPr>
            <w:tcW w:w="830" w:type="pct"/>
            <w:shd w:val="clear" w:color="auto" w:fill="auto"/>
            <w:noWrap w:val="0"/>
            <w:vAlign w:val="center"/>
          </w:tcPr>
          <w:p w14:paraId="779EA79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r>
              <w:rPr>
                <w:rFonts w:hint="default" w:ascii="Times New Roman" w:hAnsi="Times New Roman" w:cs="Times New Roman"/>
                <w:i w:val="0"/>
                <w:iCs w:val="0"/>
                <w:color w:val="auto"/>
                <w:kern w:val="0"/>
                <w:sz w:val="21"/>
                <w:szCs w:val="21"/>
                <w:highlight w:val="none"/>
                <w:u w:val="none"/>
                <w:lang w:val="en-US" w:eastAsia="zh-CN" w:bidi="ar"/>
              </w:rPr>
              <w:t>平方米</w:t>
            </w:r>
          </w:p>
        </w:tc>
        <w:tc>
          <w:tcPr>
            <w:tcW w:w="842" w:type="pct"/>
            <w:gridSpan w:val="2"/>
            <w:noWrap w:val="0"/>
            <w:vAlign w:val="center"/>
          </w:tcPr>
          <w:p w14:paraId="7384BB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0</w:t>
            </w:r>
          </w:p>
        </w:tc>
        <w:tc>
          <w:tcPr>
            <w:tcW w:w="842" w:type="pct"/>
            <w:gridSpan w:val="2"/>
            <w:noWrap w:val="0"/>
            <w:vAlign w:val="center"/>
          </w:tcPr>
          <w:p w14:paraId="2A8046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624F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64EE0A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19EDEC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产出指标</w:t>
            </w:r>
          </w:p>
        </w:tc>
        <w:tc>
          <w:tcPr>
            <w:tcW w:w="452" w:type="pct"/>
            <w:vMerge w:val="restart"/>
            <w:noWrap/>
            <w:vAlign w:val="center"/>
          </w:tcPr>
          <w:p w14:paraId="4CBCA6C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数量指标</w:t>
            </w:r>
          </w:p>
        </w:tc>
        <w:tc>
          <w:tcPr>
            <w:tcW w:w="857" w:type="pct"/>
            <w:shd w:val="clear" w:color="auto" w:fill="auto"/>
            <w:noWrap w:val="0"/>
            <w:vAlign w:val="center"/>
          </w:tcPr>
          <w:p w14:paraId="6BF99AC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全省文化场馆设施维修及设备购置</w:t>
            </w:r>
          </w:p>
        </w:tc>
        <w:tc>
          <w:tcPr>
            <w:tcW w:w="830" w:type="pct"/>
            <w:shd w:val="clear" w:color="auto" w:fill="auto"/>
            <w:noWrap w:val="0"/>
            <w:vAlign w:val="center"/>
          </w:tcPr>
          <w:p w14:paraId="0B1B6BB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w:t>
            </w:r>
            <w:r>
              <w:rPr>
                <w:rFonts w:hint="default" w:ascii="Times New Roman" w:hAnsi="Times New Roman" w:cs="Times New Roman"/>
                <w:i w:val="0"/>
                <w:iCs w:val="0"/>
                <w:color w:val="auto"/>
                <w:kern w:val="0"/>
                <w:sz w:val="21"/>
                <w:szCs w:val="21"/>
                <w:highlight w:val="none"/>
                <w:u w:val="none"/>
                <w:lang w:val="en-US" w:eastAsia="zh-CN" w:bidi="ar"/>
              </w:rPr>
              <w:t>项</w:t>
            </w:r>
          </w:p>
        </w:tc>
        <w:tc>
          <w:tcPr>
            <w:tcW w:w="842" w:type="pct"/>
            <w:gridSpan w:val="2"/>
            <w:noWrap w:val="0"/>
            <w:vAlign w:val="center"/>
          </w:tcPr>
          <w:p w14:paraId="499EE7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20项</w:t>
            </w:r>
          </w:p>
        </w:tc>
        <w:tc>
          <w:tcPr>
            <w:tcW w:w="842" w:type="pct"/>
            <w:gridSpan w:val="2"/>
            <w:noWrap w:val="0"/>
            <w:vAlign w:val="center"/>
          </w:tcPr>
          <w:p w14:paraId="474D17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6FBD1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483A56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062A0C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24A07B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ign w:val="center"/>
          </w:tcPr>
          <w:p w14:paraId="56E5CF3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文旅基础设施提升涉及市州</w:t>
            </w:r>
          </w:p>
        </w:tc>
        <w:tc>
          <w:tcPr>
            <w:tcW w:w="830" w:type="pct"/>
            <w:shd w:val="clear" w:color="auto" w:fill="auto"/>
            <w:noWrap w:val="0"/>
            <w:vAlign w:val="center"/>
          </w:tcPr>
          <w:p w14:paraId="0F1AB66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9</w:t>
            </w:r>
            <w:r>
              <w:rPr>
                <w:rFonts w:hint="default" w:ascii="Times New Roman" w:hAnsi="Times New Roman" w:cs="Times New Roman"/>
                <w:i w:val="0"/>
                <w:iCs w:val="0"/>
                <w:color w:val="auto"/>
                <w:kern w:val="0"/>
                <w:sz w:val="21"/>
                <w:szCs w:val="21"/>
                <w:highlight w:val="none"/>
                <w:u w:val="none"/>
                <w:lang w:val="en-US" w:eastAsia="zh-CN" w:bidi="ar"/>
              </w:rPr>
              <w:t>个市州</w:t>
            </w:r>
          </w:p>
        </w:tc>
        <w:tc>
          <w:tcPr>
            <w:tcW w:w="842" w:type="pct"/>
            <w:gridSpan w:val="2"/>
            <w:noWrap w:val="0"/>
            <w:vAlign w:val="center"/>
          </w:tcPr>
          <w:p w14:paraId="6F43EC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9个市州</w:t>
            </w:r>
          </w:p>
        </w:tc>
        <w:tc>
          <w:tcPr>
            <w:tcW w:w="842" w:type="pct"/>
            <w:gridSpan w:val="2"/>
            <w:noWrap w:val="0"/>
            <w:vAlign w:val="center"/>
          </w:tcPr>
          <w:p w14:paraId="34F35A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32687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765877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018E937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ign w:val="center"/>
          </w:tcPr>
          <w:p w14:paraId="1DA0CC9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质量指标</w:t>
            </w:r>
          </w:p>
        </w:tc>
        <w:tc>
          <w:tcPr>
            <w:tcW w:w="857" w:type="pct"/>
            <w:shd w:val="clear" w:color="auto" w:fill="auto"/>
            <w:noWrap w:val="0"/>
            <w:vAlign w:val="center"/>
          </w:tcPr>
          <w:p w14:paraId="3A9D70A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项目验收合格率</w:t>
            </w:r>
          </w:p>
        </w:tc>
        <w:tc>
          <w:tcPr>
            <w:tcW w:w="830" w:type="pct"/>
            <w:shd w:val="clear" w:color="auto" w:fill="auto"/>
            <w:noWrap w:val="0"/>
            <w:vAlign w:val="center"/>
          </w:tcPr>
          <w:p w14:paraId="6B7B8A8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2F6EB1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7BE792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5DCC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283DA4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77EBE42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55F084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58DD3E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文化设施维修改造项目开工率</w:t>
            </w:r>
          </w:p>
        </w:tc>
        <w:tc>
          <w:tcPr>
            <w:tcW w:w="830" w:type="pct"/>
            <w:shd w:val="clear" w:color="auto" w:fill="auto"/>
            <w:noWrap w:val="0"/>
            <w:vAlign w:val="center"/>
          </w:tcPr>
          <w:p w14:paraId="6E6B18F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2F1E6F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328AEF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7927E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2" w:type="pct"/>
          <w:trHeight w:val="170" w:hRule="atLeast"/>
          <w:jc w:val="center"/>
        </w:trPr>
        <w:tc>
          <w:tcPr>
            <w:tcW w:w="678" w:type="pct"/>
            <w:vMerge w:val="continue"/>
            <w:noWrap w:val="0"/>
            <w:vAlign w:val="center"/>
          </w:tcPr>
          <w:p w14:paraId="40A53CE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22B707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58D8FF3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70CCF02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文化设施购置设备合格率</w:t>
            </w:r>
          </w:p>
        </w:tc>
        <w:tc>
          <w:tcPr>
            <w:tcW w:w="830" w:type="pct"/>
            <w:shd w:val="clear" w:color="auto" w:fill="auto"/>
            <w:noWrap w:val="0"/>
            <w:vAlign w:val="center"/>
          </w:tcPr>
          <w:p w14:paraId="6CDBB6C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35080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0F5FD17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11379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6" w:hRule="atLeast"/>
          <w:jc w:val="center"/>
        </w:trPr>
        <w:tc>
          <w:tcPr>
            <w:tcW w:w="678" w:type="pct"/>
            <w:vMerge w:val="continue"/>
            <w:noWrap w:val="0"/>
            <w:vAlign w:val="center"/>
          </w:tcPr>
          <w:p w14:paraId="015353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64CE55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ign w:val="center"/>
          </w:tcPr>
          <w:p w14:paraId="7720E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时效指标</w:t>
            </w:r>
          </w:p>
        </w:tc>
        <w:tc>
          <w:tcPr>
            <w:tcW w:w="857" w:type="pct"/>
            <w:shd w:val="clear" w:color="auto" w:fill="auto"/>
            <w:noWrap w:val="0"/>
            <w:vAlign w:val="center"/>
          </w:tcPr>
          <w:p w14:paraId="08E9177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财政资金下拨时间</w:t>
            </w:r>
          </w:p>
        </w:tc>
        <w:tc>
          <w:tcPr>
            <w:tcW w:w="842" w:type="pct"/>
            <w:gridSpan w:val="2"/>
            <w:shd w:val="clear" w:color="auto" w:fill="auto"/>
            <w:noWrap w:val="0"/>
            <w:vAlign w:val="center"/>
          </w:tcPr>
          <w:p w14:paraId="20E9C69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42" w:type="pct"/>
            <w:gridSpan w:val="2"/>
            <w:shd w:val="clear" w:color="auto" w:fill="auto"/>
            <w:noWrap w:val="0"/>
            <w:vAlign w:val="center"/>
          </w:tcPr>
          <w:p w14:paraId="2C2544D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842" w:type="pct"/>
            <w:gridSpan w:val="2"/>
            <w:noWrap w:val="0"/>
            <w:vAlign w:val="center"/>
          </w:tcPr>
          <w:p w14:paraId="44DE07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3D162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097643A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0135F4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06DDE2B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782A59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项目完成时间</w:t>
            </w:r>
          </w:p>
        </w:tc>
        <w:tc>
          <w:tcPr>
            <w:tcW w:w="842" w:type="pct"/>
            <w:gridSpan w:val="2"/>
            <w:shd w:val="clear" w:color="auto" w:fill="auto"/>
            <w:noWrap w:val="0"/>
            <w:vAlign w:val="center"/>
          </w:tcPr>
          <w:p w14:paraId="5E95C75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842" w:type="pct"/>
            <w:gridSpan w:val="2"/>
            <w:shd w:val="clear" w:color="auto" w:fill="auto"/>
            <w:noWrap w:val="0"/>
            <w:vAlign w:val="center"/>
          </w:tcPr>
          <w:p w14:paraId="23EE7AF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2025年12月31日前</w:t>
            </w:r>
          </w:p>
        </w:tc>
        <w:tc>
          <w:tcPr>
            <w:tcW w:w="842" w:type="pct"/>
            <w:gridSpan w:val="2"/>
            <w:noWrap w:val="0"/>
            <w:vAlign w:val="center"/>
          </w:tcPr>
          <w:p w14:paraId="097DA29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1FBD0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78" w:type="pct"/>
            <w:vMerge w:val="continue"/>
            <w:noWrap w:val="0"/>
            <w:vAlign w:val="center"/>
          </w:tcPr>
          <w:p w14:paraId="3011E6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158B6A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1B988D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55862F1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项目开工时间</w:t>
            </w:r>
          </w:p>
        </w:tc>
        <w:tc>
          <w:tcPr>
            <w:tcW w:w="842" w:type="pct"/>
            <w:gridSpan w:val="2"/>
            <w:shd w:val="clear" w:color="auto" w:fill="auto"/>
            <w:noWrap w:val="0"/>
            <w:vAlign w:val="center"/>
          </w:tcPr>
          <w:p w14:paraId="45BC83B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2025年6月30日前开工率达60%</w:t>
            </w:r>
          </w:p>
        </w:tc>
        <w:tc>
          <w:tcPr>
            <w:tcW w:w="842" w:type="pct"/>
            <w:gridSpan w:val="2"/>
            <w:shd w:val="clear" w:color="auto" w:fill="auto"/>
            <w:noWrap w:val="0"/>
            <w:vAlign w:val="center"/>
          </w:tcPr>
          <w:p w14:paraId="034CE628">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2025年6月30日前开工率达60%</w:t>
            </w:r>
          </w:p>
        </w:tc>
        <w:tc>
          <w:tcPr>
            <w:tcW w:w="842" w:type="pct"/>
            <w:gridSpan w:val="2"/>
            <w:noWrap w:val="0"/>
            <w:vAlign w:val="center"/>
          </w:tcPr>
          <w:p w14:paraId="7793E5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3755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9" w:hRule="atLeast"/>
          <w:jc w:val="center"/>
        </w:trPr>
        <w:tc>
          <w:tcPr>
            <w:tcW w:w="678" w:type="pct"/>
            <w:vMerge w:val="continue"/>
            <w:noWrap w:val="0"/>
            <w:vAlign w:val="center"/>
          </w:tcPr>
          <w:p w14:paraId="4E858E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0E6F4B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ign w:val="center"/>
          </w:tcPr>
          <w:p w14:paraId="0A10A5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0EED4B0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项目验收时间</w:t>
            </w:r>
          </w:p>
        </w:tc>
        <w:tc>
          <w:tcPr>
            <w:tcW w:w="842" w:type="pct"/>
            <w:gridSpan w:val="2"/>
            <w:shd w:val="clear" w:color="auto" w:fill="auto"/>
            <w:noWrap w:val="0"/>
            <w:vAlign w:val="center"/>
          </w:tcPr>
          <w:p w14:paraId="2CCB13A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2026年6月底前</w:t>
            </w:r>
          </w:p>
        </w:tc>
        <w:tc>
          <w:tcPr>
            <w:tcW w:w="842" w:type="pct"/>
            <w:gridSpan w:val="2"/>
            <w:shd w:val="clear" w:color="auto" w:fill="auto"/>
            <w:noWrap w:val="0"/>
            <w:vAlign w:val="center"/>
          </w:tcPr>
          <w:p w14:paraId="21EE629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2026年6月底前</w:t>
            </w:r>
          </w:p>
        </w:tc>
        <w:tc>
          <w:tcPr>
            <w:tcW w:w="842" w:type="pct"/>
            <w:gridSpan w:val="2"/>
            <w:noWrap w:val="0"/>
            <w:vAlign w:val="center"/>
          </w:tcPr>
          <w:p w14:paraId="0A257C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28D6E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78" w:type="pct"/>
            <w:vMerge w:val="continue"/>
            <w:noWrap w:val="0"/>
            <w:vAlign w:val="center"/>
          </w:tcPr>
          <w:p w14:paraId="0D81E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71284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效益指标</w:t>
            </w:r>
          </w:p>
        </w:tc>
        <w:tc>
          <w:tcPr>
            <w:tcW w:w="452" w:type="pct"/>
            <w:vMerge w:val="restart"/>
            <w:noWrap w:val="0"/>
            <w:vAlign w:val="center"/>
          </w:tcPr>
          <w:p w14:paraId="6E244B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经济效益</w:t>
            </w:r>
            <w:r>
              <w:rPr>
                <w:rFonts w:hint="default" w:ascii="Times New Roman" w:hAnsi="Times New Roman" w:eastAsia="仿宋_GB2312" w:cs="Times New Roman"/>
                <w:i w:val="0"/>
                <w:iCs w:val="0"/>
                <w:color w:val="auto"/>
                <w:kern w:val="0"/>
                <w:sz w:val="21"/>
                <w:szCs w:val="21"/>
                <w:highlight w:val="none"/>
                <w:u w:val="none"/>
                <w:lang w:val="en-US" w:eastAsia="zh-CN" w:bidi="ar"/>
              </w:rPr>
              <w:br w:type="textWrapping"/>
            </w:r>
            <w:r>
              <w:rPr>
                <w:rFonts w:hint="default" w:ascii="Times New Roman" w:hAnsi="Times New Roman" w:eastAsia="仿宋_GB2312" w:cs="Times New Roman"/>
                <w:i w:val="0"/>
                <w:iCs w:val="0"/>
                <w:color w:val="auto"/>
                <w:kern w:val="0"/>
                <w:sz w:val="21"/>
                <w:szCs w:val="21"/>
                <w:highlight w:val="none"/>
                <w:u w:val="none"/>
                <w:lang w:val="en-US" w:eastAsia="zh-CN" w:bidi="ar"/>
              </w:rPr>
              <w:t>指标</w:t>
            </w:r>
          </w:p>
        </w:tc>
        <w:tc>
          <w:tcPr>
            <w:tcW w:w="857" w:type="pct"/>
            <w:shd w:val="clear" w:color="auto" w:fill="auto"/>
            <w:noWrap w:val="0"/>
            <w:vAlign w:val="center"/>
          </w:tcPr>
          <w:p w14:paraId="71FECFB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842" w:type="pct"/>
            <w:gridSpan w:val="2"/>
            <w:shd w:val="clear" w:color="auto" w:fill="auto"/>
            <w:noWrap w:val="0"/>
            <w:vAlign w:val="center"/>
          </w:tcPr>
          <w:p w14:paraId="600E67E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shd w:val="clear" w:color="auto" w:fill="auto"/>
            <w:noWrap w:val="0"/>
            <w:vAlign w:val="center"/>
          </w:tcPr>
          <w:p w14:paraId="0C0C8B1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842" w:type="pct"/>
            <w:gridSpan w:val="2"/>
            <w:shd w:val="clear" w:color="auto" w:fill="auto"/>
            <w:noWrap w:val="0"/>
            <w:vAlign w:val="center"/>
          </w:tcPr>
          <w:p w14:paraId="40A85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8EB1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486342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455C8F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378F66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1CDC357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842" w:type="pct"/>
            <w:gridSpan w:val="2"/>
            <w:shd w:val="clear" w:color="auto" w:fill="auto"/>
            <w:noWrap w:val="0"/>
            <w:vAlign w:val="center"/>
          </w:tcPr>
          <w:p w14:paraId="5931B810">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842" w:type="pct"/>
            <w:gridSpan w:val="2"/>
            <w:shd w:val="clear" w:color="auto" w:fill="auto"/>
            <w:noWrap w:val="0"/>
            <w:vAlign w:val="center"/>
          </w:tcPr>
          <w:p w14:paraId="1CFD180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842" w:type="pct"/>
            <w:gridSpan w:val="2"/>
            <w:shd w:val="clear" w:color="auto" w:fill="auto"/>
            <w:noWrap w:val="0"/>
            <w:vAlign w:val="center"/>
          </w:tcPr>
          <w:p w14:paraId="5DC8199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64A2A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175F9B3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5A3A59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204CCC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p>
        </w:tc>
        <w:tc>
          <w:tcPr>
            <w:tcW w:w="857" w:type="pct"/>
            <w:shd w:val="clear" w:color="auto" w:fill="auto"/>
            <w:noWrap w:val="0"/>
            <w:vAlign w:val="center"/>
          </w:tcPr>
          <w:p w14:paraId="40D8C09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842" w:type="pct"/>
            <w:gridSpan w:val="2"/>
            <w:shd w:val="clear" w:color="auto" w:fill="auto"/>
            <w:noWrap w:val="0"/>
            <w:vAlign w:val="center"/>
          </w:tcPr>
          <w:p w14:paraId="63B872C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shd w:val="clear" w:color="auto" w:fill="auto"/>
            <w:noWrap w:val="0"/>
            <w:vAlign w:val="center"/>
          </w:tcPr>
          <w:p w14:paraId="6F4B676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842" w:type="pct"/>
            <w:gridSpan w:val="2"/>
            <w:shd w:val="clear" w:color="auto" w:fill="auto"/>
            <w:noWrap w:val="0"/>
            <w:vAlign w:val="center"/>
          </w:tcPr>
          <w:p w14:paraId="34D2D5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6CA7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78" w:type="pct"/>
            <w:vMerge w:val="continue"/>
            <w:noWrap w:val="0"/>
            <w:vAlign w:val="center"/>
          </w:tcPr>
          <w:p w14:paraId="5BB9CF0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6ED7B3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restart"/>
            <w:noWrap w:val="0"/>
            <w:vAlign w:val="center"/>
          </w:tcPr>
          <w:p w14:paraId="4E1AB91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lang w:val="en-US" w:eastAsia="zh-CN"/>
              </w:rPr>
            </w:pPr>
            <w:r>
              <w:rPr>
                <w:rFonts w:hint="default" w:ascii="Times New Roman" w:hAnsi="Times New Roman" w:eastAsia="仿宋_GB2312" w:cs="Times New Roman"/>
                <w:i w:val="0"/>
                <w:iCs w:val="0"/>
                <w:color w:val="auto"/>
                <w:sz w:val="21"/>
                <w:szCs w:val="21"/>
                <w:highlight w:val="none"/>
                <w:u w:val="none"/>
                <w:lang w:val="en-US" w:eastAsia="zh-CN"/>
              </w:rPr>
              <w:t>社会效益指标</w:t>
            </w:r>
          </w:p>
        </w:tc>
        <w:tc>
          <w:tcPr>
            <w:tcW w:w="857" w:type="pct"/>
            <w:shd w:val="clear" w:color="auto" w:fill="auto"/>
            <w:noWrap w:val="0"/>
            <w:vAlign w:val="center"/>
          </w:tcPr>
          <w:p w14:paraId="04E3DE83">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文化设施投入使</w:t>
            </w:r>
          </w:p>
          <w:p w14:paraId="594BDFE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用率</w:t>
            </w:r>
          </w:p>
        </w:tc>
        <w:tc>
          <w:tcPr>
            <w:tcW w:w="842" w:type="pct"/>
            <w:gridSpan w:val="2"/>
            <w:shd w:val="clear" w:color="auto" w:fill="auto"/>
            <w:noWrap w:val="0"/>
            <w:vAlign w:val="center"/>
          </w:tcPr>
          <w:p w14:paraId="45845E6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shd w:val="clear" w:color="auto" w:fill="auto"/>
            <w:noWrap w:val="0"/>
            <w:vAlign w:val="center"/>
          </w:tcPr>
          <w:p w14:paraId="01FE5B6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100%</w:t>
            </w:r>
          </w:p>
        </w:tc>
        <w:tc>
          <w:tcPr>
            <w:tcW w:w="842" w:type="pct"/>
            <w:gridSpan w:val="2"/>
            <w:shd w:val="clear" w:color="auto" w:fill="auto"/>
            <w:noWrap w:val="0"/>
            <w:vAlign w:val="center"/>
          </w:tcPr>
          <w:p w14:paraId="74A901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90AA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6F2F04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4BCF6A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650A1C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57" w:type="pct"/>
            <w:shd w:val="clear" w:color="auto" w:fill="auto"/>
            <w:noWrap w:val="0"/>
            <w:vAlign w:val="center"/>
          </w:tcPr>
          <w:p w14:paraId="1B03696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文旅志愿服务活动受益人群</w:t>
            </w:r>
          </w:p>
        </w:tc>
        <w:tc>
          <w:tcPr>
            <w:tcW w:w="842" w:type="pct"/>
            <w:gridSpan w:val="2"/>
            <w:shd w:val="clear" w:color="auto" w:fill="auto"/>
            <w:noWrap/>
            <w:vAlign w:val="center"/>
          </w:tcPr>
          <w:p w14:paraId="7536FC3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w:t>
            </w:r>
            <w:r>
              <w:rPr>
                <w:rFonts w:hint="default" w:ascii="Times New Roman" w:hAnsi="Times New Roman" w:cs="Times New Roman"/>
                <w:i w:val="0"/>
                <w:iCs w:val="0"/>
                <w:color w:val="auto"/>
                <w:kern w:val="0"/>
                <w:sz w:val="21"/>
                <w:szCs w:val="21"/>
                <w:highlight w:val="none"/>
                <w:u w:val="none"/>
                <w:lang w:val="en-US" w:eastAsia="zh-CN" w:bidi="ar"/>
              </w:rPr>
              <w:t>万人次</w:t>
            </w:r>
          </w:p>
        </w:tc>
        <w:tc>
          <w:tcPr>
            <w:tcW w:w="842" w:type="pct"/>
            <w:gridSpan w:val="2"/>
            <w:noWrap/>
            <w:vAlign w:val="center"/>
          </w:tcPr>
          <w:p w14:paraId="1C73F07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2380 万人次</w:t>
            </w:r>
          </w:p>
        </w:tc>
        <w:tc>
          <w:tcPr>
            <w:tcW w:w="842" w:type="pct"/>
            <w:gridSpan w:val="2"/>
            <w:noWrap/>
            <w:vAlign w:val="center"/>
          </w:tcPr>
          <w:p w14:paraId="288D8C1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73C20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431D735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5AD447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vMerge w:val="continue"/>
            <w:noWrap w:val="0"/>
            <w:vAlign w:val="center"/>
          </w:tcPr>
          <w:p w14:paraId="0EA2867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857" w:type="pct"/>
            <w:shd w:val="clear" w:color="auto" w:fill="auto"/>
            <w:noWrap w:val="0"/>
            <w:vAlign w:val="center"/>
          </w:tcPr>
          <w:p w14:paraId="5CBED34A">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游客接待能力和服务水平</w:t>
            </w:r>
          </w:p>
        </w:tc>
        <w:tc>
          <w:tcPr>
            <w:tcW w:w="842" w:type="pct"/>
            <w:gridSpan w:val="2"/>
            <w:shd w:val="clear" w:color="auto" w:fill="auto"/>
            <w:noWrap w:val="0"/>
            <w:vAlign w:val="center"/>
          </w:tcPr>
          <w:p w14:paraId="5B73A40F">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42" w:type="pct"/>
            <w:gridSpan w:val="2"/>
            <w:shd w:val="clear" w:color="auto" w:fill="auto"/>
            <w:noWrap w:val="0"/>
            <w:vAlign w:val="center"/>
          </w:tcPr>
          <w:p w14:paraId="1731068D">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842" w:type="pct"/>
            <w:gridSpan w:val="2"/>
            <w:noWrap w:val="0"/>
            <w:vAlign w:val="center"/>
          </w:tcPr>
          <w:p w14:paraId="24EC46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06505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jc w:val="center"/>
        </w:trPr>
        <w:tc>
          <w:tcPr>
            <w:tcW w:w="678" w:type="pct"/>
            <w:vMerge w:val="continue"/>
            <w:noWrap w:val="0"/>
            <w:vAlign w:val="center"/>
          </w:tcPr>
          <w:p w14:paraId="387B6C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0EC74E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noWrap w:val="0"/>
            <w:vAlign w:val="center"/>
          </w:tcPr>
          <w:p w14:paraId="30CBE3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生态效益指标</w:t>
            </w:r>
          </w:p>
        </w:tc>
        <w:tc>
          <w:tcPr>
            <w:tcW w:w="857" w:type="pct"/>
            <w:noWrap w:val="0"/>
            <w:vAlign w:val="center"/>
          </w:tcPr>
          <w:p w14:paraId="24511C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项目对旅游地生态环境影响</w:t>
            </w:r>
          </w:p>
        </w:tc>
        <w:tc>
          <w:tcPr>
            <w:tcW w:w="842" w:type="pct"/>
            <w:gridSpan w:val="2"/>
            <w:noWrap/>
            <w:vAlign w:val="center"/>
          </w:tcPr>
          <w:p w14:paraId="162314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42" w:type="pct"/>
            <w:gridSpan w:val="2"/>
            <w:shd w:val="clear" w:color="auto" w:fill="auto"/>
            <w:noWrap/>
            <w:vAlign w:val="center"/>
          </w:tcPr>
          <w:p w14:paraId="0D8435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842" w:type="pct"/>
            <w:gridSpan w:val="2"/>
            <w:noWrap/>
            <w:vAlign w:val="center"/>
          </w:tcPr>
          <w:p w14:paraId="40BDF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5F538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678" w:type="pct"/>
            <w:vMerge w:val="continue"/>
            <w:noWrap w:val="0"/>
            <w:vAlign w:val="center"/>
          </w:tcPr>
          <w:p w14:paraId="1C9E1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82" w:type="pct"/>
            <w:vMerge w:val="continue"/>
            <w:noWrap/>
            <w:vAlign w:val="center"/>
          </w:tcPr>
          <w:p w14:paraId="4CCC99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woUserID w:val="1"/>
              </w:rPr>
            </w:pPr>
          </w:p>
        </w:tc>
        <w:tc>
          <w:tcPr>
            <w:tcW w:w="452" w:type="pct"/>
            <w:noWrap w:val="0"/>
            <w:vAlign w:val="center"/>
          </w:tcPr>
          <w:p w14:paraId="2925D4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woUserID w:val="1"/>
              </w:rPr>
              <w:t>可持续影响指标</w:t>
            </w:r>
          </w:p>
        </w:tc>
        <w:tc>
          <w:tcPr>
            <w:tcW w:w="857" w:type="pct"/>
            <w:shd w:val="clear" w:color="auto" w:fill="auto"/>
            <w:noWrap w:val="0"/>
            <w:vAlign w:val="center"/>
          </w:tcPr>
          <w:p w14:paraId="70D3B03B">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公共文化服务体系</w:t>
            </w:r>
          </w:p>
        </w:tc>
        <w:tc>
          <w:tcPr>
            <w:tcW w:w="842" w:type="pct"/>
            <w:gridSpan w:val="2"/>
            <w:shd w:val="clear" w:color="auto" w:fill="auto"/>
            <w:noWrap w:val="0"/>
            <w:vAlign w:val="center"/>
          </w:tcPr>
          <w:p w14:paraId="1E25E21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42" w:type="pct"/>
            <w:gridSpan w:val="2"/>
            <w:shd w:val="clear" w:color="auto" w:fill="auto"/>
            <w:noWrap w:val="0"/>
            <w:vAlign w:val="center"/>
          </w:tcPr>
          <w:p w14:paraId="2A35D0C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842" w:type="pct"/>
            <w:gridSpan w:val="2"/>
            <w:noWrap w:val="0"/>
            <w:vAlign w:val="center"/>
          </w:tcPr>
          <w:p w14:paraId="17E8E2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2"/>
              </w:rPr>
              <w:t>完成</w:t>
            </w:r>
          </w:p>
        </w:tc>
      </w:tr>
      <w:tr w14:paraId="4E33F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678" w:type="pct"/>
            <w:vMerge w:val="continue"/>
            <w:noWrap w:val="0"/>
            <w:vAlign w:val="center"/>
          </w:tcPr>
          <w:p w14:paraId="354969F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restart"/>
            <w:noWrap/>
            <w:vAlign w:val="center"/>
          </w:tcPr>
          <w:p w14:paraId="272F2BB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满意度指标</w:t>
            </w:r>
          </w:p>
        </w:tc>
        <w:tc>
          <w:tcPr>
            <w:tcW w:w="452" w:type="pct"/>
            <w:vMerge w:val="restart"/>
            <w:noWrap w:val="0"/>
            <w:vAlign w:val="center"/>
          </w:tcPr>
          <w:p w14:paraId="28E939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highlight w:val="none"/>
                <w:u w:val="none"/>
              </w:rPr>
            </w:pPr>
            <w:r>
              <w:rPr>
                <w:rFonts w:hint="default" w:ascii="Times New Roman" w:hAnsi="Times New Roman" w:eastAsia="仿宋_GB2312" w:cs="Times New Roman"/>
                <w:i w:val="0"/>
                <w:iCs w:val="0"/>
                <w:color w:val="auto"/>
                <w:kern w:val="0"/>
                <w:sz w:val="21"/>
                <w:szCs w:val="21"/>
                <w:highlight w:val="none"/>
                <w:u w:val="none"/>
                <w:lang w:val="en-US" w:eastAsia="zh-CN" w:bidi="ar"/>
              </w:rPr>
              <w:t>社会公众或服务对象满意度指标</w:t>
            </w:r>
          </w:p>
        </w:tc>
        <w:tc>
          <w:tcPr>
            <w:tcW w:w="857" w:type="pct"/>
            <w:noWrap w:val="0"/>
            <w:vAlign w:val="center"/>
          </w:tcPr>
          <w:p w14:paraId="383E9BF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游客满意度</w:t>
            </w:r>
          </w:p>
        </w:tc>
        <w:tc>
          <w:tcPr>
            <w:tcW w:w="842" w:type="pct"/>
            <w:gridSpan w:val="2"/>
            <w:shd w:val="clear" w:color="auto" w:fill="auto"/>
            <w:noWrap w:val="0"/>
            <w:vAlign w:val="center"/>
          </w:tcPr>
          <w:p w14:paraId="34F39CF1">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23BDEFF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95.6%</w:t>
            </w:r>
          </w:p>
        </w:tc>
        <w:tc>
          <w:tcPr>
            <w:tcW w:w="842" w:type="pct"/>
            <w:gridSpan w:val="2"/>
            <w:noWrap w:val="0"/>
            <w:vAlign w:val="center"/>
          </w:tcPr>
          <w:p w14:paraId="7652AC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r w14:paraId="011BB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2" w:hRule="atLeast"/>
          <w:jc w:val="center"/>
        </w:trPr>
        <w:tc>
          <w:tcPr>
            <w:tcW w:w="678" w:type="pct"/>
            <w:vMerge w:val="continue"/>
            <w:noWrap w:val="0"/>
            <w:vAlign w:val="center"/>
          </w:tcPr>
          <w:p w14:paraId="64B08C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82" w:type="pct"/>
            <w:vMerge w:val="continue"/>
            <w:noWrap/>
            <w:vAlign w:val="center"/>
          </w:tcPr>
          <w:p w14:paraId="1364C1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452" w:type="pct"/>
            <w:vMerge w:val="continue"/>
            <w:noWrap w:val="0"/>
            <w:vAlign w:val="center"/>
          </w:tcPr>
          <w:p w14:paraId="0A1F4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highlight w:val="none"/>
                <w:u w:val="none"/>
              </w:rPr>
            </w:pPr>
          </w:p>
        </w:tc>
        <w:tc>
          <w:tcPr>
            <w:tcW w:w="857" w:type="pct"/>
            <w:noWrap w:val="0"/>
            <w:vAlign w:val="center"/>
          </w:tcPr>
          <w:p w14:paraId="7BAEFC92">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b w:val="0"/>
                <w:bCs w:val="0"/>
                <w:i w:val="0"/>
                <w:iCs w:val="0"/>
                <w:color w:val="auto"/>
                <w:kern w:val="0"/>
                <w:sz w:val="21"/>
                <w:szCs w:val="21"/>
                <w:highlight w:val="none"/>
                <w:u w:val="none"/>
                <w:lang w:val="en-US" w:eastAsia="zh-CN" w:bidi="ar"/>
              </w:rPr>
              <w:t>当地群众满意度</w:t>
            </w:r>
          </w:p>
        </w:tc>
        <w:tc>
          <w:tcPr>
            <w:tcW w:w="842" w:type="pct"/>
            <w:gridSpan w:val="2"/>
            <w:shd w:val="clear" w:color="auto" w:fill="auto"/>
            <w:noWrap w:val="0"/>
            <w:vAlign w:val="center"/>
          </w:tcPr>
          <w:p w14:paraId="64FDC44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842" w:type="pct"/>
            <w:gridSpan w:val="2"/>
            <w:noWrap w:val="0"/>
            <w:vAlign w:val="center"/>
          </w:tcPr>
          <w:p w14:paraId="4BB58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2"/>
              </w:rPr>
              <w:t>90.34%</w:t>
            </w:r>
          </w:p>
        </w:tc>
        <w:tc>
          <w:tcPr>
            <w:tcW w:w="842" w:type="pct"/>
            <w:gridSpan w:val="2"/>
            <w:noWrap w:val="0"/>
            <w:vAlign w:val="center"/>
          </w:tcPr>
          <w:p w14:paraId="506E90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woUserID w:val="2"/>
              </w:rPr>
            </w:pPr>
            <w:r>
              <w:rPr>
                <w:rFonts w:hint="default" w:ascii="Times New Roman" w:hAnsi="Times New Roman" w:cs="Times New Roman"/>
                <w:i w:val="0"/>
                <w:iCs w:val="0"/>
                <w:color w:val="auto"/>
                <w:kern w:val="0"/>
                <w:sz w:val="21"/>
                <w:szCs w:val="21"/>
                <w:highlight w:val="none"/>
                <w:u w:val="none"/>
                <w:lang w:val="en-US" w:eastAsia="zh-CN" w:bidi="ar"/>
                <w:woUserID w:val="1"/>
              </w:rPr>
              <w:t>完成</w:t>
            </w:r>
          </w:p>
        </w:tc>
      </w:tr>
    </w:tbl>
    <w:p w14:paraId="513AA61D">
      <w:pPr>
        <w:ind w:left="0" w:leftChars="0" w:firstLine="0" w:firstLineChars="0"/>
        <w:rPr>
          <w:rStyle w:val="35"/>
          <w:rFonts w:hint="default" w:ascii="Times New Roman" w:hAnsi="Times New Roman" w:eastAsia="方正小标宋_GBK" w:cs="Times New Roman"/>
          <w:color w:val="auto"/>
          <w:highlight w:val="none"/>
        </w:rPr>
      </w:pPr>
      <w:r>
        <w:rPr>
          <w:rStyle w:val="35"/>
          <w:rFonts w:hint="default" w:ascii="Times New Roman" w:hAnsi="Times New Roman" w:eastAsia="方正小标宋_GBK" w:cs="Times New Roman"/>
          <w:color w:val="auto"/>
          <w:highlight w:val="none"/>
        </w:rPr>
        <w:br w:type="page"/>
      </w:r>
    </w:p>
    <w:p w14:paraId="067C2A3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auto"/>
        <w:outlineLvl w:val="0"/>
        <w:rPr>
          <w:rFonts w:hint="default" w:ascii="Times New Roman" w:hAnsi="Times New Roman" w:eastAsia="方正小标宋_GBK" w:cs="Times New Roman"/>
          <w:color w:val="000000"/>
          <w:kern w:val="0"/>
          <w:sz w:val="36"/>
          <w:szCs w:val="36"/>
          <w:lang w:val="en-US" w:eastAsia="zh-CN"/>
        </w:rPr>
      </w:pPr>
      <w:bookmarkStart w:id="55" w:name="_Toc16136"/>
      <w:r>
        <w:rPr>
          <w:rFonts w:hint="default" w:ascii="Times New Roman" w:hAnsi="Times New Roman" w:eastAsia="方正小标宋_GBK" w:cs="Times New Roman"/>
          <w:color w:val="000000"/>
          <w:kern w:val="0"/>
          <w:sz w:val="36"/>
          <w:szCs w:val="36"/>
          <w:lang w:val="en-US" w:eastAsia="zh-CN"/>
        </w:rPr>
        <w:t>202</w:t>
      </w:r>
      <w:r>
        <w:rPr>
          <w:rFonts w:hint="default" w:ascii="Times New Roman" w:hAnsi="Times New Roman" w:eastAsia="方正小标宋_GBK" w:cs="Times New Roman"/>
          <w:color w:val="000000"/>
          <w:kern w:val="0"/>
          <w:sz w:val="36"/>
          <w:szCs w:val="36"/>
          <w:lang w:val="en-US" w:eastAsia="zh-CN"/>
        </w:rPr>
        <w:t>5</w:t>
      </w:r>
      <w:r>
        <w:rPr>
          <w:rFonts w:hint="default" w:ascii="Times New Roman" w:hAnsi="Times New Roman" w:eastAsia="方正小标宋_GBK" w:cs="Times New Roman"/>
          <w:color w:val="000000"/>
          <w:kern w:val="0"/>
          <w:sz w:val="36"/>
          <w:szCs w:val="36"/>
          <w:lang w:val="en-US" w:eastAsia="zh-CN"/>
        </w:rPr>
        <w:t>年度文化旅游发展专项资金绩效目标完成情况表</w:t>
      </w:r>
      <w:bookmarkEnd w:id="55"/>
    </w:p>
    <w:p w14:paraId="7EA43C9F">
      <w:pPr>
        <w:widowControl/>
        <w:tabs>
          <w:tab w:val="left" w:pos="1070"/>
          <w:tab w:val="left" w:pos="2191"/>
          <w:tab w:val="left" w:pos="3567"/>
          <w:tab w:val="left" w:pos="4941"/>
          <w:tab w:val="left" w:pos="5991"/>
          <w:tab w:val="left" w:pos="7222"/>
        </w:tabs>
        <w:spacing w:line="240" w:lineRule="auto"/>
        <w:ind w:left="-22" w:firstLine="0" w:firstLineChars="0"/>
        <w:jc w:val="right"/>
        <w:rPr>
          <w:rFonts w:hint="default" w:ascii="Times New Roman" w:hAnsi="Times New Roman" w:eastAsia="仿宋_GB2312" w:cs="Times New Roman"/>
          <w:color w:val="000000"/>
          <w:kern w:val="0"/>
          <w:sz w:val="22"/>
          <w:szCs w:val="22"/>
        </w:rPr>
      </w:pPr>
      <w:r>
        <w:rPr>
          <w:rFonts w:hint="default" w:ascii="Times New Roman" w:hAnsi="Times New Roman" w:eastAsia="仿宋_GB2312" w:cs="Times New Roman"/>
          <w:color w:val="000000"/>
          <w:kern w:val="0"/>
          <w:sz w:val="22"/>
          <w:szCs w:val="22"/>
        </w:rPr>
        <w:t>单位：万元</w:t>
      </w:r>
    </w:p>
    <w:tbl>
      <w:tblPr>
        <w:tblStyle w:val="24"/>
        <w:tblW w:w="5335" w:type="pct"/>
        <w:tblInd w:w="-20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1051"/>
        <w:gridCol w:w="1327"/>
        <w:gridCol w:w="1669"/>
        <w:gridCol w:w="1469"/>
        <w:gridCol w:w="1469"/>
        <w:gridCol w:w="1501"/>
      </w:tblGrid>
      <w:tr w14:paraId="334BF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556" w:type="pct"/>
            <w:noWrap w:val="0"/>
            <w:vAlign w:val="center"/>
          </w:tcPr>
          <w:p w14:paraId="3FF379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支出方向</w:t>
            </w:r>
          </w:p>
        </w:tc>
        <w:tc>
          <w:tcPr>
            <w:tcW w:w="1245" w:type="pct"/>
            <w:gridSpan w:val="2"/>
            <w:noWrap w:val="0"/>
            <w:vAlign w:val="center"/>
          </w:tcPr>
          <w:p w14:paraId="5E0CC89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文艺人次振兴工程</w:t>
            </w:r>
          </w:p>
        </w:tc>
        <w:tc>
          <w:tcPr>
            <w:tcW w:w="874" w:type="pct"/>
            <w:noWrap w:val="0"/>
            <w:vAlign w:val="center"/>
          </w:tcPr>
          <w:p w14:paraId="26D542D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所属专项</w:t>
            </w:r>
          </w:p>
        </w:tc>
        <w:tc>
          <w:tcPr>
            <w:tcW w:w="2324" w:type="pct"/>
            <w:gridSpan w:val="3"/>
            <w:noWrap w:val="0"/>
            <w:vAlign w:val="center"/>
          </w:tcPr>
          <w:p w14:paraId="74C7F8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文化旅游发展专项资金</w:t>
            </w:r>
          </w:p>
        </w:tc>
      </w:tr>
      <w:tr w14:paraId="486A14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556" w:type="pct"/>
            <w:noWrap w:val="0"/>
            <w:vAlign w:val="center"/>
          </w:tcPr>
          <w:p w14:paraId="25F468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省级主管部门</w:t>
            </w:r>
          </w:p>
        </w:tc>
        <w:tc>
          <w:tcPr>
            <w:tcW w:w="4443" w:type="pct"/>
            <w:gridSpan w:val="6"/>
            <w:noWrap w:val="0"/>
            <w:vAlign w:val="center"/>
          </w:tcPr>
          <w:p w14:paraId="55CAAA6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湖南省文化和旅游厅</w:t>
            </w:r>
          </w:p>
        </w:tc>
      </w:tr>
      <w:tr w14:paraId="14B4E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56" w:type="pct"/>
            <w:vMerge w:val="restart"/>
            <w:noWrap w:val="0"/>
            <w:vAlign w:val="center"/>
          </w:tcPr>
          <w:p w14:paraId="16477B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eastAsia="仿宋_GB2312" w:cs="Times New Roman"/>
                <w:color w:val="auto"/>
                <w:sz w:val="21"/>
                <w:szCs w:val="21"/>
                <w:lang w:val="en-US" w:eastAsia="zh-CN" w:bidi="ar"/>
              </w:rPr>
              <w:t>资金拨付情况</w:t>
            </w:r>
          </w:p>
        </w:tc>
        <w:tc>
          <w:tcPr>
            <w:tcW w:w="1245" w:type="pct"/>
            <w:gridSpan w:val="2"/>
            <w:noWrap w:val="0"/>
            <w:vAlign w:val="center"/>
          </w:tcPr>
          <w:p w14:paraId="30A2B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eastAsia="仿宋_GB2312" w:cs="Times New Roman"/>
                <w:color w:val="auto"/>
                <w:sz w:val="21"/>
                <w:szCs w:val="21"/>
                <w:lang w:val="en-US" w:eastAsia="zh-CN" w:bidi="ar"/>
              </w:rPr>
              <w:t>预算数</w:t>
            </w:r>
          </w:p>
        </w:tc>
        <w:tc>
          <w:tcPr>
            <w:tcW w:w="874" w:type="pct"/>
            <w:noWrap w:val="0"/>
            <w:vAlign w:val="center"/>
          </w:tcPr>
          <w:p w14:paraId="5C1EF0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eastAsia="仿宋_GB2312" w:cs="Times New Roman"/>
                <w:color w:val="auto"/>
                <w:sz w:val="21"/>
                <w:szCs w:val="21"/>
                <w:lang w:val="en-US" w:eastAsia="zh-CN" w:bidi="ar"/>
              </w:rPr>
              <w:t>完成数</w:t>
            </w:r>
          </w:p>
        </w:tc>
        <w:tc>
          <w:tcPr>
            <w:tcW w:w="2324" w:type="pct"/>
            <w:gridSpan w:val="3"/>
            <w:noWrap w:val="0"/>
            <w:vAlign w:val="center"/>
          </w:tcPr>
          <w:p w14:paraId="37A57AD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eastAsia="仿宋_GB2312" w:cs="Times New Roman"/>
                <w:color w:val="auto"/>
                <w:sz w:val="21"/>
                <w:szCs w:val="21"/>
                <w:lang w:val="en-US" w:eastAsia="zh-CN" w:bidi="ar"/>
              </w:rPr>
              <w:t>执行率</w:t>
            </w:r>
          </w:p>
        </w:tc>
      </w:tr>
      <w:tr w14:paraId="6AD74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56" w:type="pct"/>
            <w:vMerge w:val="continue"/>
            <w:noWrap w:val="0"/>
            <w:vAlign w:val="center"/>
          </w:tcPr>
          <w:p w14:paraId="5434BA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p>
        </w:tc>
        <w:tc>
          <w:tcPr>
            <w:tcW w:w="1245" w:type="pct"/>
            <w:gridSpan w:val="2"/>
            <w:noWrap w:val="0"/>
            <w:vAlign w:val="center"/>
          </w:tcPr>
          <w:p w14:paraId="2DB2FB4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cs="Times New Roman"/>
                <w:color w:val="auto"/>
                <w:sz w:val="21"/>
                <w:szCs w:val="21"/>
                <w:lang w:val="en-US" w:eastAsia="zh-CN" w:bidi="ar"/>
              </w:rPr>
              <w:t>6269</w:t>
            </w:r>
          </w:p>
        </w:tc>
        <w:tc>
          <w:tcPr>
            <w:tcW w:w="874" w:type="pct"/>
            <w:noWrap w:val="0"/>
            <w:vAlign w:val="center"/>
          </w:tcPr>
          <w:p w14:paraId="0F0407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cs="Times New Roman"/>
                <w:color w:val="auto"/>
                <w:sz w:val="21"/>
                <w:szCs w:val="21"/>
                <w:lang w:val="en-US" w:eastAsia="zh-CN" w:bidi="ar"/>
              </w:rPr>
              <w:t>6269</w:t>
            </w:r>
          </w:p>
        </w:tc>
        <w:tc>
          <w:tcPr>
            <w:tcW w:w="2324" w:type="pct"/>
            <w:gridSpan w:val="3"/>
            <w:noWrap w:val="0"/>
            <w:vAlign w:val="center"/>
          </w:tcPr>
          <w:p w14:paraId="6F260A8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rPr>
            </w:pPr>
            <w:r>
              <w:rPr>
                <w:rStyle w:val="36"/>
                <w:rFonts w:hint="default" w:ascii="Times New Roman" w:hAnsi="Times New Roman" w:cs="Times New Roman"/>
                <w:color w:val="auto"/>
                <w:sz w:val="21"/>
                <w:szCs w:val="21"/>
                <w:lang w:val="en-US" w:eastAsia="zh-CN" w:bidi="ar"/>
              </w:rPr>
              <w:t>100%</w:t>
            </w:r>
          </w:p>
        </w:tc>
      </w:tr>
      <w:tr w14:paraId="31288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noWrap w:val="0"/>
            <w:vAlign w:val="center"/>
          </w:tcPr>
          <w:p w14:paraId="713643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年度绩效目标</w:t>
            </w:r>
          </w:p>
        </w:tc>
        <w:tc>
          <w:tcPr>
            <w:tcW w:w="4443" w:type="pct"/>
            <w:gridSpan w:val="6"/>
            <w:shd w:val="clear" w:color="auto" w:fill="auto"/>
            <w:noWrap w:val="0"/>
            <w:vAlign w:val="center"/>
          </w:tcPr>
          <w:p w14:paraId="1F08A7F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全年创作、编排、复排、演出专业口大戏</w:t>
            </w:r>
            <w:r>
              <w:rPr>
                <w:rFonts w:hint="default" w:ascii="Times New Roman" w:hAnsi="Times New Roman" w:eastAsia="仿宋_GB2312" w:cs="Times New Roman"/>
                <w:i w:val="0"/>
                <w:iCs w:val="0"/>
                <w:color w:val="auto"/>
                <w:kern w:val="0"/>
                <w:sz w:val="21"/>
                <w:szCs w:val="21"/>
                <w:highlight w:val="none"/>
                <w:u w:val="none"/>
                <w:lang w:val="en-US" w:eastAsia="zh-CN" w:bidi="ar"/>
              </w:rPr>
              <w:t>11</w:t>
            </w:r>
            <w:r>
              <w:rPr>
                <w:rFonts w:hint="default" w:ascii="Times New Roman" w:hAnsi="Times New Roman" w:eastAsia="仿宋_GB2312" w:cs="Times New Roman"/>
                <w:i w:val="0"/>
                <w:iCs w:val="0"/>
                <w:color w:val="auto"/>
                <w:kern w:val="0"/>
                <w:sz w:val="21"/>
                <w:szCs w:val="21"/>
                <w:highlight w:val="none"/>
                <w:u w:val="none"/>
                <w:lang w:val="en-US" w:eastAsia="zh-CN" w:bidi="ar"/>
              </w:rPr>
              <w:t>个；专业口小型戏曲、戏剧、音乐、舞蹈、曲艺等30个</w:t>
            </w:r>
            <w:r>
              <w:rPr>
                <w:rFonts w:hint="default" w:ascii="Times New Roman" w:hAnsi="Times New Roman" w:eastAsia="仿宋_GB2312" w:cs="Times New Roman"/>
                <w:i w:val="0"/>
                <w:iCs w:val="0"/>
                <w:color w:val="auto"/>
                <w:kern w:val="0"/>
                <w:sz w:val="21"/>
                <w:szCs w:val="21"/>
                <w:highlight w:val="none"/>
                <w:u w:val="none"/>
                <w:lang w:val="en-US" w:eastAsia="zh-CN" w:bidi="ar"/>
              </w:rPr>
              <w:t>左右</w:t>
            </w: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；重大美术（书法、摄影）主题展1</w:t>
            </w:r>
            <w:r>
              <w:rPr>
                <w:rFonts w:hint="default" w:ascii="Times New Roman" w:hAnsi="Times New Roman" w:eastAsia="仿宋_GB2312" w:cs="Times New Roman"/>
                <w:i w:val="0"/>
                <w:iCs w:val="0"/>
                <w:color w:val="auto"/>
                <w:kern w:val="0"/>
                <w:sz w:val="21"/>
                <w:szCs w:val="21"/>
                <w:highlight w:val="none"/>
                <w:u w:val="none"/>
                <w:lang w:val="en-US" w:eastAsia="zh-CN" w:bidi="ar"/>
              </w:rPr>
              <w:t>2</w:t>
            </w:r>
            <w:r>
              <w:rPr>
                <w:rFonts w:hint="default" w:ascii="Times New Roman" w:hAnsi="Times New Roman" w:eastAsia="仿宋_GB2312" w:cs="Times New Roman"/>
                <w:i w:val="0"/>
                <w:iCs w:val="0"/>
                <w:color w:val="auto"/>
                <w:kern w:val="0"/>
                <w:sz w:val="21"/>
                <w:szCs w:val="21"/>
                <w:highlight w:val="none"/>
                <w:u w:val="none"/>
                <w:lang w:val="en-US" w:eastAsia="zh-CN" w:bidi="ar"/>
              </w:rPr>
              <w:t>个；群文口小型戏曲、戏剧、音乐、舞蹈、曲艺等4</w:t>
            </w:r>
            <w:r>
              <w:rPr>
                <w:rFonts w:hint="default" w:ascii="Times New Roman" w:hAnsi="Times New Roman" w:eastAsia="仿宋_GB2312" w:cs="Times New Roman"/>
                <w:i w:val="0"/>
                <w:iCs w:val="0"/>
                <w:color w:val="auto"/>
                <w:kern w:val="0"/>
                <w:sz w:val="21"/>
                <w:szCs w:val="21"/>
                <w:highlight w:val="none"/>
                <w:u w:val="none"/>
                <w:lang w:val="en-US" w:eastAsia="zh-CN" w:bidi="ar"/>
              </w:rPr>
              <w:t>8</w:t>
            </w:r>
            <w:r>
              <w:rPr>
                <w:rFonts w:hint="default" w:ascii="Times New Roman" w:hAnsi="Times New Roman" w:eastAsia="仿宋_GB2312" w:cs="Times New Roman"/>
                <w:i w:val="0"/>
                <w:iCs w:val="0"/>
                <w:color w:val="auto"/>
                <w:kern w:val="0"/>
                <w:sz w:val="21"/>
                <w:szCs w:val="21"/>
                <w:highlight w:val="none"/>
                <w:u w:val="none"/>
                <w:lang w:val="en-US" w:eastAsia="zh-CN" w:bidi="ar"/>
              </w:rPr>
              <w:t>个；实施演艺惠民演出（戏曲进乡村）</w:t>
            </w:r>
            <w:r>
              <w:rPr>
                <w:rFonts w:hint="default" w:ascii="Times New Roman" w:hAnsi="Times New Roman" w:eastAsia="仿宋_GB2312" w:cs="Times New Roman"/>
                <w:i w:val="0"/>
                <w:iCs w:val="0"/>
                <w:color w:val="auto"/>
                <w:kern w:val="0"/>
                <w:sz w:val="21"/>
                <w:szCs w:val="21"/>
                <w:highlight w:val="none"/>
                <w:u w:val="none"/>
                <w:lang w:val="en-US" w:eastAsia="zh-CN" w:bidi="ar"/>
              </w:rPr>
              <w:t>15</w:t>
            </w:r>
            <w:r>
              <w:rPr>
                <w:rFonts w:hint="default" w:ascii="Times New Roman" w:hAnsi="Times New Roman" w:eastAsia="仿宋_GB2312" w:cs="Times New Roman"/>
                <w:i w:val="0"/>
                <w:iCs w:val="0"/>
                <w:color w:val="auto"/>
                <w:kern w:val="0"/>
                <w:sz w:val="21"/>
                <w:szCs w:val="21"/>
                <w:highlight w:val="none"/>
                <w:u w:val="none"/>
                <w:lang w:val="en-US" w:eastAsia="zh-CN" w:bidi="ar"/>
              </w:rPr>
              <w:t>场以上，有效改善文化环境，增强群众文化素养，以文启智，传播先进思想和观念，滋养传承和弘扬中华优秀传统文化的土壤和良好生态。</w:t>
            </w:r>
          </w:p>
        </w:tc>
      </w:tr>
      <w:tr w14:paraId="1DEB3E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8" w:hRule="atLeast"/>
        </w:trPr>
        <w:tc>
          <w:tcPr>
            <w:tcW w:w="556" w:type="pct"/>
            <w:noWrap w:val="0"/>
            <w:vAlign w:val="center"/>
          </w:tcPr>
          <w:p w14:paraId="211AA9B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年度绩效目标完成情况</w:t>
            </w:r>
          </w:p>
        </w:tc>
        <w:tc>
          <w:tcPr>
            <w:tcW w:w="4443" w:type="pct"/>
            <w:gridSpan w:val="6"/>
            <w:noWrap w:val="0"/>
            <w:vAlign w:val="center"/>
          </w:tcPr>
          <w:p w14:paraId="18DDC93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left"/>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本年度，完成各项艺术创作与文化惠民目标。全年创作、编排、复排、演出专业大戏 11 个，专业口小型戏曲、戏剧、音乐、舞蹈、曲艺等作品 32 个，超额完成 30 个左右的目标；举办重大美术（书法、摄影）主题展 13 个，超额完成年度任务；群文口小型戏曲、戏剧、音乐、舞蹈、曲艺等作品完成 48 个，按计划落地实施；开展演艺惠民演出（戏曲进乡村）18 场，超额完成 15 场以上的目标。系列活动有效改善了城乡文化环境，提升了群众文化素养，实现了以文启智、传播先进思想、传承弘扬中华优秀传统文化的预期成效，年度各项绩效目标均高质量完成。</w:t>
            </w:r>
          </w:p>
        </w:tc>
      </w:tr>
      <w:tr w14:paraId="48768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556" w:type="pct"/>
            <w:vMerge w:val="restart"/>
            <w:noWrap w:val="0"/>
            <w:vAlign w:val="center"/>
          </w:tcPr>
          <w:p w14:paraId="42E831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本年度绩效指标</w:t>
            </w:r>
          </w:p>
        </w:tc>
        <w:tc>
          <w:tcPr>
            <w:tcW w:w="550" w:type="pct"/>
            <w:noWrap w:val="0"/>
            <w:vAlign w:val="center"/>
          </w:tcPr>
          <w:p w14:paraId="65670C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一级指标</w:t>
            </w:r>
          </w:p>
        </w:tc>
        <w:tc>
          <w:tcPr>
            <w:tcW w:w="694" w:type="pct"/>
            <w:noWrap w:val="0"/>
            <w:vAlign w:val="center"/>
          </w:tcPr>
          <w:p w14:paraId="77E8BE1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二级指标</w:t>
            </w:r>
          </w:p>
        </w:tc>
        <w:tc>
          <w:tcPr>
            <w:tcW w:w="874" w:type="pct"/>
            <w:noWrap w:val="0"/>
            <w:vAlign w:val="center"/>
          </w:tcPr>
          <w:p w14:paraId="34860B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三级指标</w:t>
            </w:r>
          </w:p>
        </w:tc>
        <w:tc>
          <w:tcPr>
            <w:tcW w:w="769" w:type="pct"/>
            <w:noWrap w:val="0"/>
            <w:vAlign w:val="center"/>
          </w:tcPr>
          <w:p w14:paraId="7369AB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Style w:val="36"/>
                <w:rFonts w:hint="default" w:ascii="Times New Roman" w:hAnsi="Times New Roman" w:eastAsia="仿宋_GB2312" w:cs="Times New Roman"/>
                <w:color w:val="auto"/>
                <w:sz w:val="21"/>
                <w:szCs w:val="21"/>
                <w:lang w:val="en-US" w:eastAsia="zh-CN" w:bidi="ar"/>
              </w:rPr>
              <w:t>指标值及单位</w:t>
            </w:r>
          </w:p>
        </w:tc>
        <w:tc>
          <w:tcPr>
            <w:tcW w:w="769" w:type="pct"/>
            <w:shd w:val="clear" w:color="auto" w:fill="auto"/>
            <w:noWrap w:val="0"/>
            <w:vAlign w:val="center"/>
          </w:tcPr>
          <w:p w14:paraId="30B538F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实际值及单位</w:t>
            </w:r>
          </w:p>
        </w:tc>
        <w:tc>
          <w:tcPr>
            <w:tcW w:w="786" w:type="pct"/>
            <w:shd w:val="clear" w:color="auto" w:fill="auto"/>
            <w:noWrap w:val="0"/>
            <w:vAlign w:val="center"/>
          </w:tcPr>
          <w:p w14:paraId="49111B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cs="Times New Roman"/>
                <w:i w:val="0"/>
                <w:iCs w:val="0"/>
                <w:color w:val="auto"/>
                <w:kern w:val="0"/>
                <w:sz w:val="21"/>
                <w:szCs w:val="21"/>
                <w:highlight w:val="none"/>
                <w:u w:val="none"/>
                <w:lang w:val="en-US" w:eastAsia="zh-CN" w:bidi="ar"/>
              </w:rPr>
              <w:t>是否完成及原因说明</w:t>
            </w:r>
          </w:p>
        </w:tc>
      </w:tr>
      <w:tr w14:paraId="0390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0" w:hRule="atLeast"/>
        </w:trPr>
        <w:tc>
          <w:tcPr>
            <w:tcW w:w="556" w:type="pct"/>
            <w:vMerge w:val="continue"/>
            <w:noWrap w:val="0"/>
            <w:vAlign w:val="center"/>
          </w:tcPr>
          <w:p w14:paraId="51758B3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181AE09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成本指标</w:t>
            </w:r>
          </w:p>
        </w:tc>
        <w:tc>
          <w:tcPr>
            <w:tcW w:w="694" w:type="pct"/>
            <w:vMerge w:val="restart"/>
            <w:noWrap w:val="0"/>
            <w:vAlign w:val="center"/>
          </w:tcPr>
          <w:p w14:paraId="7E13CA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经济成本指标</w:t>
            </w:r>
          </w:p>
        </w:tc>
        <w:tc>
          <w:tcPr>
            <w:tcW w:w="874" w:type="pct"/>
            <w:shd w:val="clear" w:color="auto" w:fill="auto"/>
            <w:noWrap w:val="0"/>
            <w:vAlign w:val="center"/>
          </w:tcPr>
          <w:p w14:paraId="072C4C7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专业口大戏支持</w:t>
            </w:r>
          </w:p>
          <w:p w14:paraId="0527143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资金</w:t>
            </w:r>
          </w:p>
        </w:tc>
        <w:tc>
          <w:tcPr>
            <w:tcW w:w="769" w:type="pct"/>
            <w:shd w:val="clear" w:color="auto" w:fill="auto"/>
            <w:noWrap w:val="0"/>
            <w:vAlign w:val="center"/>
          </w:tcPr>
          <w:p w14:paraId="2938A75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500万元，1个；400万元，1个；230万元，1个；220万元，1个；180万元，1个；80万元，1个；50万元，2个；30万元，3个；20万元，3个；10万元，4个</w:t>
            </w:r>
          </w:p>
        </w:tc>
        <w:tc>
          <w:tcPr>
            <w:tcW w:w="769" w:type="pct"/>
            <w:shd w:val="clear" w:color="auto" w:fill="auto"/>
            <w:noWrap w:val="0"/>
            <w:vAlign w:val="center"/>
          </w:tcPr>
          <w:p w14:paraId="632622B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500万元，1个；400万元，1个；230万元，1个；220万元，1个；180万元，1个；80万元，1个；50万元，2个；30万元，3个；20万元，3个；10万元，4个</w:t>
            </w:r>
          </w:p>
        </w:tc>
        <w:tc>
          <w:tcPr>
            <w:tcW w:w="786" w:type="pct"/>
            <w:noWrap w:val="0"/>
            <w:vAlign w:val="center"/>
          </w:tcPr>
          <w:p w14:paraId="3C9974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675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5" w:hRule="atLeast"/>
        </w:trPr>
        <w:tc>
          <w:tcPr>
            <w:tcW w:w="556" w:type="pct"/>
            <w:vMerge w:val="continue"/>
            <w:noWrap w:val="0"/>
            <w:vAlign w:val="center"/>
          </w:tcPr>
          <w:p w14:paraId="3D6CD5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655C95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center"/>
          </w:tcPr>
          <w:p w14:paraId="3FF45D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4" w:type="pct"/>
            <w:shd w:val="clear" w:color="auto" w:fill="auto"/>
            <w:noWrap w:val="0"/>
            <w:vAlign w:val="center"/>
          </w:tcPr>
          <w:p w14:paraId="3506FF6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专业口小型戏曲、戏剧、音乐、舞蹈、曲艺等支持资金</w:t>
            </w:r>
          </w:p>
        </w:tc>
        <w:tc>
          <w:tcPr>
            <w:tcW w:w="769" w:type="pct"/>
            <w:shd w:val="clear" w:color="auto" w:fill="auto"/>
            <w:noWrap w:val="0"/>
            <w:vAlign w:val="center"/>
          </w:tcPr>
          <w:p w14:paraId="5F1A73A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10万元，16个；8万元，13个</w:t>
            </w:r>
          </w:p>
        </w:tc>
        <w:tc>
          <w:tcPr>
            <w:tcW w:w="769" w:type="pct"/>
            <w:shd w:val="clear" w:color="auto" w:fill="auto"/>
            <w:noWrap w:val="0"/>
            <w:vAlign w:val="center"/>
          </w:tcPr>
          <w:p w14:paraId="62DDB65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10万元，16个；8万元，13个</w:t>
            </w:r>
          </w:p>
        </w:tc>
        <w:tc>
          <w:tcPr>
            <w:tcW w:w="786" w:type="pct"/>
            <w:noWrap w:val="0"/>
            <w:vAlign w:val="center"/>
          </w:tcPr>
          <w:p w14:paraId="5DBB937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4FEB3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vMerge w:val="continue"/>
            <w:noWrap w:val="0"/>
            <w:vAlign w:val="center"/>
          </w:tcPr>
          <w:p w14:paraId="3C032D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7F1382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center"/>
          </w:tcPr>
          <w:p w14:paraId="482E0D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4" w:type="pct"/>
            <w:shd w:val="clear" w:color="auto" w:fill="auto"/>
            <w:noWrap w:val="0"/>
            <w:vAlign w:val="center"/>
          </w:tcPr>
          <w:p w14:paraId="256A766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重大美术（书法、摄影）主题展支持资金</w:t>
            </w:r>
          </w:p>
        </w:tc>
        <w:tc>
          <w:tcPr>
            <w:tcW w:w="769" w:type="pct"/>
            <w:shd w:val="clear" w:color="auto" w:fill="auto"/>
            <w:noWrap w:val="0"/>
            <w:vAlign w:val="center"/>
          </w:tcPr>
          <w:p w14:paraId="570B491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20万元，2个；10万元，10个</w:t>
            </w:r>
          </w:p>
        </w:tc>
        <w:tc>
          <w:tcPr>
            <w:tcW w:w="769" w:type="pct"/>
            <w:shd w:val="clear" w:color="auto" w:fill="auto"/>
            <w:noWrap w:val="0"/>
            <w:vAlign w:val="center"/>
          </w:tcPr>
          <w:p w14:paraId="08B6D70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20万元，2个；10万元，10个</w:t>
            </w:r>
          </w:p>
        </w:tc>
        <w:tc>
          <w:tcPr>
            <w:tcW w:w="786" w:type="pct"/>
            <w:noWrap w:val="0"/>
            <w:vAlign w:val="center"/>
          </w:tcPr>
          <w:p w14:paraId="24D3C87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FEF7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2" w:hRule="atLeast"/>
        </w:trPr>
        <w:tc>
          <w:tcPr>
            <w:tcW w:w="556" w:type="pct"/>
            <w:vMerge w:val="continue"/>
            <w:noWrap w:val="0"/>
            <w:vAlign w:val="center"/>
          </w:tcPr>
          <w:p w14:paraId="0CC200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3C74C0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center"/>
          </w:tcPr>
          <w:p w14:paraId="3595E8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4" w:type="pct"/>
            <w:shd w:val="clear" w:color="auto" w:fill="auto"/>
            <w:noWrap w:val="0"/>
            <w:vAlign w:val="center"/>
          </w:tcPr>
          <w:p w14:paraId="2961FC2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群文口小型戏曲、戏剧、音乐、舞蹈、曲艺等支持资金</w:t>
            </w:r>
          </w:p>
        </w:tc>
        <w:tc>
          <w:tcPr>
            <w:tcW w:w="769" w:type="pct"/>
            <w:shd w:val="clear" w:color="auto" w:fill="auto"/>
            <w:noWrap w:val="0"/>
            <w:vAlign w:val="center"/>
          </w:tcPr>
          <w:p w14:paraId="694EA40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32万元，1个；30万元，1个；20万元，7个；15万元，10个；8万元，41个</w:t>
            </w:r>
          </w:p>
        </w:tc>
        <w:tc>
          <w:tcPr>
            <w:tcW w:w="769" w:type="pct"/>
            <w:shd w:val="clear" w:color="auto" w:fill="auto"/>
            <w:noWrap w:val="0"/>
            <w:vAlign w:val="center"/>
          </w:tcPr>
          <w:p w14:paraId="7B361DA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32万元，1个；30万元，1个；20万元，7个；15万元，10个；8万元，41个</w:t>
            </w:r>
          </w:p>
        </w:tc>
        <w:tc>
          <w:tcPr>
            <w:tcW w:w="786" w:type="pct"/>
            <w:noWrap w:val="0"/>
            <w:vAlign w:val="center"/>
          </w:tcPr>
          <w:p w14:paraId="286826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30D74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56" w:type="pct"/>
            <w:vMerge w:val="continue"/>
            <w:noWrap w:val="0"/>
            <w:vAlign w:val="center"/>
          </w:tcPr>
          <w:p w14:paraId="5C21958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662301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center"/>
          </w:tcPr>
          <w:p w14:paraId="1C3804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874" w:type="pct"/>
            <w:shd w:val="clear" w:color="auto" w:fill="auto"/>
            <w:noWrap w:val="0"/>
            <w:vAlign w:val="center"/>
          </w:tcPr>
          <w:p w14:paraId="27FA03A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惠民演出费用</w:t>
            </w:r>
          </w:p>
          <w:p w14:paraId="6C8F8E6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标准</w:t>
            </w:r>
          </w:p>
        </w:tc>
        <w:tc>
          <w:tcPr>
            <w:tcW w:w="769" w:type="pct"/>
            <w:shd w:val="clear" w:color="auto" w:fill="auto"/>
            <w:noWrap w:val="0"/>
            <w:vAlign w:val="center"/>
          </w:tcPr>
          <w:p w14:paraId="60566F4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color w:val="auto"/>
                <w:sz w:val="20"/>
                <w:szCs w:val="20"/>
                <w:highlight w:val="none"/>
                <w:lang w:val="en-US" w:eastAsia="zh-CN"/>
              </w:rPr>
              <w:t>100万元，1个；50万元，12个；30万元，1个；20万元，1个</w:t>
            </w:r>
          </w:p>
        </w:tc>
        <w:tc>
          <w:tcPr>
            <w:tcW w:w="769" w:type="pct"/>
            <w:shd w:val="clear" w:color="auto" w:fill="auto"/>
            <w:noWrap w:val="0"/>
            <w:vAlign w:val="center"/>
          </w:tcPr>
          <w:p w14:paraId="35B8ED7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color w:val="auto"/>
                <w:sz w:val="20"/>
                <w:szCs w:val="20"/>
                <w:highlight w:val="none"/>
                <w:lang w:val="en-US" w:eastAsia="zh-CN"/>
              </w:rPr>
              <w:t>100万元，1个；50万元，12个；30万元，1个；20万元，1个</w:t>
            </w:r>
          </w:p>
        </w:tc>
        <w:tc>
          <w:tcPr>
            <w:tcW w:w="786" w:type="pct"/>
            <w:noWrap w:val="0"/>
            <w:vAlign w:val="center"/>
          </w:tcPr>
          <w:p w14:paraId="4C1AD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755D3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1074A7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center"/>
          </w:tcPr>
          <w:p w14:paraId="7DE6F0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noWrap w:val="0"/>
            <w:vAlign w:val="center"/>
          </w:tcPr>
          <w:p w14:paraId="367AB6E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sz w:val="21"/>
                <w:szCs w:val="21"/>
                <w:u w:val="none"/>
              </w:rPr>
            </w:pPr>
            <w:r>
              <w:rPr>
                <w:rFonts w:hint="default" w:ascii="Times New Roman" w:hAnsi="Times New Roman" w:eastAsia="仿宋_GB2312" w:cs="Times New Roman"/>
                <w:i w:val="0"/>
                <w:iCs w:val="0"/>
                <w:color w:val="auto"/>
                <w:kern w:val="0"/>
                <w:sz w:val="21"/>
                <w:szCs w:val="21"/>
                <w:u w:val="none"/>
                <w:lang w:val="en-US" w:eastAsia="zh-CN" w:bidi="ar"/>
              </w:rPr>
              <w:t>社会成本指标</w:t>
            </w:r>
          </w:p>
        </w:tc>
        <w:tc>
          <w:tcPr>
            <w:tcW w:w="874" w:type="pct"/>
            <w:shd w:val="clear" w:color="auto" w:fill="auto"/>
            <w:noWrap w:val="0"/>
            <w:vAlign w:val="center"/>
          </w:tcPr>
          <w:p w14:paraId="5720113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因违规操作导致的重大安全事故</w:t>
            </w:r>
          </w:p>
        </w:tc>
        <w:tc>
          <w:tcPr>
            <w:tcW w:w="769" w:type="pct"/>
            <w:noWrap w:val="0"/>
            <w:vAlign w:val="center"/>
          </w:tcPr>
          <w:p w14:paraId="33E8A0C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sz w:val="21"/>
                <w:szCs w:val="21"/>
                <w:u w:val="none"/>
                <w:lang w:val="en-US" w:eastAsia="zh-CN"/>
              </w:rPr>
            </w:pPr>
            <w:r>
              <w:rPr>
                <w:rFonts w:hint="default" w:ascii="Times New Roman" w:hAnsi="Times New Roman" w:cs="Times New Roman"/>
                <w:i w:val="0"/>
                <w:iCs w:val="0"/>
                <w:color w:val="auto"/>
                <w:sz w:val="21"/>
                <w:szCs w:val="21"/>
                <w:u w:val="none"/>
                <w:lang w:val="en-US" w:eastAsia="zh-CN"/>
              </w:rPr>
              <w:t>=0次</w:t>
            </w:r>
          </w:p>
        </w:tc>
        <w:tc>
          <w:tcPr>
            <w:tcW w:w="769" w:type="pct"/>
            <w:noWrap w:val="0"/>
            <w:vAlign w:val="center"/>
          </w:tcPr>
          <w:p w14:paraId="4B8B83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1"/>
              </w:rPr>
            </w:pPr>
            <w:r>
              <w:rPr>
                <w:rFonts w:hint="default" w:ascii="Times New Roman" w:hAnsi="Times New Roman" w:cs="Times New Roman"/>
                <w:i w:val="0"/>
                <w:iCs w:val="0"/>
                <w:color w:val="auto"/>
                <w:kern w:val="0"/>
                <w:sz w:val="21"/>
                <w:szCs w:val="21"/>
                <w:u w:val="none"/>
                <w:lang w:val="en-US" w:eastAsia="zh-CN" w:bidi="ar"/>
                <w:woUserID w:val="1"/>
              </w:rPr>
              <w:t>0次</w:t>
            </w:r>
          </w:p>
        </w:tc>
        <w:tc>
          <w:tcPr>
            <w:tcW w:w="786" w:type="pct"/>
            <w:noWrap w:val="0"/>
            <w:vAlign w:val="center"/>
          </w:tcPr>
          <w:p w14:paraId="744A5CC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3B80B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341CEC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550" w:type="pct"/>
            <w:vMerge w:val="continue"/>
            <w:noWrap w:val="0"/>
            <w:vAlign w:val="center"/>
          </w:tcPr>
          <w:p w14:paraId="129E72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694" w:type="pct"/>
            <w:noWrap w:val="0"/>
            <w:vAlign w:val="center"/>
          </w:tcPr>
          <w:p w14:paraId="6A2B14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生态环境成本指标</w:t>
            </w:r>
          </w:p>
        </w:tc>
        <w:tc>
          <w:tcPr>
            <w:tcW w:w="874" w:type="pct"/>
            <w:shd w:val="clear" w:color="auto" w:fill="auto"/>
            <w:noWrap w:val="0"/>
            <w:vAlign w:val="center"/>
          </w:tcPr>
          <w:p w14:paraId="0566CD2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不占用永久基本农田和生态保护红线的零星民宿用地</w:t>
            </w:r>
          </w:p>
        </w:tc>
        <w:tc>
          <w:tcPr>
            <w:tcW w:w="769" w:type="pct"/>
            <w:shd w:val="clear" w:color="auto" w:fill="auto"/>
            <w:noWrap w:val="0"/>
            <w:vAlign w:val="center"/>
          </w:tcPr>
          <w:p w14:paraId="1A3CFA4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≤400</w:t>
            </w:r>
            <w:r>
              <w:rPr>
                <w:rFonts w:hint="default" w:ascii="Times New Roman" w:hAnsi="Times New Roman" w:cs="Times New Roman"/>
                <w:i w:val="0"/>
                <w:iCs w:val="0"/>
                <w:color w:val="auto"/>
                <w:kern w:val="0"/>
                <w:sz w:val="21"/>
                <w:szCs w:val="21"/>
                <w:highlight w:val="none"/>
                <w:u w:val="none"/>
                <w:lang w:val="en-US" w:eastAsia="zh-CN" w:bidi="ar"/>
              </w:rPr>
              <w:t>平方米</w:t>
            </w:r>
          </w:p>
        </w:tc>
        <w:tc>
          <w:tcPr>
            <w:tcW w:w="769" w:type="pct"/>
            <w:shd w:val="clear" w:color="auto" w:fill="auto"/>
            <w:noWrap w:val="0"/>
            <w:vAlign w:val="center"/>
          </w:tcPr>
          <w:p w14:paraId="7FE6D5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1"/>
              </w:rPr>
            </w:pPr>
            <w:r>
              <w:rPr>
                <w:rFonts w:hint="default" w:ascii="Times New Roman" w:hAnsi="Times New Roman" w:cs="Times New Roman"/>
                <w:i w:val="0"/>
                <w:iCs w:val="0"/>
                <w:color w:val="auto"/>
                <w:kern w:val="0"/>
                <w:sz w:val="21"/>
                <w:szCs w:val="21"/>
                <w:highlight w:val="none"/>
                <w:u w:val="none"/>
                <w:lang w:val="en-US" w:eastAsia="zh-CN" w:bidi="ar"/>
                <w:woUserID w:val="1"/>
              </w:rPr>
              <w:t>0</w:t>
            </w:r>
          </w:p>
        </w:tc>
        <w:tc>
          <w:tcPr>
            <w:tcW w:w="786" w:type="pct"/>
            <w:shd w:val="clear" w:color="auto" w:fill="auto"/>
            <w:noWrap w:val="0"/>
            <w:vAlign w:val="center"/>
          </w:tcPr>
          <w:p w14:paraId="307153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4696F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6" w:hRule="atLeast"/>
        </w:trPr>
        <w:tc>
          <w:tcPr>
            <w:tcW w:w="556" w:type="pct"/>
            <w:vMerge w:val="continue"/>
            <w:noWrap w:val="0"/>
            <w:vAlign w:val="center"/>
          </w:tcPr>
          <w:p w14:paraId="0BA80F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restart"/>
            <w:noWrap w:val="0"/>
            <w:vAlign w:val="center"/>
          </w:tcPr>
          <w:p w14:paraId="497574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产出指标</w:t>
            </w:r>
          </w:p>
        </w:tc>
        <w:tc>
          <w:tcPr>
            <w:tcW w:w="694" w:type="pct"/>
            <w:vMerge w:val="restart"/>
            <w:noWrap w:val="0"/>
            <w:vAlign w:val="center"/>
          </w:tcPr>
          <w:p w14:paraId="4B9C3F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数量指标</w:t>
            </w:r>
          </w:p>
        </w:tc>
        <w:tc>
          <w:tcPr>
            <w:tcW w:w="874" w:type="pct"/>
            <w:shd w:val="clear" w:color="auto" w:fill="auto"/>
            <w:noWrap w:val="0"/>
            <w:vAlign w:val="center"/>
          </w:tcPr>
          <w:p w14:paraId="0E22A4D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专业口大戏</w:t>
            </w:r>
          </w:p>
        </w:tc>
        <w:tc>
          <w:tcPr>
            <w:tcW w:w="769" w:type="pct"/>
            <w:shd w:val="clear" w:color="auto" w:fill="auto"/>
            <w:noWrap w:val="0"/>
            <w:vAlign w:val="center"/>
          </w:tcPr>
          <w:p w14:paraId="78294F4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11</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69" w:type="pct"/>
            <w:shd w:val="clear" w:color="auto" w:fill="auto"/>
            <w:noWrap w:val="0"/>
            <w:vAlign w:val="center"/>
          </w:tcPr>
          <w:p w14:paraId="641E3C6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11</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485CDA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12CF1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556" w:type="pct"/>
            <w:vMerge w:val="continue"/>
            <w:noWrap w:val="0"/>
            <w:vAlign w:val="center"/>
          </w:tcPr>
          <w:p w14:paraId="7423B9E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center"/>
          </w:tcPr>
          <w:p w14:paraId="0823F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4" w:type="pct"/>
            <w:vMerge w:val="continue"/>
            <w:noWrap w:val="0"/>
            <w:vAlign w:val="center"/>
          </w:tcPr>
          <w:p w14:paraId="09D7449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1"/>
              </w:rPr>
            </w:pPr>
          </w:p>
        </w:tc>
        <w:tc>
          <w:tcPr>
            <w:tcW w:w="874" w:type="pct"/>
            <w:shd w:val="clear" w:color="auto" w:fill="auto"/>
            <w:noWrap w:val="0"/>
            <w:vAlign w:val="center"/>
          </w:tcPr>
          <w:p w14:paraId="6F4B481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专业口小型戏曲、戏剧、音乐、舞蹈、曲艺等</w:t>
            </w:r>
          </w:p>
        </w:tc>
        <w:tc>
          <w:tcPr>
            <w:tcW w:w="769" w:type="pct"/>
            <w:shd w:val="clear" w:color="auto" w:fill="auto"/>
            <w:noWrap w:val="0"/>
            <w:vAlign w:val="center"/>
          </w:tcPr>
          <w:p w14:paraId="0F3E0ED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30</w:t>
            </w:r>
            <w:r>
              <w:rPr>
                <w:rFonts w:hint="default" w:ascii="Times New Roman" w:hAnsi="Times New Roman" w:cs="Times New Roman"/>
                <w:i w:val="0"/>
                <w:iCs w:val="0"/>
                <w:color w:val="auto"/>
                <w:kern w:val="0"/>
                <w:sz w:val="21"/>
                <w:szCs w:val="21"/>
                <w:highlight w:val="none"/>
                <w:u w:val="none"/>
                <w:lang w:val="en-US" w:eastAsia="zh-CN" w:bidi="ar"/>
              </w:rPr>
              <w:t>个左右</w:t>
            </w:r>
          </w:p>
        </w:tc>
        <w:tc>
          <w:tcPr>
            <w:tcW w:w="769" w:type="pct"/>
            <w:shd w:val="clear" w:color="auto" w:fill="auto"/>
            <w:noWrap w:val="0"/>
            <w:vAlign w:val="center"/>
          </w:tcPr>
          <w:p w14:paraId="7CC5DC9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30</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1AC5426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7115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456F9B0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2F19E72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66D7B4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08DE632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重大美术（书法、摄影）主题展</w:t>
            </w:r>
          </w:p>
        </w:tc>
        <w:tc>
          <w:tcPr>
            <w:tcW w:w="769" w:type="pct"/>
            <w:shd w:val="clear" w:color="auto" w:fill="auto"/>
            <w:noWrap w:val="0"/>
            <w:vAlign w:val="center"/>
          </w:tcPr>
          <w:p w14:paraId="020E665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69" w:type="pct"/>
            <w:shd w:val="clear" w:color="auto" w:fill="auto"/>
            <w:noWrap w:val="0"/>
            <w:vAlign w:val="center"/>
          </w:tcPr>
          <w:p w14:paraId="1CD3997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71D517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5CD1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9B4D3F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69E2B49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206D3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18CBF1F2">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群文口小型戏曲、戏剧、音乐、舞蹈、曲艺等</w:t>
            </w:r>
          </w:p>
        </w:tc>
        <w:tc>
          <w:tcPr>
            <w:tcW w:w="769" w:type="pct"/>
            <w:shd w:val="clear" w:color="auto" w:fill="auto"/>
            <w:noWrap w:val="0"/>
            <w:vAlign w:val="center"/>
          </w:tcPr>
          <w:p w14:paraId="35DBBC6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w:t>
            </w:r>
            <w:r>
              <w:rPr>
                <w:rFonts w:hint="default" w:ascii="Times New Roman" w:hAnsi="Times New Roman" w:eastAsia="仿宋_GB2312" w:cs="Times New Roman"/>
                <w:i w:val="0"/>
                <w:iCs w:val="0"/>
                <w:color w:val="auto"/>
                <w:kern w:val="0"/>
                <w:sz w:val="21"/>
                <w:szCs w:val="21"/>
                <w:highlight w:val="none"/>
                <w:u w:val="none"/>
                <w:lang w:val="en-US" w:eastAsia="zh-CN" w:bidi="ar"/>
              </w:rPr>
              <w:t>8</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69" w:type="pct"/>
            <w:shd w:val="clear" w:color="auto" w:fill="auto"/>
            <w:noWrap w:val="0"/>
            <w:vAlign w:val="center"/>
          </w:tcPr>
          <w:p w14:paraId="1B0F103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4</w:t>
            </w:r>
            <w:r>
              <w:rPr>
                <w:rFonts w:hint="default" w:ascii="Times New Roman" w:hAnsi="Times New Roman" w:eastAsia="仿宋_GB2312" w:cs="Times New Roman"/>
                <w:i w:val="0"/>
                <w:iCs w:val="0"/>
                <w:color w:val="auto"/>
                <w:kern w:val="0"/>
                <w:sz w:val="21"/>
                <w:szCs w:val="21"/>
                <w:highlight w:val="none"/>
                <w:u w:val="none"/>
                <w:lang w:val="en-US" w:eastAsia="zh-CN" w:bidi="ar"/>
              </w:rPr>
              <w:t>8</w:t>
            </w:r>
            <w:r>
              <w:rPr>
                <w:rFonts w:hint="default" w:ascii="Times New Roman" w:hAnsi="Times New Roman" w:cs="Times New Roman"/>
                <w:i w:val="0"/>
                <w:iCs w:val="0"/>
                <w:color w:val="auto"/>
                <w:kern w:val="0"/>
                <w:sz w:val="21"/>
                <w:szCs w:val="21"/>
                <w:highlight w:val="none"/>
                <w:u w:val="none"/>
                <w:lang w:val="en-US" w:eastAsia="zh-CN" w:bidi="ar"/>
              </w:rPr>
              <w:t>个</w:t>
            </w:r>
          </w:p>
        </w:tc>
        <w:tc>
          <w:tcPr>
            <w:tcW w:w="786" w:type="pct"/>
            <w:noWrap w:val="0"/>
            <w:vAlign w:val="center"/>
          </w:tcPr>
          <w:p w14:paraId="0726259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6595B8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10C0078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7471DD0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7434F2F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574B940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演艺惠民（戏曲进乡村）活动</w:t>
            </w:r>
          </w:p>
        </w:tc>
        <w:tc>
          <w:tcPr>
            <w:tcW w:w="769" w:type="pct"/>
            <w:shd w:val="clear" w:color="auto" w:fill="auto"/>
            <w:noWrap w:val="0"/>
            <w:vAlign w:val="center"/>
          </w:tcPr>
          <w:p w14:paraId="7371A90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w:t>
            </w:r>
            <w:r>
              <w:rPr>
                <w:rFonts w:hint="default" w:ascii="Times New Roman" w:hAnsi="Times New Roman" w:eastAsia="仿宋_GB2312" w:cs="Times New Roman"/>
                <w:i w:val="0"/>
                <w:iCs w:val="0"/>
                <w:color w:val="auto"/>
                <w:kern w:val="0"/>
                <w:sz w:val="21"/>
                <w:szCs w:val="21"/>
                <w:highlight w:val="none"/>
                <w:u w:val="none"/>
                <w:lang w:val="en-US" w:eastAsia="zh-CN" w:bidi="ar"/>
              </w:rPr>
              <w:t>15</w:t>
            </w:r>
            <w:r>
              <w:rPr>
                <w:rFonts w:hint="default" w:ascii="Times New Roman" w:hAnsi="Times New Roman" w:cs="Times New Roman"/>
                <w:i w:val="0"/>
                <w:iCs w:val="0"/>
                <w:color w:val="auto"/>
                <w:kern w:val="0"/>
                <w:sz w:val="21"/>
                <w:szCs w:val="21"/>
                <w:highlight w:val="none"/>
                <w:u w:val="none"/>
                <w:lang w:val="en-US" w:eastAsia="zh-CN" w:bidi="ar"/>
              </w:rPr>
              <w:t>场</w:t>
            </w:r>
          </w:p>
        </w:tc>
        <w:tc>
          <w:tcPr>
            <w:tcW w:w="769" w:type="pct"/>
            <w:shd w:val="clear" w:color="auto" w:fill="auto"/>
            <w:noWrap w:val="0"/>
            <w:vAlign w:val="center"/>
          </w:tcPr>
          <w:p w14:paraId="40C99D3D">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15</w:t>
            </w:r>
            <w:r>
              <w:rPr>
                <w:rFonts w:hint="default" w:ascii="Times New Roman" w:hAnsi="Times New Roman" w:cs="Times New Roman"/>
                <w:i w:val="0"/>
                <w:iCs w:val="0"/>
                <w:color w:val="auto"/>
                <w:kern w:val="0"/>
                <w:sz w:val="21"/>
                <w:szCs w:val="21"/>
                <w:highlight w:val="none"/>
                <w:u w:val="none"/>
                <w:lang w:val="en-US" w:eastAsia="zh-CN" w:bidi="ar"/>
              </w:rPr>
              <w:t>场</w:t>
            </w:r>
          </w:p>
        </w:tc>
        <w:tc>
          <w:tcPr>
            <w:tcW w:w="786" w:type="pct"/>
            <w:noWrap w:val="0"/>
            <w:vAlign w:val="center"/>
          </w:tcPr>
          <w:p w14:paraId="26A21F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250F21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8EF00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74D181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restart"/>
            <w:noWrap w:val="0"/>
            <w:vAlign w:val="center"/>
          </w:tcPr>
          <w:p w14:paraId="6F6E17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质量指标</w:t>
            </w:r>
          </w:p>
        </w:tc>
        <w:tc>
          <w:tcPr>
            <w:tcW w:w="874" w:type="pct"/>
            <w:shd w:val="clear" w:color="auto" w:fill="auto"/>
            <w:noWrap w:val="0"/>
            <w:vAlign w:val="center"/>
          </w:tcPr>
          <w:p w14:paraId="349DB6B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文创产品代表性</w:t>
            </w:r>
          </w:p>
        </w:tc>
        <w:tc>
          <w:tcPr>
            <w:tcW w:w="769" w:type="pct"/>
            <w:shd w:val="clear" w:color="auto" w:fill="auto"/>
            <w:noWrap w:val="0"/>
            <w:vAlign w:val="center"/>
          </w:tcPr>
          <w:p w14:paraId="005B03A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场</w:t>
            </w:r>
          </w:p>
        </w:tc>
        <w:tc>
          <w:tcPr>
            <w:tcW w:w="769" w:type="pct"/>
            <w:noWrap w:val="0"/>
            <w:vAlign w:val="center"/>
          </w:tcPr>
          <w:p w14:paraId="60C5404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场</w:t>
            </w:r>
          </w:p>
        </w:tc>
        <w:tc>
          <w:tcPr>
            <w:tcW w:w="786" w:type="pct"/>
            <w:noWrap w:val="0"/>
            <w:vAlign w:val="center"/>
          </w:tcPr>
          <w:p w14:paraId="5EDD9AB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57C1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797FD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A53715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20055B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56EC205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艺术精品创作项目优良率</w:t>
            </w:r>
          </w:p>
        </w:tc>
        <w:tc>
          <w:tcPr>
            <w:tcW w:w="769" w:type="pct"/>
            <w:shd w:val="clear" w:color="auto" w:fill="auto"/>
            <w:noWrap w:val="0"/>
            <w:vAlign w:val="center"/>
          </w:tcPr>
          <w:p w14:paraId="65F52D7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noWrap w:val="0"/>
            <w:vAlign w:val="center"/>
          </w:tcPr>
          <w:p w14:paraId="5627E40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1"/>
              </w:rPr>
            </w:pPr>
            <w:r>
              <w:rPr>
                <w:rFonts w:hint="default" w:ascii="Times New Roman" w:hAnsi="Times New Roman" w:cs="Times New Roman"/>
                <w:i w:val="0"/>
                <w:iCs w:val="0"/>
                <w:color w:val="auto"/>
                <w:kern w:val="0"/>
                <w:sz w:val="21"/>
                <w:szCs w:val="21"/>
                <w:u w:val="none"/>
                <w:lang w:val="en-US" w:eastAsia="zh-CN" w:bidi="ar"/>
                <w:woUserID w:val="1"/>
              </w:rPr>
              <w:t>98%</w:t>
            </w:r>
          </w:p>
        </w:tc>
        <w:tc>
          <w:tcPr>
            <w:tcW w:w="786" w:type="pct"/>
            <w:noWrap w:val="0"/>
            <w:vAlign w:val="center"/>
          </w:tcPr>
          <w:p w14:paraId="47E32F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31C2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A8FC33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0B9A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6F2D0B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0E3985E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市州覆盖率</w:t>
            </w:r>
          </w:p>
        </w:tc>
        <w:tc>
          <w:tcPr>
            <w:tcW w:w="769" w:type="pct"/>
            <w:shd w:val="clear" w:color="auto" w:fill="auto"/>
            <w:noWrap w:val="0"/>
            <w:vAlign w:val="center"/>
          </w:tcPr>
          <w:p w14:paraId="64B6AEE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noWrap w:val="0"/>
            <w:vAlign w:val="center"/>
          </w:tcPr>
          <w:p w14:paraId="5A7CEA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100%</w:t>
            </w:r>
          </w:p>
        </w:tc>
        <w:tc>
          <w:tcPr>
            <w:tcW w:w="786" w:type="pct"/>
            <w:noWrap w:val="0"/>
            <w:vAlign w:val="center"/>
          </w:tcPr>
          <w:p w14:paraId="51CF53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69E8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104B063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67ADFFF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6F8353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245A01C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惠民演出优质率</w:t>
            </w:r>
          </w:p>
        </w:tc>
        <w:tc>
          <w:tcPr>
            <w:tcW w:w="769" w:type="pct"/>
            <w:shd w:val="clear" w:color="auto" w:fill="auto"/>
            <w:noWrap w:val="0"/>
            <w:vAlign w:val="center"/>
          </w:tcPr>
          <w:p w14:paraId="100DB1C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noWrap w:val="0"/>
            <w:vAlign w:val="center"/>
          </w:tcPr>
          <w:p w14:paraId="5120052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both"/>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98%</w:t>
            </w:r>
          </w:p>
        </w:tc>
        <w:tc>
          <w:tcPr>
            <w:tcW w:w="786" w:type="pct"/>
            <w:noWrap w:val="0"/>
            <w:vAlign w:val="center"/>
          </w:tcPr>
          <w:p w14:paraId="55CD395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5C765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F8C09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29AFCF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316443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555D2F1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“送演出送书画”活动书画家参与人数</w:t>
            </w:r>
          </w:p>
        </w:tc>
        <w:tc>
          <w:tcPr>
            <w:tcW w:w="769" w:type="pct"/>
            <w:shd w:val="clear" w:color="auto" w:fill="auto"/>
            <w:noWrap w:val="0"/>
            <w:vAlign w:val="center"/>
          </w:tcPr>
          <w:p w14:paraId="70837D5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人/场</w:t>
            </w:r>
          </w:p>
        </w:tc>
        <w:tc>
          <w:tcPr>
            <w:tcW w:w="769" w:type="pct"/>
            <w:noWrap w:val="0"/>
            <w:vAlign w:val="center"/>
          </w:tcPr>
          <w:p w14:paraId="14D7C8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12</w:t>
            </w:r>
            <w:r>
              <w:rPr>
                <w:rFonts w:hint="default" w:ascii="Times New Roman" w:hAnsi="Times New Roman" w:cs="Times New Roman"/>
                <w:i w:val="0"/>
                <w:iCs w:val="0"/>
                <w:color w:val="auto"/>
                <w:kern w:val="0"/>
                <w:sz w:val="21"/>
                <w:szCs w:val="21"/>
                <w:highlight w:val="none"/>
                <w:u w:val="none"/>
                <w:lang w:val="en-US" w:eastAsia="zh-CN" w:bidi="ar"/>
              </w:rPr>
              <w:t>人/场</w:t>
            </w:r>
          </w:p>
        </w:tc>
        <w:tc>
          <w:tcPr>
            <w:tcW w:w="786" w:type="pct"/>
            <w:noWrap w:val="0"/>
            <w:vAlign w:val="center"/>
          </w:tcPr>
          <w:p w14:paraId="14CBAC0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2E78A2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2066F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4D539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06E240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54B5FA9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“送戏曲进校园”“送演出送书画”活动演出时长</w:t>
            </w:r>
          </w:p>
        </w:tc>
        <w:tc>
          <w:tcPr>
            <w:tcW w:w="769" w:type="pct"/>
            <w:shd w:val="clear" w:color="auto" w:fill="auto"/>
            <w:noWrap w:val="0"/>
            <w:vAlign w:val="center"/>
          </w:tcPr>
          <w:p w14:paraId="03CA289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≥70</w:t>
            </w:r>
            <w:r>
              <w:rPr>
                <w:rFonts w:hint="default" w:ascii="Times New Roman" w:hAnsi="Times New Roman" w:cs="Times New Roman"/>
                <w:i w:val="0"/>
                <w:iCs w:val="0"/>
                <w:color w:val="auto"/>
                <w:kern w:val="0"/>
                <w:sz w:val="21"/>
                <w:szCs w:val="21"/>
                <w:highlight w:val="none"/>
                <w:u w:val="none"/>
                <w:lang w:val="en-US" w:eastAsia="zh-CN" w:bidi="ar"/>
              </w:rPr>
              <w:t>分钟/场</w:t>
            </w:r>
          </w:p>
        </w:tc>
        <w:tc>
          <w:tcPr>
            <w:tcW w:w="769" w:type="pct"/>
            <w:noWrap w:val="0"/>
            <w:vAlign w:val="center"/>
          </w:tcPr>
          <w:p w14:paraId="5211AC4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70</w:t>
            </w:r>
            <w:r>
              <w:rPr>
                <w:rFonts w:hint="default" w:ascii="Times New Roman" w:hAnsi="Times New Roman" w:cs="Times New Roman"/>
                <w:i w:val="0"/>
                <w:iCs w:val="0"/>
                <w:color w:val="auto"/>
                <w:kern w:val="0"/>
                <w:sz w:val="21"/>
                <w:szCs w:val="21"/>
                <w:highlight w:val="none"/>
                <w:u w:val="none"/>
                <w:lang w:val="en-US" w:eastAsia="zh-CN" w:bidi="ar"/>
              </w:rPr>
              <w:t>分钟/场</w:t>
            </w:r>
          </w:p>
        </w:tc>
        <w:tc>
          <w:tcPr>
            <w:tcW w:w="786" w:type="pct"/>
            <w:noWrap w:val="0"/>
            <w:vAlign w:val="center"/>
          </w:tcPr>
          <w:p w14:paraId="130B0E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6EFF9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90CF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DC847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restart"/>
            <w:noWrap w:val="0"/>
            <w:vAlign w:val="center"/>
          </w:tcPr>
          <w:p w14:paraId="2B69DE2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时效指标</w:t>
            </w:r>
          </w:p>
        </w:tc>
        <w:tc>
          <w:tcPr>
            <w:tcW w:w="874" w:type="pct"/>
            <w:shd w:val="clear" w:color="auto" w:fill="auto"/>
            <w:noWrap w:val="0"/>
            <w:vAlign w:val="center"/>
          </w:tcPr>
          <w:p w14:paraId="26758DD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艺术创作及展览项目启动时间</w:t>
            </w:r>
          </w:p>
        </w:tc>
        <w:tc>
          <w:tcPr>
            <w:tcW w:w="769" w:type="pct"/>
            <w:shd w:val="clear" w:color="auto" w:fill="auto"/>
            <w:noWrap w:val="0"/>
            <w:vAlign w:val="center"/>
          </w:tcPr>
          <w:p w14:paraId="4E715D6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69" w:type="pct"/>
            <w:shd w:val="clear" w:color="auto" w:fill="auto"/>
            <w:noWrap w:val="0"/>
            <w:vAlign w:val="center"/>
          </w:tcPr>
          <w:p w14:paraId="5305C29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86" w:type="pct"/>
            <w:noWrap w:val="0"/>
            <w:vAlign w:val="center"/>
          </w:tcPr>
          <w:p w14:paraId="3F4AB1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7C9C3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C391A5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4EA319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7C9E0A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74127FC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财政资金下拨时间</w:t>
            </w:r>
          </w:p>
        </w:tc>
        <w:tc>
          <w:tcPr>
            <w:tcW w:w="769" w:type="pct"/>
            <w:shd w:val="clear" w:color="auto" w:fill="auto"/>
            <w:noWrap w:val="0"/>
            <w:vAlign w:val="center"/>
          </w:tcPr>
          <w:p w14:paraId="1F4540F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769" w:type="pct"/>
            <w:shd w:val="clear" w:color="auto" w:fill="auto"/>
            <w:noWrap w:val="0"/>
            <w:vAlign w:val="center"/>
          </w:tcPr>
          <w:p w14:paraId="008ED059">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2025年9月底前全部拨付完成</w:t>
            </w:r>
          </w:p>
        </w:tc>
        <w:tc>
          <w:tcPr>
            <w:tcW w:w="786" w:type="pct"/>
            <w:noWrap w:val="0"/>
            <w:vAlign w:val="center"/>
          </w:tcPr>
          <w:p w14:paraId="55BCE6A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49859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001B27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2F685D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3B7E2D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65E9A43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演出启动时间</w:t>
            </w:r>
          </w:p>
        </w:tc>
        <w:tc>
          <w:tcPr>
            <w:tcW w:w="769" w:type="pct"/>
            <w:shd w:val="clear" w:color="auto" w:fill="auto"/>
            <w:noWrap w:val="0"/>
            <w:vAlign w:val="center"/>
          </w:tcPr>
          <w:p w14:paraId="1E51E29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69" w:type="pct"/>
            <w:shd w:val="clear" w:color="auto" w:fill="auto"/>
            <w:noWrap w:val="0"/>
            <w:vAlign w:val="center"/>
          </w:tcPr>
          <w:p w14:paraId="26ADF49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2025年6月30日前</w:t>
            </w:r>
          </w:p>
        </w:tc>
        <w:tc>
          <w:tcPr>
            <w:tcW w:w="786" w:type="pct"/>
            <w:noWrap w:val="0"/>
            <w:vAlign w:val="center"/>
          </w:tcPr>
          <w:p w14:paraId="729778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52EA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6CE673A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6EE8A06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68C2014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5DAAE3F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项目验收及时率</w:t>
            </w:r>
          </w:p>
        </w:tc>
        <w:tc>
          <w:tcPr>
            <w:tcW w:w="769" w:type="pct"/>
            <w:shd w:val="clear" w:color="auto" w:fill="auto"/>
            <w:noWrap w:val="0"/>
            <w:vAlign w:val="center"/>
          </w:tcPr>
          <w:p w14:paraId="1ACC8BC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shd w:val="clear" w:color="auto" w:fill="auto"/>
            <w:noWrap w:val="0"/>
            <w:vAlign w:val="center"/>
          </w:tcPr>
          <w:p w14:paraId="09D38C0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100</w:t>
            </w:r>
            <w:r>
              <w:rPr>
                <w:rFonts w:hint="default" w:ascii="Times New Roman" w:hAnsi="Times New Roman" w:cs="Times New Roman"/>
                <w:i w:val="0"/>
                <w:iCs w:val="0"/>
                <w:color w:val="auto"/>
                <w:kern w:val="0"/>
                <w:sz w:val="21"/>
                <w:szCs w:val="21"/>
                <w:highlight w:val="none"/>
                <w:u w:val="none"/>
                <w:lang w:val="en-US" w:eastAsia="zh-CN" w:bidi="ar"/>
              </w:rPr>
              <w:t>%</w:t>
            </w:r>
          </w:p>
        </w:tc>
        <w:tc>
          <w:tcPr>
            <w:tcW w:w="786" w:type="pct"/>
            <w:noWrap w:val="0"/>
            <w:vAlign w:val="center"/>
          </w:tcPr>
          <w:p w14:paraId="507AD1F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63BC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83995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239A018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效益指标</w:t>
            </w:r>
          </w:p>
        </w:tc>
        <w:tc>
          <w:tcPr>
            <w:tcW w:w="694" w:type="pct"/>
            <w:vMerge w:val="restart"/>
            <w:noWrap w:val="0"/>
            <w:vAlign w:val="center"/>
          </w:tcPr>
          <w:p w14:paraId="21D1E0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经济效益</w:t>
            </w:r>
            <w:r>
              <w:rPr>
                <w:rFonts w:hint="default" w:ascii="Times New Roman" w:hAnsi="Times New Roman" w:eastAsia="仿宋_GB2312" w:cs="Times New Roman"/>
                <w:i w:val="0"/>
                <w:iCs w:val="0"/>
                <w:color w:val="auto"/>
                <w:kern w:val="0"/>
                <w:sz w:val="21"/>
                <w:szCs w:val="21"/>
                <w:u w:val="none"/>
                <w:lang w:val="en-US" w:eastAsia="zh-CN" w:bidi="ar"/>
              </w:rPr>
              <w:br w:type="textWrapping"/>
            </w:r>
            <w:r>
              <w:rPr>
                <w:rFonts w:hint="default" w:ascii="Times New Roman" w:hAnsi="Times New Roman" w:eastAsia="仿宋_GB2312" w:cs="Times New Roman"/>
                <w:i w:val="0"/>
                <w:iCs w:val="0"/>
                <w:color w:val="auto"/>
                <w:kern w:val="0"/>
                <w:sz w:val="21"/>
                <w:szCs w:val="21"/>
                <w:u w:val="none"/>
                <w:lang w:val="en-US" w:eastAsia="zh-CN" w:bidi="ar"/>
              </w:rPr>
              <w:t>指标</w:t>
            </w:r>
          </w:p>
        </w:tc>
        <w:tc>
          <w:tcPr>
            <w:tcW w:w="874" w:type="pct"/>
            <w:shd w:val="clear" w:color="auto" w:fill="auto"/>
            <w:noWrap w:val="0"/>
            <w:vAlign w:val="center"/>
          </w:tcPr>
          <w:p w14:paraId="3A75DDE5">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游客总花费增长率</w:t>
            </w:r>
          </w:p>
        </w:tc>
        <w:tc>
          <w:tcPr>
            <w:tcW w:w="769" w:type="pct"/>
            <w:shd w:val="clear" w:color="auto" w:fill="auto"/>
            <w:noWrap w:val="0"/>
            <w:vAlign w:val="center"/>
          </w:tcPr>
          <w:p w14:paraId="2B0EC9B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shd w:val="clear" w:color="auto" w:fill="auto"/>
            <w:noWrap w:val="0"/>
            <w:vAlign w:val="center"/>
          </w:tcPr>
          <w:p w14:paraId="0634652C">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9.02%</w:t>
            </w:r>
          </w:p>
        </w:tc>
        <w:tc>
          <w:tcPr>
            <w:tcW w:w="786" w:type="pct"/>
            <w:shd w:val="clear" w:color="auto" w:fill="auto"/>
            <w:noWrap w:val="0"/>
            <w:vAlign w:val="center"/>
          </w:tcPr>
          <w:p w14:paraId="7B38E8A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9D14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03AAC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4AC20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43002B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193D316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规上文化和相关产业企业营收</w:t>
            </w:r>
          </w:p>
        </w:tc>
        <w:tc>
          <w:tcPr>
            <w:tcW w:w="769" w:type="pct"/>
            <w:shd w:val="clear" w:color="auto" w:fill="auto"/>
            <w:noWrap w:val="0"/>
            <w:vAlign w:val="center"/>
          </w:tcPr>
          <w:p w14:paraId="0C7C18F7">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3300</w:t>
            </w:r>
            <w:r>
              <w:rPr>
                <w:rFonts w:hint="default" w:ascii="Times New Roman" w:hAnsi="Times New Roman" w:cs="Times New Roman"/>
                <w:i w:val="0"/>
                <w:iCs w:val="0"/>
                <w:color w:val="auto"/>
                <w:kern w:val="0"/>
                <w:sz w:val="21"/>
                <w:szCs w:val="21"/>
                <w:highlight w:val="none"/>
                <w:u w:val="none"/>
                <w:lang w:val="en-US" w:eastAsia="zh-CN" w:bidi="ar"/>
              </w:rPr>
              <w:t>亿元</w:t>
            </w:r>
          </w:p>
        </w:tc>
        <w:tc>
          <w:tcPr>
            <w:tcW w:w="769" w:type="pct"/>
            <w:shd w:val="clear" w:color="auto" w:fill="auto"/>
            <w:noWrap w:val="0"/>
            <w:vAlign w:val="center"/>
          </w:tcPr>
          <w:p w14:paraId="483A63F9">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3526 亿元</w:t>
            </w:r>
          </w:p>
        </w:tc>
        <w:tc>
          <w:tcPr>
            <w:tcW w:w="786" w:type="pct"/>
            <w:shd w:val="clear" w:color="auto" w:fill="auto"/>
            <w:noWrap w:val="0"/>
            <w:vAlign w:val="center"/>
          </w:tcPr>
          <w:p w14:paraId="626E4DC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733D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E9F2F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0F90E5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072F2D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77576726">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u w:val="none"/>
                <w:lang w:val="en-US" w:eastAsia="zh-CN" w:bidi="ar"/>
              </w:rPr>
              <w:t>促进接待游客人数增长率</w:t>
            </w:r>
          </w:p>
        </w:tc>
        <w:tc>
          <w:tcPr>
            <w:tcW w:w="769" w:type="pct"/>
            <w:shd w:val="clear" w:color="auto" w:fill="auto"/>
            <w:noWrap w:val="0"/>
            <w:vAlign w:val="center"/>
          </w:tcPr>
          <w:p w14:paraId="7D47E304">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red"/>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7</w:t>
            </w:r>
            <w:r>
              <w:rPr>
                <w:rFonts w:hint="default" w:ascii="Times New Roman" w:hAnsi="Times New Roman" w:cs="Times New Roman"/>
                <w:i w:val="0"/>
                <w:iCs w:val="0"/>
                <w:color w:val="auto"/>
                <w:kern w:val="0"/>
                <w:sz w:val="21"/>
                <w:szCs w:val="21"/>
                <w:highlight w:val="none"/>
                <w:u w:val="none"/>
                <w:lang w:val="en-US" w:eastAsia="zh-CN" w:bidi="ar"/>
              </w:rPr>
              <w:t>%</w:t>
            </w:r>
          </w:p>
        </w:tc>
        <w:tc>
          <w:tcPr>
            <w:tcW w:w="769" w:type="pct"/>
            <w:shd w:val="clear" w:color="auto" w:fill="auto"/>
            <w:noWrap w:val="0"/>
            <w:vAlign w:val="center"/>
          </w:tcPr>
          <w:p w14:paraId="3082DE9E">
            <w:pPr>
              <w:keepNext w:val="0"/>
              <w:keepLines w:val="0"/>
              <w:pageBreakBefore w:val="0"/>
              <w:widowControl w:val="0"/>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10.56%</w:t>
            </w:r>
          </w:p>
        </w:tc>
        <w:tc>
          <w:tcPr>
            <w:tcW w:w="786" w:type="pct"/>
            <w:shd w:val="clear" w:color="auto" w:fill="auto"/>
            <w:noWrap w:val="0"/>
            <w:vAlign w:val="center"/>
          </w:tcPr>
          <w:p w14:paraId="79972D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44CC3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5C6171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63A820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restart"/>
            <w:noWrap w:val="0"/>
            <w:vAlign w:val="center"/>
          </w:tcPr>
          <w:p w14:paraId="2725454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社会效益指标</w:t>
            </w:r>
          </w:p>
        </w:tc>
        <w:tc>
          <w:tcPr>
            <w:tcW w:w="874" w:type="pct"/>
            <w:shd w:val="clear" w:color="auto" w:fill="auto"/>
            <w:noWrap w:val="0"/>
            <w:vAlign w:val="center"/>
          </w:tcPr>
          <w:p w14:paraId="0A0070B6">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文旅志愿服务活动受益人群</w:t>
            </w:r>
          </w:p>
        </w:tc>
        <w:tc>
          <w:tcPr>
            <w:tcW w:w="769" w:type="pct"/>
            <w:shd w:val="clear" w:color="auto" w:fill="auto"/>
            <w:noWrap w:val="0"/>
            <w:vAlign w:val="center"/>
          </w:tcPr>
          <w:p w14:paraId="47684F5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≥2000万人次</w:t>
            </w:r>
          </w:p>
        </w:tc>
        <w:tc>
          <w:tcPr>
            <w:tcW w:w="769" w:type="pct"/>
            <w:shd w:val="clear" w:color="auto" w:fill="auto"/>
            <w:noWrap w:val="0"/>
            <w:vAlign w:val="center"/>
          </w:tcPr>
          <w:p w14:paraId="25AC560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woUserID w:val="2"/>
              </w:rPr>
            </w:pPr>
            <w:r>
              <w:rPr>
                <w:rFonts w:hint="default" w:ascii="Times New Roman" w:hAnsi="Times New Roman" w:eastAsia="仿宋_GB2312" w:cs="Times New Roman"/>
                <w:i w:val="0"/>
                <w:iCs w:val="0"/>
                <w:color w:val="auto"/>
                <w:kern w:val="0"/>
                <w:sz w:val="21"/>
                <w:szCs w:val="21"/>
                <w:highlight w:val="none"/>
                <w:u w:val="none"/>
                <w:lang w:val="en-US" w:eastAsia="zh-CN" w:bidi="ar"/>
              </w:rPr>
              <w:t>2380 万人次</w:t>
            </w:r>
          </w:p>
        </w:tc>
        <w:tc>
          <w:tcPr>
            <w:tcW w:w="786" w:type="pct"/>
            <w:shd w:val="clear" w:color="auto" w:fill="auto"/>
            <w:noWrap w:val="0"/>
            <w:vAlign w:val="center"/>
          </w:tcPr>
          <w:p w14:paraId="504055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2236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CAC8E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368824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15E626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79725711">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传统文化传播与弘扬</w:t>
            </w:r>
          </w:p>
        </w:tc>
        <w:tc>
          <w:tcPr>
            <w:tcW w:w="769" w:type="pct"/>
            <w:shd w:val="clear" w:color="auto" w:fill="auto"/>
            <w:noWrap w:val="0"/>
            <w:vAlign w:val="center"/>
          </w:tcPr>
          <w:p w14:paraId="28D914BF">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769" w:type="pct"/>
            <w:shd w:val="clear" w:color="auto" w:fill="auto"/>
            <w:noWrap w:val="0"/>
            <w:vAlign w:val="center"/>
          </w:tcPr>
          <w:p w14:paraId="642B5C3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较上一年度有所提高</w:t>
            </w:r>
          </w:p>
        </w:tc>
        <w:tc>
          <w:tcPr>
            <w:tcW w:w="786" w:type="pct"/>
            <w:noWrap w:val="0"/>
            <w:vAlign w:val="center"/>
          </w:tcPr>
          <w:p w14:paraId="7AB9FD3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40D66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2214CDF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1E65C16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4" w:type="pct"/>
            <w:noWrap w:val="0"/>
            <w:vAlign w:val="center"/>
          </w:tcPr>
          <w:p w14:paraId="43D988C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生态效益指标</w:t>
            </w:r>
          </w:p>
        </w:tc>
        <w:tc>
          <w:tcPr>
            <w:tcW w:w="874" w:type="pct"/>
            <w:shd w:val="clear" w:color="auto" w:fill="auto"/>
            <w:noWrap w:val="0"/>
            <w:vAlign w:val="center"/>
          </w:tcPr>
          <w:p w14:paraId="182E720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项目对旅游地生态环境影响</w:t>
            </w:r>
          </w:p>
        </w:tc>
        <w:tc>
          <w:tcPr>
            <w:tcW w:w="769" w:type="pct"/>
            <w:noWrap w:val="0"/>
            <w:vAlign w:val="center"/>
          </w:tcPr>
          <w:p w14:paraId="3DB91D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69" w:type="pct"/>
            <w:noWrap w:val="0"/>
            <w:vAlign w:val="center"/>
          </w:tcPr>
          <w:p w14:paraId="26DDA96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Style w:val="36"/>
                <w:rFonts w:hint="default" w:ascii="Times New Roman" w:hAnsi="Times New Roman" w:eastAsia="仿宋_GB2312" w:cs="Times New Roman"/>
                <w:color w:val="auto"/>
                <w:sz w:val="21"/>
                <w:szCs w:val="21"/>
                <w:lang w:val="en-US" w:eastAsia="zh-CN" w:bidi="ar"/>
                <w:woUserID w:val="1"/>
              </w:rPr>
            </w:pPr>
            <w:r>
              <w:rPr>
                <w:rFonts w:hint="default" w:ascii="Times New Roman" w:hAnsi="Times New Roman" w:eastAsia="仿宋_GB2312" w:cs="Times New Roman"/>
                <w:i w:val="0"/>
                <w:iCs w:val="0"/>
                <w:color w:val="auto"/>
                <w:kern w:val="0"/>
                <w:sz w:val="21"/>
                <w:szCs w:val="21"/>
                <w:highlight w:val="none"/>
                <w:u w:val="none"/>
                <w:lang w:val="en-US" w:eastAsia="zh-CN" w:bidi="ar"/>
              </w:rPr>
              <w:t>无不良影响</w:t>
            </w:r>
          </w:p>
        </w:tc>
        <w:tc>
          <w:tcPr>
            <w:tcW w:w="786" w:type="pct"/>
            <w:noWrap w:val="0"/>
            <w:vAlign w:val="center"/>
          </w:tcPr>
          <w:p w14:paraId="036C9B1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5F988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1B616A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1F0688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4" w:type="pct"/>
            <w:vMerge w:val="restart"/>
            <w:noWrap w:val="0"/>
            <w:vAlign w:val="center"/>
          </w:tcPr>
          <w:p w14:paraId="062C61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r>
              <w:rPr>
                <w:rFonts w:hint="default" w:ascii="Times New Roman" w:hAnsi="Times New Roman" w:eastAsia="仿宋_GB2312" w:cs="Times New Roman"/>
                <w:i w:val="0"/>
                <w:iCs w:val="0"/>
                <w:color w:val="auto"/>
                <w:kern w:val="0"/>
                <w:sz w:val="21"/>
                <w:szCs w:val="21"/>
                <w:u w:val="none"/>
                <w:lang w:val="en-US" w:eastAsia="zh-CN" w:bidi="ar"/>
                <w:woUserID w:val="1"/>
              </w:rPr>
              <w:t>可持续影响指标</w:t>
            </w:r>
          </w:p>
        </w:tc>
        <w:tc>
          <w:tcPr>
            <w:tcW w:w="874" w:type="pct"/>
            <w:shd w:val="clear" w:color="auto" w:fill="auto"/>
            <w:noWrap w:val="0"/>
            <w:vAlign w:val="center"/>
          </w:tcPr>
          <w:p w14:paraId="242FBD70">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艺术创作水平</w:t>
            </w:r>
          </w:p>
        </w:tc>
        <w:tc>
          <w:tcPr>
            <w:tcW w:w="769" w:type="pct"/>
            <w:shd w:val="clear" w:color="auto" w:fill="auto"/>
            <w:noWrap w:val="0"/>
            <w:vAlign w:val="center"/>
          </w:tcPr>
          <w:p w14:paraId="4287621C">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69" w:type="pct"/>
            <w:shd w:val="clear" w:color="auto" w:fill="auto"/>
            <w:noWrap w:val="0"/>
            <w:vAlign w:val="center"/>
          </w:tcPr>
          <w:p w14:paraId="77346608">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w:t>
            </w:r>
          </w:p>
        </w:tc>
        <w:tc>
          <w:tcPr>
            <w:tcW w:w="786" w:type="pct"/>
            <w:noWrap w:val="0"/>
            <w:vAlign w:val="center"/>
          </w:tcPr>
          <w:p w14:paraId="63C6C0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3959F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37BE1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550" w:type="pct"/>
            <w:vMerge w:val="continue"/>
            <w:noWrap w:val="0"/>
            <w:vAlign w:val="top"/>
          </w:tcPr>
          <w:p w14:paraId="6B13C42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woUserID w:val="1"/>
              </w:rPr>
            </w:pPr>
          </w:p>
        </w:tc>
        <w:tc>
          <w:tcPr>
            <w:tcW w:w="694" w:type="pct"/>
            <w:vMerge w:val="continue"/>
            <w:noWrap w:val="0"/>
            <w:vAlign w:val="center"/>
          </w:tcPr>
          <w:p w14:paraId="66ADF5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woUserID w:val="1"/>
              </w:rPr>
            </w:pPr>
          </w:p>
        </w:tc>
        <w:tc>
          <w:tcPr>
            <w:tcW w:w="874" w:type="pct"/>
            <w:shd w:val="clear" w:color="auto" w:fill="auto"/>
            <w:noWrap w:val="0"/>
            <w:vAlign w:val="center"/>
          </w:tcPr>
          <w:p w14:paraId="496579D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公共文化服务</w:t>
            </w:r>
          </w:p>
          <w:p w14:paraId="6406753B">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体系</w:t>
            </w:r>
          </w:p>
        </w:tc>
        <w:tc>
          <w:tcPr>
            <w:tcW w:w="769" w:type="pct"/>
            <w:shd w:val="clear" w:color="auto" w:fill="auto"/>
            <w:noWrap w:val="0"/>
            <w:vAlign w:val="center"/>
          </w:tcPr>
          <w:p w14:paraId="53CCA4DA">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769" w:type="pct"/>
            <w:shd w:val="clear" w:color="auto" w:fill="auto"/>
            <w:noWrap w:val="0"/>
            <w:vAlign w:val="center"/>
          </w:tcPr>
          <w:p w14:paraId="635027B7">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较上一年度有所提升和完善</w:t>
            </w:r>
          </w:p>
        </w:tc>
        <w:tc>
          <w:tcPr>
            <w:tcW w:w="786" w:type="pct"/>
            <w:noWrap w:val="0"/>
            <w:vAlign w:val="center"/>
          </w:tcPr>
          <w:p w14:paraId="0D005AA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17EE9D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41EA5B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restart"/>
            <w:noWrap w:val="0"/>
            <w:vAlign w:val="center"/>
          </w:tcPr>
          <w:p w14:paraId="748AD8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满意度指标</w:t>
            </w:r>
          </w:p>
        </w:tc>
        <w:tc>
          <w:tcPr>
            <w:tcW w:w="694" w:type="pct"/>
            <w:vMerge w:val="restart"/>
            <w:noWrap w:val="0"/>
            <w:vAlign w:val="center"/>
          </w:tcPr>
          <w:p w14:paraId="12A9B9F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SA"/>
              </w:rPr>
            </w:pPr>
            <w:r>
              <w:rPr>
                <w:rFonts w:hint="default" w:ascii="Times New Roman" w:hAnsi="Times New Roman" w:eastAsia="仿宋_GB2312" w:cs="Times New Roman"/>
                <w:i w:val="0"/>
                <w:iCs w:val="0"/>
                <w:color w:val="auto"/>
                <w:kern w:val="0"/>
                <w:sz w:val="21"/>
                <w:szCs w:val="21"/>
                <w:u w:val="none"/>
                <w:lang w:val="en-US" w:eastAsia="zh-CN" w:bidi="ar"/>
              </w:rPr>
              <w:t>社会公众或服务对象满意度指标</w:t>
            </w:r>
          </w:p>
        </w:tc>
        <w:tc>
          <w:tcPr>
            <w:tcW w:w="874" w:type="pct"/>
            <w:shd w:val="clear" w:color="auto" w:fill="auto"/>
            <w:noWrap w:val="0"/>
            <w:vAlign w:val="center"/>
          </w:tcPr>
          <w:p w14:paraId="2F73881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当地群众满意度</w:t>
            </w:r>
          </w:p>
        </w:tc>
        <w:tc>
          <w:tcPr>
            <w:tcW w:w="769" w:type="pct"/>
            <w:shd w:val="clear" w:color="auto" w:fill="auto"/>
            <w:noWrap w:val="0"/>
            <w:vAlign w:val="center"/>
          </w:tcPr>
          <w:p w14:paraId="432445B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p>
        </w:tc>
        <w:tc>
          <w:tcPr>
            <w:tcW w:w="769" w:type="pct"/>
            <w:noWrap w:val="0"/>
            <w:vAlign w:val="center"/>
          </w:tcPr>
          <w:p w14:paraId="52A3836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SA"/>
              </w:rPr>
              <w:t>90.34%</w:t>
            </w:r>
          </w:p>
        </w:tc>
        <w:tc>
          <w:tcPr>
            <w:tcW w:w="786" w:type="pct"/>
            <w:noWrap w:val="0"/>
            <w:vAlign w:val="center"/>
          </w:tcPr>
          <w:p w14:paraId="52F4B27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1EF0A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31D6AAD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56EA2C0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6E09492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64C6B534">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游客满意度</w:t>
            </w:r>
          </w:p>
        </w:tc>
        <w:tc>
          <w:tcPr>
            <w:tcW w:w="769" w:type="pct"/>
            <w:shd w:val="clear" w:color="auto" w:fill="auto"/>
            <w:noWrap w:val="0"/>
            <w:vAlign w:val="center"/>
          </w:tcPr>
          <w:p w14:paraId="734F6D23">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≥95</w:t>
            </w:r>
          </w:p>
        </w:tc>
        <w:tc>
          <w:tcPr>
            <w:tcW w:w="769" w:type="pct"/>
            <w:noWrap w:val="0"/>
            <w:vAlign w:val="center"/>
          </w:tcPr>
          <w:p w14:paraId="7B69B2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95.6%</w:t>
            </w:r>
          </w:p>
        </w:tc>
        <w:tc>
          <w:tcPr>
            <w:tcW w:w="786" w:type="pct"/>
            <w:noWrap w:val="0"/>
            <w:vAlign w:val="center"/>
          </w:tcPr>
          <w:p w14:paraId="0C2CA39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r w14:paraId="0A957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56" w:type="pct"/>
            <w:vMerge w:val="continue"/>
            <w:noWrap w:val="0"/>
            <w:vAlign w:val="top"/>
          </w:tcPr>
          <w:p w14:paraId="7C46F06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550" w:type="pct"/>
            <w:vMerge w:val="continue"/>
            <w:noWrap w:val="0"/>
            <w:vAlign w:val="top"/>
          </w:tcPr>
          <w:p w14:paraId="7027EF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rPr>
                <w:rFonts w:hint="default" w:ascii="Times New Roman" w:hAnsi="Times New Roman" w:eastAsia="仿宋_GB2312" w:cs="Times New Roman"/>
                <w:i w:val="0"/>
                <w:iCs w:val="0"/>
                <w:color w:val="auto"/>
                <w:sz w:val="21"/>
                <w:szCs w:val="21"/>
                <w:u w:val="none"/>
              </w:rPr>
            </w:pPr>
          </w:p>
        </w:tc>
        <w:tc>
          <w:tcPr>
            <w:tcW w:w="694" w:type="pct"/>
            <w:vMerge w:val="continue"/>
            <w:noWrap w:val="0"/>
            <w:vAlign w:val="top"/>
          </w:tcPr>
          <w:p w14:paraId="3C67010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rPr>
            </w:pPr>
          </w:p>
        </w:tc>
        <w:tc>
          <w:tcPr>
            <w:tcW w:w="874" w:type="pct"/>
            <w:shd w:val="clear" w:color="auto" w:fill="auto"/>
            <w:noWrap w:val="0"/>
            <w:vAlign w:val="center"/>
          </w:tcPr>
          <w:p w14:paraId="1FF386AE">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艺术创作者满意度</w:t>
            </w:r>
          </w:p>
        </w:tc>
        <w:tc>
          <w:tcPr>
            <w:tcW w:w="769" w:type="pct"/>
            <w:shd w:val="clear" w:color="auto" w:fill="auto"/>
            <w:noWrap w:val="0"/>
            <w:vAlign w:val="center"/>
          </w:tcPr>
          <w:p w14:paraId="23A274A5">
            <w:pPr>
              <w:keepNext w:val="0"/>
              <w:keepLines w:val="0"/>
              <w:pageBreakBefore w:val="0"/>
              <w:widowControl/>
              <w:suppressLineNumbers w:val="0"/>
              <w:kinsoku/>
              <w:wordWrap/>
              <w:overflowPunct/>
              <w:topLinePunct w:val="0"/>
              <w:autoSpaceDE/>
              <w:autoSpaceDN/>
              <w:bidi w:val="0"/>
              <w:adjustRightInd w:val="0"/>
              <w:snapToGrid w:val="0"/>
              <w:spacing w:line="240" w:lineRule="exact"/>
              <w:ind w:firstLine="0" w:firstLineChars="0"/>
              <w:jc w:val="center"/>
              <w:textAlignment w:val="center"/>
              <w:rPr>
                <w:rFonts w:hint="default" w:ascii="Times New Roman" w:hAnsi="Times New Roman" w:eastAsia="仿宋_GB2312" w:cs="Times New Roman"/>
                <w:i w:val="0"/>
                <w:iCs w:val="0"/>
                <w:color w:val="auto"/>
                <w:kern w:val="0"/>
                <w:sz w:val="21"/>
                <w:szCs w:val="21"/>
                <w:highlight w:val="none"/>
                <w:u w:val="none"/>
                <w:lang w:val="en-US" w:eastAsia="zh-CN" w:bidi="ar"/>
              </w:rPr>
            </w:pPr>
            <w:r>
              <w:rPr>
                <w:rFonts w:hint="default" w:ascii="Times New Roman" w:hAnsi="Times New Roman" w:eastAsia="仿宋_GB2312" w:cs="Times New Roman"/>
                <w:i w:val="0"/>
                <w:iCs w:val="0"/>
                <w:color w:val="auto"/>
                <w:kern w:val="0"/>
                <w:sz w:val="21"/>
                <w:szCs w:val="21"/>
                <w:highlight w:val="none"/>
                <w:u w:val="none"/>
                <w:lang w:val="en-US" w:eastAsia="zh-CN" w:bidi="ar"/>
              </w:rPr>
              <w:t>≥90</w:t>
            </w:r>
          </w:p>
        </w:tc>
        <w:tc>
          <w:tcPr>
            <w:tcW w:w="769" w:type="pct"/>
            <w:noWrap w:val="0"/>
            <w:vAlign w:val="center"/>
          </w:tcPr>
          <w:p w14:paraId="4FA4C4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eastAsia="仿宋_GB2312" w:cs="Times New Roman"/>
                <w:i w:val="0"/>
                <w:iCs w:val="0"/>
                <w:color w:val="auto"/>
                <w:kern w:val="0"/>
                <w:sz w:val="21"/>
                <w:szCs w:val="21"/>
                <w:u w:val="none"/>
                <w:lang w:val="en-US" w:eastAsia="zh-CN" w:bidi="ar"/>
                <w:woUserID w:val="2"/>
              </w:rPr>
            </w:pPr>
            <w:r>
              <w:rPr>
                <w:rFonts w:hint="default" w:ascii="Times New Roman" w:hAnsi="Times New Roman" w:cs="Times New Roman"/>
                <w:i w:val="0"/>
                <w:iCs w:val="0"/>
                <w:color w:val="auto"/>
                <w:kern w:val="0"/>
                <w:sz w:val="21"/>
                <w:szCs w:val="21"/>
                <w:u w:val="none"/>
                <w:lang w:val="en-US" w:eastAsia="zh-CN" w:bidi="ar"/>
                <w:woUserID w:val="2"/>
              </w:rPr>
              <w:t>92.8%</w:t>
            </w:r>
          </w:p>
        </w:tc>
        <w:tc>
          <w:tcPr>
            <w:tcW w:w="786" w:type="pct"/>
            <w:noWrap w:val="0"/>
            <w:vAlign w:val="center"/>
          </w:tcPr>
          <w:p w14:paraId="105222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exact"/>
              <w:ind w:left="0" w:right="0" w:firstLine="0" w:firstLineChars="0"/>
              <w:jc w:val="center"/>
              <w:textAlignment w:val="center"/>
              <w:rPr>
                <w:rFonts w:hint="default" w:ascii="Times New Roman" w:hAnsi="Times New Roman" w:cs="Times New Roman"/>
                <w:i w:val="0"/>
                <w:iCs w:val="0"/>
                <w:color w:val="auto"/>
                <w:kern w:val="0"/>
                <w:sz w:val="21"/>
                <w:szCs w:val="21"/>
                <w:u w:val="none"/>
                <w:lang w:val="en-US" w:eastAsia="zh" w:bidi="ar"/>
                <w:woUserID w:val="2"/>
              </w:rPr>
            </w:pPr>
            <w:r>
              <w:rPr>
                <w:rFonts w:hint="default" w:ascii="Times New Roman" w:hAnsi="Times New Roman" w:cs="Times New Roman"/>
                <w:i w:val="0"/>
                <w:iCs w:val="0"/>
                <w:color w:val="auto"/>
                <w:kern w:val="0"/>
                <w:sz w:val="21"/>
                <w:szCs w:val="21"/>
                <w:u w:val="none"/>
                <w:lang w:val="en-US" w:eastAsia="zh-CN" w:bidi="ar"/>
                <w:woUserID w:val="2"/>
              </w:rPr>
              <w:t>完成</w:t>
            </w:r>
          </w:p>
        </w:tc>
      </w:tr>
    </w:tbl>
    <w:p w14:paraId="180D2EB6">
      <w:pPr>
        <w:rPr>
          <w:rStyle w:val="35"/>
          <w:rFonts w:hint="default" w:ascii="Times New Roman" w:hAnsi="Times New Roman" w:eastAsia="方正小标宋_GBK" w:cs="Times New Roman"/>
          <w:color w:val="auto"/>
          <w:highlight w:val="none"/>
        </w:rPr>
      </w:pPr>
    </w:p>
    <w:p w14:paraId="480A2BB0">
      <w:pPr>
        <w:pStyle w:val="11"/>
        <w:keepNext w:val="0"/>
        <w:keepLines w:val="0"/>
        <w:pageBreakBefore w:val="0"/>
        <w:widowControl w:val="0"/>
        <w:numPr>
          <w:ilvl w:val="0"/>
          <w:numId w:val="0"/>
        </w:numPr>
        <w:kinsoku/>
        <w:wordWrap/>
        <w:overflowPunct/>
        <w:topLinePunct w:val="0"/>
        <w:autoSpaceDE w:val="0"/>
        <w:autoSpaceDN w:val="0"/>
        <w:bidi w:val="0"/>
        <w:adjustRightInd w:val="0"/>
        <w:snapToGrid w:val="0"/>
        <w:spacing w:line="560" w:lineRule="exact"/>
        <w:ind w:right="0" w:rightChars="0"/>
        <w:jc w:val="both"/>
        <w:textAlignment w:val="baseline"/>
        <w:rPr>
          <w:rFonts w:hint="default" w:ascii="Times New Roman" w:hAnsi="Times New Roman" w:cs="Times New Roman"/>
          <w:lang w:val="en-US" w:eastAsia="zh-CN"/>
        </w:rPr>
      </w:pPr>
    </w:p>
    <w:p w14:paraId="62A503DE">
      <w:pPr>
        <w:rPr>
          <w:rStyle w:val="51"/>
          <w:rFonts w:hint="default" w:ascii="Times New Roman" w:hAnsi="Times New Roman" w:cs="Times New Roman"/>
          <w:b/>
          <w:bCs/>
          <w:color w:val="auto"/>
          <w:highlight w:val="none"/>
          <w:lang w:val="en-US" w:eastAsia="zh-CN"/>
        </w:rPr>
      </w:pPr>
      <w:r>
        <w:rPr>
          <w:rStyle w:val="51"/>
          <w:rFonts w:hint="default" w:ascii="Times New Roman" w:hAnsi="Times New Roman" w:cs="Times New Roman"/>
          <w:b/>
          <w:bCs/>
          <w:color w:val="auto"/>
          <w:highlight w:val="none"/>
          <w:lang w:val="en-US" w:eastAsia="zh-CN"/>
        </w:rPr>
        <w:br w:type="page"/>
      </w:r>
    </w:p>
    <w:p w14:paraId="69B60DBC">
      <w:pPr>
        <w:pStyle w:val="56"/>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附件</w:t>
      </w:r>
      <w:r>
        <w:rPr>
          <w:rFonts w:hint="default" w:ascii="Times New Roman" w:hAnsi="Times New Roman" w:cs="Times New Roman"/>
          <w:b/>
          <w:bCs/>
          <w:sz w:val="28"/>
          <w:szCs w:val="28"/>
          <w:lang w:val="en-US" w:eastAsia="zh-CN"/>
        </w:rPr>
        <w:t>4</w:t>
      </w:r>
    </w:p>
    <w:p w14:paraId="70CF0A79">
      <w:pPr>
        <w:pStyle w:val="56"/>
        <w:jc w:val="center"/>
        <w:rPr>
          <w:rFonts w:hint="default" w:ascii="Times New Roman" w:hAnsi="Times New Roman" w:eastAsia="方正小标宋_GBK" w:cs="Times New Roman"/>
          <w:sz w:val="32"/>
          <w:szCs w:val="32"/>
          <w:lang w:val="en-US" w:eastAsia="zh-CN"/>
        </w:rPr>
      </w:pPr>
      <w:r>
        <w:rPr>
          <w:rFonts w:hint="default" w:ascii="Times New Roman" w:hAnsi="Times New Roman" w:eastAsia="方正小标宋_GBK" w:cs="Times New Roman"/>
          <w:sz w:val="32"/>
          <w:szCs w:val="32"/>
          <w:lang w:val="en-US" w:eastAsia="zh-CN"/>
        </w:rPr>
        <w:t>202</w:t>
      </w:r>
      <w:r>
        <w:rPr>
          <w:rFonts w:hint="default" w:ascii="Times New Roman" w:hAnsi="Times New Roman" w:eastAsia="方正小标宋_GBK" w:cs="Times New Roman"/>
          <w:sz w:val="32"/>
          <w:szCs w:val="32"/>
          <w:lang w:val="en-US" w:eastAsia="zh-CN"/>
        </w:rPr>
        <w:t>5</w:t>
      </w:r>
      <w:r>
        <w:rPr>
          <w:rFonts w:hint="default" w:ascii="Times New Roman" w:hAnsi="Times New Roman" w:eastAsia="方正小标宋_GBK" w:cs="Times New Roman"/>
          <w:sz w:val="32"/>
          <w:szCs w:val="32"/>
          <w:lang w:val="en-US" w:eastAsia="zh-CN"/>
        </w:rPr>
        <w:t>年度</w:t>
      </w:r>
      <w:r>
        <w:rPr>
          <w:rFonts w:hint="default" w:ascii="Times New Roman" w:hAnsi="Times New Roman" w:eastAsia="方正小标宋_GBK" w:cs="Times New Roman"/>
          <w:sz w:val="32"/>
          <w:szCs w:val="32"/>
          <w:lang w:val="en-US" w:eastAsia="zh-CN"/>
        </w:rPr>
        <w:t>专项资金绩效目标完成情况表</w:t>
      </w:r>
    </w:p>
    <w:p w14:paraId="01F024D4">
      <w:pPr>
        <w:pStyle w:val="56"/>
        <w:jc w:val="center"/>
        <w:rPr>
          <w:rFonts w:hint="default" w:ascii="Times New Roman" w:hAnsi="Times New Roman" w:eastAsia="方正小标宋_GBK" w:cs="Times New Roman"/>
          <w:sz w:val="32"/>
          <w:szCs w:val="32"/>
          <w:lang w:val="en-US" w:eastAsia="zh-CN"/>
        </w:rPr>
      </w:pPr>
    </w:p>
    <w:p w14:paraId="5ACD8B9C">
      <w:pPr>
        <w:ind w:left="0" w:leftChars="0" w:firstLine="0" w:firstLineChars="0"/>
        <w:rPr>
          <w:rStyle w:val="51"/>
          <w:rFonts w:hint="default" w:ascii="Times New Roman" w:hAnsi="Times New Roman" w:cs="Times New Roman"/>
          <w:b/>
          <w:bCs/>
          <w:color w:val="auto"/>
          <w:highlight w:val="none"/>
          <w:lang w:val="en-US" w:eastAsia="zh-CN"/>
        </w:rPr>
      </w:pPr>
    </w:p>
    <w:sectPr>
      <w:pgSz w:w="11906" w:h="16838"/>
      <w:pgMar w:top="1417" w:right="1587" w:bottom="1417" w:left="1587" w:header="851" w:footer="992" w:gutter="0"/>
      <w:pgBorders>
        <w:top w:val="none" w:sz="0" w:space="0"/>
        <w:left w:val="none" w:sz="0" w:space="0"/>
        <w:bottom w:val="none" w:sz="0" w:space="0"/>
        <w:right w:val="none" w:sz="0" w:space="0"/>
      </w:pgBorders>
      <w:pgNumType w:fmt="decimal" w:start="1"/>
      <w:cols w:space="0" w:num="1"/>
      <w:rtlGutter w:val="0"/>
      <w:docGrid w:type="lines" w:linePitch="43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6361E11-2A37-4477-B459-07576762CC1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E542E4B6-4ECF-484C-8C3F-F56B5536B0BC}"/>
  </w:font>
  <w:font w:name="Calibri Light">
    <w:panose1 w:val="020F03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embedRegular r:id="rId3" w:fontKey="{679848A3-5ADA-4352-80FE-C1E7C812D122}"/>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embedRegular r:id="rId4" w:fontKey="{7853124A-AC21-4990-B5A5-C1C1D668C14E}"/>
  </w:font>
  <w:font w:name="Tahoma">
    <w:panose1 w:val="020B0604030504040204"/>
    <w:charset w:val="00"/>
    <w:family w:val="swiss"/>
    <w:pitch w:val="default"/>
    <w:sig w:usb0="E1002EFF" w:usb1="C000605B" w:usb2="00000029" w:usb3="00000000" w:csb0="200101FF" w:csb1="20280000"/>
  </w:font>
  <w:font w:name="方正小标宋_GBK">
    <w:panose1 w:val="02000000000000000000"/>
    <w:charset w:val="86"/>
    <w:family w:val="auto"/>
    <w:pitch w:val="default"/>
    <w:sig w:usb0="A00002BF" w:usb1="38CF7CFA" w:usb2="00082016" w:usb3="00000000" w:csb0="00040001" w:csb1="00000000"/>
    <w:embedRegular r:id="rId5" w:fontKey="{C6ED6534-99E2-40A9-8AA7-23D1B8D51ED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C165B0">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641309">
    <w:pPr>
      <w:pStyle w:val="1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E3B11B">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E3B11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9B23B2">
    <w:pPr>
      <w:pStyle w:val="1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63AFF4"/>
    <w:multiLevelType w:val="singleLevel"/>
    <w:tmpl w:val="6063AFF4"/>
    <w:lvl w:ilvl="0" w:tentative="0">
      <w:start w:val="1"/>
      <w:numFmt w:val="chineseCounting"/>
      <w:suff w:val="nothing"/>
      <w:lvlText w:val="（%1）"/>
      <w:lvlJc w:val="left"/>
      <w:pPr>
        <w:ind w:left="0" w:firstLine="420"/>
      </w:pPr>
      <w:rPr>
        <w:rFonts w:hint="eastAsia"/>
      </w:rPr>
    </w:lvl>
  </w:abstractNum>
  <w:abstractNum w:abstractNumId="1">
    <w:nsid w:val="63B856EB"/>
    <w:multiLevelType w:val="singleLevel"/>
    <w:tmpl w:val="63B856EB"/>
    <w:lvl w:ilvl="0" w:tentative="0">
      <w:start w:val="1"/>
      <w:numFmt w:val="chineseCounting"/>
      <w:suff w:val="nothing"/>
      <w:lvlText w:val="%1、"/>
      <w:lvlJc w:val="left"/>
      <w:pPr>
        <w:ind w:left="-1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hyphenationZone w:val="360"/>
  <w:drawingGridVerticalSpacing w:val="218"/>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UwY2U3NWY5YzljOTFiYzdiYTMwNGYzY2Y4NDM3NzkifQ=="/>
  </w:docVars>
  <w:rsids>
    <w:rsidRoot w:val="20501E14"/>
    <w:rsid w:val="00005402"/>
    <w:rsid w:val="00077253"/>
    <w:rsid w:val="000B0E02"/>
    <w:rsid w:val="001540A1"/>
    <w:rsid w:val="00362919"/>
    <w:rsid w:val="003B06F7"/>
    <w:rsid w:val="003C04C5"/>
    <w:rsid w:val="00565BF0"/>
    <w:rsid w:val="00586D6C"/>
    <w:rsid w:val="005958E1"/>
    <w:rsid w:val="0062225F"/>
    <w:rsid w:val="0062247C"/>
    <w:rsid w:val="00623B58"/>
    <w:rsid w:val="006A7A3F"/>
    <w:rsid w:val="006C4E48"/>
    <w:rsid w:val="006E05BE"/>
    <w:rsid w:val="00776C3F"/>
    <w:rsid w:val="00903D43"/>
    <w:rsid w:val="00952A58"/>
    <w:rsid w:val="009A13B3"/>
    <w:rsid w:val="009B105C"/>
    <w:rsid w:val="00AD10E6"/>
    <w:rsid w:val="00C30D7A"/>
    <w:rsid w:val="00CB57C7"/>
    <w:rsid w:val="00E05163"/>
    <w:rsid w:val="00EA67F7"/>
    <w:rsid w:val="011A24F4"/>
    <w:rsid w:val="01357D71"/>
    <w:rsid w:val="01405C9D"/>
    <w:rsid w:val="01507EDE"/>
    <w:rsid w:val="01583123"/>
    <w:rsid w:val="015C2B0C"/>
    <w:rsid w:val="017165B7"/>
    <w:rsid w:val="018E53A9"/>
    <w:rsid w:val="01BA25E8"/>
    <w:rsid w:val="01C65847"/>
    <w:rsid w:val="01C83A87"/>
    <w:rsid w:val="020411DA"/>
    <w:rsid w:val="020921DB"/>
    <w:rsid w:val="02196F4F"/>
    <w:rsid w:val="021F4102"/>
    <w:rsid w:val="02293BB5"/>
    <w:rsid w:val="02363EB8"/>
    <w:rsid w:val="0236787D"/>
    <w:rsid w:val="023767C0"/>
    <w:rsid w:val="02386533"/>
    <w:rsid w:val="023C4651"/>
    <w:rsid w:val="02462E0B"/>
    <w:rsid w:val="025D5EA3"/>
    <w:rsid w:val="025D5ECA"/>
    <w:rsid w:val="025E13FA"/>
    <w:rsid w:val="02864D3E"/>
    <w:rsid w:val="028A5150"/>
    <w:rsid w:val="028B1983"/>
    <w:rsid w:val="02A750A4"/>
    <w:rsid w:val="02CB4AA3"/>
    <w:rsid w:val="02DB7802"/>
    <w:rsid w:val="02DE6B4C"/>
    <w:rsid w:val="03034482"/>
    <w:rsid w:val="03060627"/>
    <w:rsid w:val="030F15AB"/>
    <w:rsid w:val="03124F12"/>
    <w:rsid w:val="03233832"/>
    <w:rsid w:val="033412E1"/>
    <w:rsid w:val="03404FE8"/>
    <w:rsid w:val="0372187A"/>
    <w:rsid w:val="039029F8"/>
    <w:rsid w:val="039C75FF"/>
    <w:rsid w:val="03A467F2"/>
    <w:rsid w:val="03B403AB"/>
    <w:rsid w:val="03C319A1"/>
    <w:rsid w:val="03C5329A"/>
    <w:rsid w:val="03D04C3C"/>
    <w:rsid w:val="03F605D5"/>
    <w:rsid w:val="04021749"/>
    <w:rsid w:val="04156891"/>
    <w:rsid w:val="041B0A5C"/>
    <w:rsid w:val="04251FEE"/>
    <w:rsid w:val="043438CC"/>
    <w:rsid w:val="044163B3"/>
    <w:rsid w:val="04531FA4"/>
    <w:rsid w:val="04595087"/>
    <w:rsid w:val="047A39D5"/>
    <w:rsid w:val="048605CC"/>
    <w:rsid w:val="04E30EFB"/>
    <w:rsid w:val="05131330"/>
    <w:rsid w:val="051554AC"/>
    <w:rsid w:val="051C101F"/>
    <w:rsid w:val="052D0810"/>
    <w:rsid w:val="05401B5B"/>
    <w:rsid w:val="05467463"/>
    <w:rsid w:val="05477860"/>
    <w:rsid w:val="054C2F2E"/>
    <w:rsid w:val="055162BB"/>
    <w:rsid w:val="05544920"/>
    <w:rsid w:val="05584912"/>
    <w:rsid w:val="055B5F72"/>
    <w:rsid w:val="05657698"/>
    <w:rsid w:val="059E1945"/>
    <w:rsid w:val="05A266C9"/>
    <w:rsid w:val="05A30BE6"/>
    <w:rsid w:val="05B15F70"/>
    <w:rsid w:val="05BA6372"/>
    <w:rsid w:val="05BE3C8B"/>
    <w:rsid w:val="05D464F7"/>
    <w:rsid w:val="05DD21B2"/>
    <w:rsid w:val="05F13921"/>
    <w:rsid w:val="064F3CCA"/>
    <w:rsid w:val="06533CFB"/>
    <w:rsid w:val="067032E2"/>
    <w:rsid w:val="06711236"/>
    <w:rsid w:val="06797E31"/>
    <w:rsid w:val="067B57E2"/>
    <w:rsid w:val="0684067E"/>
    <w:rsid w:val="068558D5"/>
    <w:rsid w:val="06BD404D"/>
    <w:rsid w:val="06C07699"/>
    <w:rsid w:val="06C44581"/>
    <w:rsid w:val="06C4690C"/>
    <w:rsid w:val="06CB1A10"/>
    <w:rsid w:val="06CF3461"/>
    <w:rsid w:val="06E84E1C"/>
    <w:rsid w:val="06EF599D"/>
    <w:rsid w:val="06F21187"/>
    <w:rsid w:val="070A48E2"/>
    <w:rsid w:val="070A779F"/>
    <w:rsid w:val="070B4E4E"/>
    <w:rsid w:val="07246EE5"/>
    <w:rsid w:val="07253784"/>
    <w:rsid w:val="072E7715"/>
    <w:rsid w:val="07300F19"/>
    <w:rsid w:val="0744371F"/>
    <w:rsid w:val="074C7FD7"/>
    <w:rsid w:val="075C3866"/>
    <w:rsid w:val="075D027F"/>
    <w:rsid w:val="07687E22"/>
    <w:rsid w:val="076E0366"/>
    <w:rsid w:val="077961C6"/>
    <w:rsid w:val="078D6CFF"/>
    <w:rsid w:val="079337C6"/>
    <w:rsid w:val="07976154"/>
    <w:rsid w:val="07AF0D12"/>
    <w:rsid w:val="07BB0198"/>
    <w:rsid w:val="07CD6512"/>
    <w:rsid w:val="07D17DB0"/>
    <w:rsid w:val="07E31387"/>
    <w:rsid w:val="07ED0962"/>
    <w:rsid w:val="08085F82"/>
    <w:rsid w:val="08125190"/>
    <w:rsid w:val="0833641D"/>
    <w:rsid w:val="083C2648"/>
    <w:rsid w:val="08545C8E"/>
    <w:rsid w:val="0869623A"/>
    <w:rsid w:val="086F75C9"/>
    <w:rsid w:val="087150EF"/>
    <w:rsid w:val="087E4839"/>
    <w:rsid w:val="08850B9A"/>
    <w:rsid w:val="08B400C5"/>
    <w:rsid w:val="08BB229D"/>
    <w:rsid w:val="08C05347"/>
    <w:rsid w:val="08C338A4"/>
    <w:rsid w:val="08DC4C5E"/>
    <w:rsid w:val="08E2615B"/>
    <w:rsid w:val="091422AE"/>
    <w:rsid w:val="09143080"/>
    <w:rsid w:val="0914599C"/>
    <w:rsid w:val="092D5748"/>
    <w:rsid w:val="09366FA2"/>
    <w:rsid w:val="093C56FD"/>
    <w:rsid w:val="09410F65"/>
    <w:rsid w:val="0945515F"/>
    <w:rsid w:val="095156FB"/>
    <w:rsid w:val="09751892"/>
    <w:rsid w:val="097C164F"/>
    <w:rsid w:val="098333B9"/>
    <w:rsid w:val="098D0921"/>
    <w:rsid w:val="09A12FD2"/>
    <w:rsid w:val="09A3752A"/>
    <w:rsid w:val="09A478E5"/>
    <w:rsid w:val="09AC118D"/>
    <w:rsid w:val="09C15C02"/>
    <w:rsid w:val="09C3197A"/>
    <w:rsid w:val="09CA26FE"/>
    <w:rsid w:val="09F14F0B"/>
    <w:rsid w:val="09F226B6"/>
    <w:rsid w:val="09F63AFE"/>
    <w:rsid w:val="09F66F8D"/>
    <w:rsid w:val="09FD48F8"/>
    <w:rsid w:val="0A0F1333"/>
    <w:rsid w:val="0A1774B0"/>
    <w:rsid w:val="0A2649D7"/>
    <w:rsid w:val="0A36490C"/>
    <w:rsid w:val="0A8729A8"/>
    <w:rsid w:val="0A8A06EA"/>
    <w:rsid w:val="0A8E2EF7"/>
    <w:rsid w:val="0A93759F"/>
    <w:rsid w:val="0ABC54DE"/>
    <w:rsid w:val="0AD61B81"/>
    <w:rsid w:val="0AD75FB3"/>
    <w:rsid w:val="0ADB220D"/>
    <w:rsid w:val="0AE2372F"/>
    <w:rsid w:val="0AF65AE4"/>
    <w:rsid w:val="0B08583F"/>
    <w:rsid w:val="0B0E2A57"/>
    <w:rsid w:val="0B1A7CC0"/>
    <w:rsid w:val="0B2D22F3"/>
    <w:rsid w:val="0B440C0B"/>
    <w:rsid w:val="0B511CC0"/>
    <w:rsid w:val="0B6405F6"/>
    <w:rsid w:val="0B7D2C3D"/>
    <w:rsid w:val="0BE22823"/>
    <w:rsid w:val="0C066CC4"/>
    <w:rsid w:val="0C1A65AA"/>
    <w:rsid w:val="0C31553C"/>
    <w:rsid w:val="0C430B50"/>
    <w:rsid w:val="0C4C376E"/>
    <w:rsid w:val="0C5A59D9"/>
    <w:rsid w:val="0C6E02C3"/>
    <w:rsid w:val="0C7D0506"/>
    <w:rsid w:val="0C92221D"/>
    <w:rsid w:val="0C9A5CDF"/>
    <w:rsid w:val="0CB41170"/>
    <w:rsid w:val="0CCA74C4"/>
    <w:rsid w:val="0CCF0636"/>
    <w:rsid w:val="0CE830B1"/>
    <w:rsid w:val="0CEC743A"/>
    <w:rsid w:val="0CF956B3"/>
    <w:rsid w:val="0CFF129D"/>
    <w:rsid w:val="0CFF66D0"/>
    <w:rsid w:val="0D032581"/>
    <w:rsid w:val="0D0C398A"/>
    <w:rsid w:val="0D20037A"/>
    <w:rsid w:val="0D344056"/>
    <w:rsid w:val="0D376FC4"/>
    <w:rsid w:val="0D3E0024"/>
    <w:rsid w:val="0D474D13"/>
    <w:rsid w:val="0D49663A"/>
    <w:rsid w:val="0D555344"/>
    <w:rsid w:val="0D6F2B77"/>
    <w:rsid w:val="0D775417"/>
    <w:rsid w:val="0D866BB0"/>
    <w:rsid w:val="0D9F66C5"/>
    <w:rsid w:val="0DA9267F"/>
    <w:rsid w:val="0DCF4D92"/>
    <w:rsid w:val="0DDB2BED"/>
    <w:rsid w:val="0DF85EAA"/>
    <w:rsid w:val="0DF9462F"/>
    <w:rsid w:val="0E034839"/>
    <w:rsid w:val="0E0412FF"/>
    <w:rsid w:val="0E0553F4"/>
    <w:rsid w:val="0E0D6B02"/>
    <w:rsid w:val="0E26697C"/>
    <w:rsid w:val="0E2C4AAC"/>
    <w:rsid w:val="0E4137B5"/>
    <w:rsid w:val="0E416194"/>
    <w:rsid w:val="0E41629B"/>
    <w:rsid w:val="0E5C7729"/>
    <w:rsid w:val="0E6C3627"/>
    <w:rsid w:val="0E856EB6"/>
    <w:rsid w:val="0E89379A"/>
    <w:rsid w:val="0E9323A9"/>
    <w:rsid w:val="0EA300C1"/>
    <w:rsid w:val="0EAC6E81"/>
    <w:rsid w:val="0EC10D9D"/>
    <w:rsid w:val="0EC31627"/>
    <w:rsid w:val="0ED80F04"/>
    <w:rsid w:val="0EF13C13"/>
    <w:rsid w:val="0EFB5712"/>
    <w:rsid w:val="0EFE7B4E"/>
    <w:rsid w:val="0F013F56"/>
    <w:rsid w:val="0F0A7C8B"/>
    <w:rsid w:val="0F0C7B3B"/>
    <w:rsid w:val="0F121D44"/>
    <w:rsid w:val="0F1401B8"/>
    <w:rsid w:val="0F1503B4"/>
    <w:rsid w:val="0F1D15D5"/>
    <w:rsid w:val="0F1E0B07"/>
    <w:rsid w:val="0F2C0B8D"/>
    <w:rsid w:val="0F2C3639"/>
    <w:rsid w:val="0F3D5128"/>
    <w:rsid w:val="0F5277DE"/>
    <w:rsid w:val="0F735BF1"/>
    <w:rsid w:val="0F7D0AAD"/>
    <w:rsid w:val="0F86672C"/>
    <w:rsid w:val="0FA876AD"/>
    <w:rsid w:val="0FAF547E"/>
    <w:rsid w:val="0FB75ADD"/>
    <w:rsid w:val="0FBF2BE4"/>
    <w:rsid w:val="0FD05FC2"/>
    <w:rsid w:val="0FDD01B4"/>
    <w:rsid w:val="0FE60171"/>
    <w:rsid w:val="0FE70AFF"/>
    <w:rsid w:val="10027A31"/>
    <w:rsid w:val="101A043E"/>
    <w:rsid w:val="102962AF"/>
    <w:rsid w:val="1045758D"/>
    <w:rsid w:val="104840AF"/>
    <w:rsid w:val="10535EF0"/>
    <w:rsid w:val="10777538"/>
    <w:rsid w:val="108B6F31"/>
    <w:rsid w:val="10A75C36"/>
    <w:rsid w:val="10B416E8"/>
    <w:rsid w:val="10C65213"/>
    <w:rsid w:val="10D50F32"/>
    <w:rsid w:val="10E142C8"/>
    <w:rsid w:val="10F260A2"/>
    <w:rsid w:val="10FD1228"/>
    <w:rsid w:val="10FE27EE"/>
    <w:rsid w:val="110018B9"/>
    <w:rsid w:val="1123754E"/>
    <w:rsid w:val="11413853"/>
    <w:rsid w:val="114F505F"/>
    <w:rsid w:val="115832F0"/>
    <w:rsid w:val="11A958FA"/>
    <w:rsid w:val="11BA2DD8"/>
    <w:rsid w:val="11D40D7C"/>
    <w:rsid w:val="11DD37F5"/>
    <w:rsid w:val="11EE77B0"/>
    <w:rsid w:val="12104913"/>
    <w:rsid w:val="1211524D"/>
    <w:rsid w:val="12272ECB"/>
    <w:rsid w:val="123C3173"/>
    <w:rsid w:val="124214FA"/>
    <w:rsid w:val="12440406"/>
    <w:rsid w:val="124E3871"/>
    <w:rsid w:val="124E4E5A"/>
    <w:rsid w:val="12641821"/>
    <w:rsid w:val="12795E40"/>
    <w:rsid w:val="127E50EC"/>
    <w:rsid w:val="129855BF"/>
    <w:rsid w:val="129B3058"/>
    <w:rsid w:val="12B10F0A"/>
    <w:rsid w:val="12C46361"/>
    <w:rsid w:val="12E102FB"/>
    <w:rsid w:val="13054DB2"/>
    <w:rsid w:val="130D3C66"/>
    <w:rsid w:val="130E7BE9"/>
    <w:rsid w:val="13176577"/>
    <w:rsid w:val="13254AB1"/>
    <w:rsid w:val="13540791"/>
    <w:rsid w:val="13571A1D"/>
    <w:rsid w:val="136C6BDF"/>
    <w:rsid w:val="13765CAF"/>
    <w:rsid w:val="137A31EA"/>
    <w:rsid w:val="13872236"/>
    <w:rsid w:val="139F0559"/>
    <w:rsid w:val="13A1358B"/>
    <w:rsid w:val="13AE61F7"/>
    <w:rsid w:val="13B21FCC"/>
    <w:rsid w:val="13CC0FB4"/>
    <w:rsid w:val="13ED41C3"/>
    <w:rsid w:val="141D256E"/>
    <w:rsid w:val="141D45F7"/>
    <w:rsid w:val="142669A3"/>
    <w:rsid w:val="14292D22"/>
    <w:rsid w:val="143C47AE"/>
    <w:rsid w:val="144731A8"/>
    <w:rsid w:val="144D607C"/>
    <w:rsid w:val="148A7C64"/>
    <w:rsid w:val="14900FF3"/>
    <w:rsid w:val="14977E3D"/>
    <w:rsid w:val="14AB5B6F"/>
    <w:rsid w:val="14B1033A"/>
    <w:rsid w:val="14C201BA"/>
    <w:rsid w:val="14DC7D94"/>
    <w:rsid w:val="14E65842"/>
    <w:rsid w:val="14F371D1"/>
    <w:rsid w:val="150964EB"/>
    <w:rsid w:val="15135C29"/>
    <w:rsid w:val="153115A5"/>
    <w:rsid w:val="15436065"/>
    <w:rsid w:val="15451860"/>
    <w:rsid w:val="15531465"/>
    <w:rsid w:val="15603E37"/>
    <w:rsid w:val="15620DD0"/>
    <w:rsid w:val="156423D0"/>
    <w:rsid w:val="15742709"/>
    <w:rsid w:val="157E7309"/>
    <w:rsid w:val="15891CCA"/>
    <w:rsid w:val="158E1C48"/>
    <w:rsid w:val="158E72E0"/>
    <w:rsid w:val="15915189"/>
    <w:rsid w:val="15A07C84"/>
    <w:rsid w:val="15B23D17"/>
    <w:rsid w:val="15B8610B"/>
    <w:rsid w:val="15C50828"/>
    <w:rsid w:val="15D8610A"/>
    <w:rsid w:val="15E131A4"/>
    <w:rsid w:val="15E14510"/>
    <w:rsid w:val="160A2CFA"/>
    <w:rsid w:val="16161084"/>
    <w:rsid w:val="161F43DC"/>
    <w:rsid w:val="16334615"/>
    <w:rsid w:val="16357A20"/>
    <w:rsid w:val="163D2298"/>
    <w:rsid w:val="165F6ECF"/>
    <w:rsid w:val="166221AA"/>
    <w:rsid w:val="16626FFB"/>
    <w:rsid w:val="16733BB6"/>
    <w:rsid w:val="167C14F9"/>
    <w:rsid w:val="167C6321"/>
    <w:rsid w:val="167D5B33"/>
    <w:rsid w:val="168801D3"/>
    <w:rsid w:val="16886814"/>
    <w:rsid w:val="168E5998"/>
    <w:rsid w:val="16930F3A"/>
    <w:rsid w:val="169522A5"/>
    <w:rsid w:val="1698762D"/>
    <w:rsid w:val="169B741F"/>
    <w:rsid w:val="16A81E7F"/>
    <w:rsid w:val="16C9636E"/>
    <w:rsid w:val="16D65AFE"/>
    <w:rsid w:val="16E14DAB"/>
    <w:rsid w:val="16E90D1C"/>
    <w:rsid w:val="16F732A6"/>
    <w:rsid w:val="16F81197"/>
    <w:rsid w:val="16FF5E45"/>
    <w:rsid w:val="1706559C"/>
    <w:rsid w:val="1719672F"/>
    <w:rsid w:val="17207E13"/>
    <w:rsid w:val="173A02EC"/>
    <w:rsid w:val="17481711"/>
    <w:rsid w:val="175C6F6A"/>
    <w:rsid w:val="17667DE9"/>
    <w:rsid w:val="1781509E"/>
    <w:rsid w:val="17A56B63"/>
    <w:rsid w:val="17C0574B"/>
    <w:rsid w:val="18067BA6"/>
    <w:rsid w:val="1808257E"/>
    <w:rsid w:val="180E64B6"/>
    <w:rsid w:val="1818063A"/>
    <w:rsid w:val="181E50F8"/>
    <w:rsid w:val="183C6FA0"/>
    <w:rsid w:val="183C74C7"/>
    <w:rsid w:val="18427C4A"/>
    <w:rsid w:val="185A16FC"/>
    <w:rsid w:val="1877771D"/>
    <w:rsid w:val="18790342"/>
    <w:rsid w:val="189E26ED"/>
    <w:rsid w:val="18AD2173"/>
    <w:rsid w:val="18BA3933"/>
    <w:rsid w:val="18DB5A75"/>
    <w:rsid w:val="18E13BCB"/>
    <w:rsid w:val="18E40145"/>
    <w:rsid w:val="18FC6C57"/>
    <w:rsid w:val="190241D6"/>
    <w:rsid w:val="193C0560"/>
    <w:rsid w:val="193D0DC4"/>
    <w:rsid w:val="19541B9D"/>
    <w:rsid w:val="19695385"/>
    <w:rsid w:val="198D6430"/>
    <w:rsid w:val="19A56E1D"/>
    <w:rsid w:val="19A8709D"/>
    <w:rsid w:val="19C151F7"/>
    <w:rsid w:val="19C35A0B"/>
    <w:rsid w:val="19C73D4F"/>
    <w:rsid w:val="19EC47A6"/>
    <w:rsid w:val="19F339F5"/>
    <w:rsid w:val="1A075174"/>
    <w:rsid w:val="1A4408B5"/>
    <w:rsid w:val="1A4B3542"/>
    <w:rsid w:val="1A4C07A0"/>
    <w:rsid w:val="1A4C2061"/>
    <w:rsid w:val="1A5417E0"/>
    <w:rsid w:val="1A615731"/>
    <w:rsid w:val="1A6542E7"/>
    <w:rsid w:val="1A6E76E0"/>
    <w:rsid w:val="1A8F0243"/>
    <w:rsid w:val="1AA40168"/>
    <w:rsid w:val="1AC45552"/>
    <w:rsid w:val="1ADD3FD4"/>
    <w:rsid w:val="1AE138EA"/>
    <w:rsid w:val="1AE73EC4"/>
    <w:rsid w:val="1B0D17E8"/>
    <w:rsid w:val="1B293607"/>
    <w:rsid w:val="1B70595D"/>
    <w:rsid w:val="1B717BC3"/>
    <w:rsid w:val="1B7B7127"/>
    <w:rsid w:val="1B9C202B"/>
    <w:rsid w:val="1BA10454"/>
    <w:rsid w:val="1BA509C5"/>
    <w:rsid w:val="1BA64C58"/>
    <w:rsid w:val="1BAD5FE6"/>
    <w:rsid w:val="1BF03704"/>
    <w:rsid w:val="1C1566B0"/>
    <w:rsid w:val="1C1A4486"/>
    <w:rsid w:val="1C280A6A"/>
    <w:rsid w:val="1C281B11"/>
    <w:rsid w:val="1C471EA8"/>
    <w:rsid w:val="1C5320E4"/>
    <w:rsid w:val="1C6D5127"/>
    <w:rsid w:val="1C79701B"/>
    <w:rsid w:val="1C8036FB"/>
    <w:rsid w:val="1C841499"/>
    <w:rsid w:val="1C86116E"/>
    <w:rsid w:val="1C9A7CFC"/>
    <w:rsid w:val="1CB46593"/>
    <w:rsid w:val="1CBE089B"/>
    <w:rsid w:val="1CCF50C0"/>
    <w:rsid w:val="1D0165EA"/>
    <w:rsid w:val="1D0E11A5"/>
    <w:rsid w:val="1D360AF2"/>
    <w:rsid w:val="1D3F59EC"/>
    <w:rsid w:val="1D501BC7"/>
    <w:rsid w:val="1D586DB4"/>
    <w:rsid w:val="1D806020"/>
    <w:rsid w:val="1D8D358E"/>
    <w:rsid w:val="1DBD3111"/>
    <w:rsid w:val="1DD160A6"/>
    <w:rsid w:val="1DE06B47"/>
    <w:rsid w:val="1E073588"/>
    <w:rsid w:val="1E1B5C63"/>
    <w:rsid w:val="1E227AAF"/>
    <w:rsid w:val="1E2C12F5"/>
    <w:rsid w:val="1E3B1FCF"/>
    <w:rsid w:val="1E4337F7"/>
    <w:rsid w:val="1E616D7F"/>
    <w:rsid w:val="1E6908EA"/>
    <w:rsid w:val="1E7D4396"/>
    <w:rsid w:val="1E8C45D9"/>
    <w:rsid w:val="1E931754"/>
    <w:rsid w:val="1E956F6F"/>
    <w:rsid w:val="1EB124DC"/>
    <w:rsid w:val="1EB76E64"/>
    <w:rsid w:val="1EBA7324"/>
    <w:rsid w:val="1EC46EC0"/>
    <w:rsid w:val="1EC91169"/>
    <w:rsid w:val="1EDB4A9C"/>
    <w:rsid w:val="1EE47F71"/>
    <w:rsid w:val="1EE9607B"/>
    <w:rsid w:val="1EF64177"/>
    <w:rsid w:val="1EFF3D83"/>
    <w:rsid w:val="1F042065"/>
    <w:rsid w:val="1F0E411B"/>
    <w:rsid w:val="1F374545"/>
    <w:rsid w:val="1F470500"/>
    <w:rsid w:val="1F59095F"/>
    <w:rsid w:val="1F912144"/>
    <w:rsid w:val="1FA61CF3"/>
    <w:rsid w:val="1FB35D6F"/>
    <w:rsid w:val="1FBC1863"/>
    <w:rsid w:val="1FC86093"/>
    <w:rsid w:val="1FD410D9"/>
    <w:rsid w:val="1FE852AF"/>
    <w:rsid w:val="1FF50E64"/>
    <w:rsid w:val="1FF5797D"/>
    <w:rsid w:val="20004415"/>
    <w:rsid w:val="2000527E"/>
    <w:rsid w:val="20120B0E"/>
    <w:rsid w:val="20220105"/>
    <w:rsid w:val="203065B4"/>
    <w:rsid w:val="203266D2"/>
    <w:rsid w:val="203E0CAE"/>
    <w:rsid w:val="20501E14"/>
    <w:rsid w:val="206670F5"/>
    <w:rsid w:val="207375C5"/>
    <w:rsid w:val="208321FA"/>
    <w:rsid w:val="208A2593"/>
    <w:rsid w:val="209634ED"/>
    <w:rsid w:val="20995346"/>
    <w:rsid w:val="209A3545"/>
    <w:rsid w:val="20DD0D4E"/>
    <w:rsid w:val="20F621DE"/>
    <w:rsid w:val="20FA1203"/>
    <w:rsid w:val="20FA12D6"/>
    <w:rsid w:val="21155548"/>
    <w:rsid w:val="212F20CD"/>
    <w:rsid w:val="2135272A"/>
    <w:rsid w:val="213C27B6"/>
    <w:rsid w:val="214321EF"/>
    <w:rsid w:val="216E446A"/>
    <w:rsid w:val="2198392D"/>
    <w:rsid w:val="21D75D4E"/>
    <w:rsid w:val="21DD726A"/>
    <w:rsid w:val="22017085"/>
    <w:rsid w:val="22065EE4"/>
    <w:rsid w:val="2207059A"/>
    <w:rsid w:val="221E7F8E"/>
    <w:rsid w:val="22200CCA"/>
    <w:rsid w:val="22226615"/>
    <w:rsid w:val="226543FA"/>
    <w:rsid w:val="22764D91"/>
    <w:rsid w:val="227930C6"/>
    <w:rsid w:val="227C4DC1"/>
    <w:rsid w:val="228026A7"/>
    <w:rsid w:val="229E48DB"/>
    <w:rsid w:val="22A41D91"/>
    <w:rsid w:val="22AE14E8"/>
    <w:rsid w:val="22B06264"/>
    <w:rsid w:val="22B75CA4"/>
    <w:rsid w:val="22D84A33"/>
    <w:rsid w:val="22DD5403"/>
    <w:rsid w:val="22E4635B"/>
    <w:rsid w:val="22ED455F"/>
    <w:rsid w:val="231943FB"/>
    <w:rsid w:val="23203542"/>
    <w:rsid w:val="2326682E"/>
    <w:rsid w:val="232E5A00"/>
    <w:rsid w:val="234C3850"/>
    <w:rsid w:val="23551F5B"/>
    <w:rsid w:val="23B733DB"/>
    <w:rsid w:val="2403533D"/>
    <w:rsid w:val="24082954"/>
    <w:rsid w:val="240B1AF9"/>
    <w:rsid w:val="240D1599"/>
    <w:rsid w:val="240E1497"/>
    <w:rsid w:val="24257F76"/>
    <w:rsid w:val="242B6B92"/>
    <w:rsid w:val="242C1EC9"/>
    <w:rsid w:val="2437006A"/>
    <w:rsid w:val="243B06A4"/>
    <w:rsid w:val="2442432B"/>
    <w:rsid w:val="245931AF"/>
    <w:rsid w:val="246A716A"/>
    <w:rsid w:val="24712974"/>
    <w:rsid w:val="247C60EA"/>
    <w:rsid w:val="247E6772"/>
    <w:rsid w:val="24976248"/>
    <w:rsid w:val="24AE2179"/>
    <w:rsid w:val="24D11632"/>
    <w:rsid w:val="24D528C8"/>
    <w:rsid w:val="24D66E91"/>
    <w:rsid w:val="25021BBD"/>
    <w:rsid w:val="250363A4"/>
    <w:rsid w:val="25147A2B"/>
    <w:rsid w:val="25201F1F"/>
    <w:rsid w:val="2524184E"/>
    <w:rsid w:val="25355D17"/>
    <w:rsid w:val="25411B13"/>
    <w:rsid w:val="255120D8"/>
    <w:rsid w:val="255D365C"/>
    <w:rsid w:val="25641899"/>
    <w:rsid w:val="256916EF"/>
    <w:rsid w:val="2569780F"/>
    <w:rsid w:val="25706A02"/>
    <w:rsid w:val="257D66F0"/>
    <w:rsid w:val="258233EC"/>
    <w:rsid w:val="258728EE"/>
    <w:rsid w:val="258B4AE4"/>
    <w:rsid w:val="25A065C2"/>
    <w:rsid w:val="25A6587B"/>
    <w:rsid w:val="25B04DD3"/>
    <w:rsid w:val="25B6173A"/>
    <w:rsid w:val="25B85CB3"/>
    <w:rsid w:val="25D368EF"/>
    <w:rsid w:val="25D66AED"/>
    <w:rsid w:val="25E85B97"/>
    <w:rsid w:val="25EA2A0E"/>
    <w:rsid w:val="25EB7E37"/>
    <w:rsid w:val="260929B3"/>
    <w:rsid w:val="26286395"/>
    <w:rsid w:val="263479D8"/>
    <w:rsid w:val="263520B5"/>
    <w:rsid w:val="26415CA9"/>
    <w:rsid w:val="26491447"/>
    <w:rsid w:val="265C6B0D"/>
    <w:rsid w:val="26613237"/>
    <w:rsid w:val="266A5D57"/>
    <w:rsid w:val="266B71CA"/>
    <w:rsid w:val="26720558"/>
    <w:rsid w:val="26751205"/>
    <w:rsid w:val="267E0B7B"/>
    <w:rsid w:val="26891E4C"/>
    <w:rsid w:val="268C7BEB"/>
    <w:rsid w:val="26933DAC"/>
    <w:rsid w:val="26A41541"/>
    <w:rsid w:val="26DC2F3D"/>
    <w:rsid w:val="26EE1644"/>
    <w:rsid w:val="26FE0A65"/>
    <w:rsid w:val="270E4E25"/>
    <w:rsid w:val="27225ADA"/>
    <w:rsid w:val="27242217"/>
    <w:rsid w:val="272A498F"/>
    <w:rsid w:val="27470A7C"/>
    <w:rsid w:val="27487E1C"/>
    <w:rsid w:val="277A5916"/>
    <w:rsid w:val="27D35027"/>
    <w:rsid w:val="28090A48"/>
    <w:rsid w:val="283C17D4"/>
    <w:rsid w:val="28996B80"/>
    <w:rsid w:val="28BF4190"/>
    <w:rsid w:val="28CB21A2"/>
    <w:rsid w:val="28E33D74"/>
    <w:rsid w:val="28EF677E"/>
    <w:rsid w:val="28F3360A"/>
    <w:rsid w:val="28F50017"/>
    <w:rsid w:val="28F57A83"/>
    <w:rsid w:val="28F964EF"/>
    <w:rsid w:val="28FE552F"/>
    <w:rsid w:val="290851A4"/>
    <w:rsid w:val="2916166F"/>
    <w:rsid w:val="291C30A7"/>
    <w:rsid w:val="29297118"/>
    <w:rsid w:val="294119AE"/>
    <w:rsid w:val="29595023"/>
    <w:rsid w:val="296857C1"/>
    <w:rsid w:val="296B53A7"/>
    <w:rsid w:val="2976125F"/>
    <w:rsid w:val="29A16A53"/>
    <w:rsid w:val="29B217CA"/>
    <w:rsid w:val="29B71B0E"/>
    <w:rsid w:val="29BF5862"/>
    <w:rsid w:val="29C015DB"/>
    <w:rsid w:val="29C16F63"/>
    <w:rsid w:val="29CA0099"/>
    <w:rsid w:val="29CF1E07"/>
    <w:rsid w:val="29D54FEB"/>
    <w:rsid w:val="29DD2D8E"/>
    <w:rsid w:val="29E0787A"/>
    <w:rsid w:val="29E520C2"/>
    <w:rsid w:val="29FE173C"/>
    <w:rsid w:val="2A4B0262"/>
    <w:rsid w:val="2A555273"/>
    <w:rsid w:val="2A5B07D1"/>
    <w:rsid w:val="2A6B1334"/>
    <w:rsid w:val="2A81520E"/>
    <w:rsid w:val="2AA65312"/>
    <w:rsid w:val="2AAF123B"/>
    <w:rsid w:val="2ABC3338"/>
    <w:rsid w:val="2AC0095F"/>
    <w:rsid w:val="2AC51D8C"/>
    <w:rsid w:val="2AC72823"/>
    <w:rsid w:val="2AD215C5"/>
    <w:rsid w:val="2AE65071"/>
    <w:rsid w:val="2AEB3910"/>
    <w:rsid w:val="2AF25618"/>
    <w:rsid w:val="2AF7870F"/>
    <w:rsid w:val="2B102DA4"/>
    <w:rsid w:val="2B464ADA"/>
    <w:rsid w:val="2B4744BC"/>
    <w:rsid w:val="2B6E4C1B"/>
    <w:rsid w:val="2B755339"/>
    <w:rsid w:val="2B8E7BE2"/>
    <w:rsid w:val="2B9611D8"/>
    <w:rsid w:val="2BA96DC1"/>
    <w:rsid w:val="2BBC1CA6"/>
    <w:rsid w:val="2BE463A8"/>
    <w:rsid w:val="2BE565BE"/>
    <w:rsid w:val="2BF836CD"/>
    <w:rsid w:val="2C1C12C4"/>
    <w:rsid w:val="2C1D2AEA"/>
    <w:rsid w:val="2C2C4C15"/>
    <w:rsid w:val="2C627A2D"/>
    <w:rsid w:val="2C6674F3"/>
    <w:rsid w:val="2C70332B"/>
    <w:rsid w:val="2C8C6D56"/>
    <w:rsid w:val="2C8E62CA"/>
    <w:rsid w:val="2CAB4942"/>
    <w:rsid w:val="2CC754AE"/>
    <w:rsid w:val="2CC81B2B"/>
    <w:rsid w:val="2CD3437C"/>
    <w:rsid w:val="2CF41CC7"/>
    <w:rsid w:val="2D045C82"/>
    <w:rsid w:val="2D115C5D"/>
    <w:rsid w:val="2D46629B"/>
    <w:rsid w:val="2D577564"/>
    <w:rsid w:val="2D5D142F"/>
    <w:rsid w:val="2D6A07AF"/>
    <w:rsid w:val="2D847639"/>
    <w:rsid w:val="2D922480"/>
    <w:rsid w:val="2DAB754C"/>
    <w:rsid w:val="2DAE33BE"/>
    <w:rsid w:val="2DAF4226"/>
    <w:rsid w:val="2DB11966"/>
    <w:rsid w:val="2DB9755B"/>
    <w:rsid w:val="2DC51DD9"/>
    <w:rsid w:val="2DC81FAC"/>
    <w:rsid w:val="2DCB0B7F"/>
    <w:rsid w:val="2DD07A55"/>
    <w:rsid w:val="2DD90EBD"/>
    <w:rsid w:val="2DDC10A9"/>
    <w:rsid w:val="2DE86FD5"/>
    <w:rsid w:val="2DEC6E42"/>
    <w:rsid w:val="2E151BCF"/>
    <w:rsid w:val="2E1D7064"/>
    <w:rsid w:val="2E2F409D"/>
    <w:rsid w:val="2E3031D3"/>
    <w:rsid w:val="2E4C05D9"/>
    <w:rsid w:val="2E6469D8"/>
    <w:rsid w:val="2E7A61FC"/>
    <w:rsid w:val="2E887CE3"/>
    <w:rsid w:val="2E9574DA"/>
    <w:rsid w:val="2E980856"/>
    <w:rsid w:val="2EAB4607"/>
    <w:rsid w:val="2EF31E53"/>
    <w:rsid w:val="2EFD7252"/>
    <w:rsid w:val="2F051750"/>
    <w:rsid w:val="2F0B154A"/>
    <w:rsid w:val="2F285C58"/>
    <w:rsid w:val="2F4B77D8"/>
    <w:rsid w:val="2F571B68"/>
    <w:rsid w:val="2F5E1C39"/>
    <w:rsid w:val="2F7113CC"/>
    <w:rsid w:val="2F8A1299"/>
    <w:rsid w:val="2FB8323B"/>
    <w:rsid w:val="2FB90FA6"/>
    <w:rsid w:val="2FDF6FFB"/>
    <w:rsid w:val="2FFFC392"/>
    <w:rsid w:val="3005190A"/>
    <w:rsid w:val="30162084"/>
    <w:rsid w:val="302400EF"/>
    <w:rsid w:val="302967AC"/>
    <w:rsid w:val="30321580"/>
    <w:rsid w:val="305052B8"/>
    <w:rsid w:val="3068016B"/>
    <w:rsid w:val="307C34D6"/>
    <w:rsid w:val="307D0225"/>
    <w:rsid w:val="30803872"/>
    <w:rsid w:val="309537C1"/>
    <w:rsid w:val="30AD0515"/>
    <w:rsid w:val="30B3638F"/>
    <w:rsid w:val="30D43636"/>
    <w:rsid w:val="30F34D99"/>
    <w:rsid w:val="31097D0B"/>
    <w:rsid w:val="31251367"/>
    <w:rsid w:val="3127060C"/>
    <w:rsid w:val="31403E6B"/>
    <w:rsid w:val="315A5338"/>
    <w:rsid w:val="31727625"/>
    <w:rsid w:val="317A69E9"/>
    <w:rsid w:val="319332C6"/>
    <w:rsid w:val="3198323D"/>
    <w:rsid w:val="31990CAE"/>
    <w:rsid w:val="319E5F52"/>
    <w:rsid w:val="31B02ECD"/>
    <w:rsid w:val="31B41A25"/>
    <w:rsid w:val="31BD643B"/>
    <w:rsid w:val="31C125FC"/>
    <w:rsid w:val="3206362A"/>
    <w:rsid w:val="320824BE"/>
    <w:rsid w:val="320A110C"/>
    <w:rsid w:val="322E543B"/>
    <w:rsid w:val="323A2CC6"/>
    <w:rsid w:val="325574F5"/>
    <w:rsid w:val="32566604"/>
    <w:rsid w:val="32573730"/>
    <w:rsid w:val="32686768"/>
    <w:rsid w:val="32734012"/>
    <w:rsid w:val="327F0285"/>
    <w:rsid w:val="32843E49"/>
    <w:rsid w:val="32861F84"/>
    <w:rsid w:val="328E470C"/>
    <w:rsid w:val="32941FF8"/>
    <w:rsid w:val="32A73A7A"/>
    <w:rsid w:val="32B2245C"/>
    <w:rsid w:val="32CE3F9C"/>
    <w:rsid w:val="32D23F10"/>
    <w:rsid w:val="32DC452C"/>
    <w:rsid w:val="32DE5D96"/>
    <w:rsid w:val="32FB4B83"/>
    <w:rsid w:val="32FD564D"/>
    <w:rsid w:val="330E4FCE"/>
    <w:rsid w:val="33254432"/>
    <w:rsid w:val="3334735F"/>
    <w:rsid w:val="333746BC"/>
    <w:rsid w:val="335A2AA0"/>
    <w:rsid w:val="336A2681"/>
    <w:rsid w:val="336A2CE3"/>
    <w:rsid w:val="338335F8"/>
    <w:rsid w:val="33864E71"/>
    <w:rsid w:val="339A4D58"/>
    <w:rsid w:val="33C06DA7"/>
    <w:rsid w:val="33D30C40"/>
    <w:rsid w:val="33D83A1C"/>
    <w:rsid w:val="33EB2603"/>
    <w:rsid w:val="33F64577"/>
    <w:rsid w:val="33FB4AD5"/>
    <w:rsid w:val="34034EE6"/>
    <w:rsid w:val="340824FC"/>
    <w:rsid w:val="340E057A"/>
    <w:rsid w:val="34325D54"/>
    <w:rsid w:val="34410A4B"/>
    <w:rsid w:val="34473776"/>
    <w:rsid w:val="344A1390"/>
    <w:rsid w:val="3460718C"/>
    <w:rsid w:val="346C2A8B"/>
    <w:rsid w:val="34777CF6"/>
    <w:rsid w:val="347C47B1"/>
    <w:rsid w:val="34894B8C"/>
    <w:rsid w:val="34903968"/>
    <w:rsid w:val="34923771"/>
    <w:rsid w:val="349A0495"/>
    <w:rsid w:val="34A52E51"/>
    <w:rsid w:val="34A55F9D"/>
    <w:rsid w:val="34A706BD"/>
    <w:rsid w:val="34BE0BC1"/>
    <w:rsid w:val="34E31A34"/>
    <w:rsid w:val="34E83C50"/>
    <w:rsid w:val="34F04198"/>
    <w:rsid w:val="34F56AE5"/>
    <w:rsid w:val="350607E9"/>
    <w:rsid w:val="350C1B78"/>
    <w:rsid w:val="35441312"/>
    <w:rsid w:val="355A1CB2"/>
    <w:rsid w:val="356A1FBE"/>
    <w:rsid w:val="356F676E"/>
    <w:rsid w:val="357A6B39"/>
    <w:rsid w:val="357F3457"/>
    <w:rsid w:val="35A24AD9"/>
    <w:rsid w:val="35CA3FB2"/>
    <w:rsid w:val="35DA3008"/>
    <w:rsid w:val="35FC27E8"/>
    <w:rsid w:val="36097C53"/>
    <w:rsid w:val="360F65B5"/>
    <w:rsid w:val="3628478F"/>
    <w:rsid w:val="3675010D"/>
    <w:rsid w:val="367D2D2D"/>
    <w:rsid w:val="36801E8C"/>
    <w:rsid w:val="369A3364"/>
    <w:rsid w:val="36AE6EE6"/>
    <w:rsid w:val="36E06AAA"/>
    <w:rsid w:val="36E24DC0"/>
    <w:rsid w:val="36E557DC"/>
    <w:rsid w:val="36E83F0E"/>
    <w:rsid w:val="371716F3"/>
    <w:rsid w:val="37296A11"/>
    <w:rsid w:val="372E6DCB"/>
    <w:rsid w:val="372F33FC"/>
    <w:rsid w:val="373D426B"/>
    <w:rsid w:val="373DDEF6"/>
    <w:rsid w:val="374229F3"/>
    <w:rsid w:val="374C2646"/>
    <w:rsid w:val="375417BF"/>
    <w:rsid w:val="375608F7"/>
    <w:rsid w:val="377F6768"/>
    <w:rsid w:val="37893954"/>
    <w:rsid w:val="37AC1E3A"/>
    <w:rsid w:val="37B913B0"/>
    <w:rsid w:val="37C17BEF"/>
    <w:rsid w:val="37E9569C"/>
    <w:rsid w:val="37EE0534"/>
    <w:rsid w:val="37FE1C4C"/>
    <w:rsid w:val="380F05BF"/>
    <w:rsid w:val="38230014"/>
    <w:rsid w:val="382300B7"/>
    <w:rsid w:val="3836588A"/>
    <w:rsid w:val="38524F93"/>
    <w:rsid w:val="3872263A"/>
    <w:rsid w:val="388B48BE"/>
    <w:rsid w:val="388F3B0F"/>
    <w:rsid w:val="38AC3A4C"/>
    <w:rsid w:val="38B95946"/>
    <w:rsid w:val="38D47C61"/>
    <w:rsid w:val="38DA5679"/>
    <w:rsid w:val="38E555A6"/>
    <w:rsid w:val="390B164A"/>
    <w:rsid w:val="3916287D"/>
    <w:rsid w:val="39186B07"/>
    <w:rsid w:val="391A0D07"/>
    <w:rsid w:val="3926047C"/>
    <w:rsid w:val="3942200C"/>
    <w:rsid w:val="396D0E93"/>
    <w:rsid w:val="396D7877"/>
    <w:rsid w:val="39747612"/>
    <w:rsid w:val="39913BDD"/>
    <w:rsid w:val="39A46823"/>
    <w:rsid w:val="39AF5127"/>
    <w:rsid w:val="39B94FB2"/>
    <w:rsid w:val="39CB1BC4"/>
    <w:rsid w:val="39CD11B7"/>
    <w:rsid w:val="39DF782D"/>
    <w:rsid w:val="39E300E6"/>
    <w:rsid w:val="39F454BD"/>
    <w:rsid w:val="39FD0947"/>
    <w:rsid w:val="3A212FEA"/>
    <w:rsid w:val="3A2B5891"/>
    <w:rsid w:val="3A424D58"/>
    <w:rsid w:val="3A435689"/>
    <w:rsid w:val="3A6366DE"/>
    <w:rsid w:val="3A932313"/>
    <w:rsid w:val="3A9B5A2A"/>
    <w:rsid w:val="3AA74255"/>
    <w:rsid w:val="3ADF02A4"/>
    <w:rsid w:val="3AEE6F7D"/>
    <w:rsid w:val="3AFD3C5D"/>
    <w:rsid w:val="3B024367"/>
    <w:rsid w:val="3B222EE7"/>
    <w:rsid w:val="3B230320"/>
    <w:rsid w:val="3B3667C9"/>
    <w:rsid w:val="3B4045A4"/>
    <w:rsid w:val="3B476103"/>
    <w:rsid w:val="3B556027"/>
    <w:rsid w:val="3B56343D"/>
    <w:rsid w:val="3B5B1163"/>
    <w:rsid w:val="3B683AB9"/>
    <w:rsid w:val="3B830048"/>
    <w:rsid w:val="3BAE5737"/>
    <w:rsid w:val="3BB07701"/>
    <w:rsid w:val="3BB07BA1"/>
    <w:rsid w:val="3BBF5B96"/>
    <w:rsid w:val="3BC35722"/>
    <w:rsid w:val="3BC8725F"/>
    <w:rsid w:val="3BCE402B"/>
    <w:rsid w:val="3BD204C6"/>
    <w:rsid w:val="3BE70B67"/>
    <w:rsid w:val="3BED1310"/>
    <w:rsid w:val="3BF33A92"/>
    <w:rsid w:val="3BF744AF"/>
    <w:rsid w:val="3C21415B"/>
    <w:rsid w:val="3C306E85"/>
    <w:rsid w:val="3C32335B"/>
    <w:rsid w:val="3C3B1125"/>
    <w:rsid w:val="3C4336D4"/>
    <w:rsid w:val="3C4507D2"/>
    <w:rsid w:val="3C4F1A68"/>
    <w:rsid w:val="3C5C5193"/>
    <w:rsid w:val="3C745C93"/>
    <w:rsid w:val="3CA82F0A"/>
    <w:rsid w:val="3CBDD32E"/>
    <w:rsid w:val="3CC354EE"/>
    <w:rsid w:val="3CD1792F"/>
    <w:rsid w:val="3CEB269D"/>
    <w:rsid w:val="3D0A5D46"/>
    <w:rsid w:val="3D0F48FB"/>
    <w:rsid w:val="3D204187"/>
    <w:rsid w:val="3D2914CB"/>
    <w:rsid w:val="3D3B56F0"/>
    <w:rsid w:val="3D477BF1"/>
    <w:rsid w:val="3D483D08"/>
    <w:rsid w:val="3D4B7F55"/>
    <w:rsid w:val="3D626594"/>
    <w:rsid w:val="3D6558EF"/>
    <w:rsid w:val="3D6E3334"/>
    <w:rsid w:val="3D7C1AF8"/>
    <w:rsid w:val="3D7E4729"/>
    <w:rsid w:val="3D943ABF"/>
    <w:rsid w:val="3DA16634"/>
    <w:rsid w:val="3DAA0CF8"/>
    <w:rsid w:val="3DD551FD"/>
    <w:rsid w:val="3DD721DE"/>
    <w:rsid w:val="3DDC3FCA"/>
    <w:rsid w:val="3DE036D4"/>
    <w:rsid w:val="3E054C78"/>
    <w:rsid w:val="3E113CB1"/>
    <w:rsid w:val="3E172574"/>
    <w:rsid w:val="3E2622A3"/>
    <w:rsid w:val="3E417572"/>
    <w:rsid w:val="3E4405D4"/>
    <w:rsid w:val="3E4A5EBE"/>
    <w:rsid w:val="3E5C1851"/>
    <w:rsid w:val="3E6362AC"/>
    <w:rsid w:val="3E6B6B73"/>
    <w:rsid w:val="3E8135D7"/>
    <w:rsid w:val="3E84375B"/>
    <w:rsid w:val="3E8B490A"/>
    <w:rsid w:val="3EA572C5"/>
    <w:rsid w:val="3EAF2CE6"/>
    <w:rsid w:val="3EBE4E17"/>
    <w:rsid w:val="3ED90A97"/>
    <w:rsid w:val="3EDC080D"/>
    <w:rsid w:val="3EE9437C"/>
    <w:rsid w:val="3EF66B94"/>
    <w:rsid w:val="3F057D64"/>
    <w:rsid w:val="3F137010"/>
    <w:rsid w:val="3F1814A5"/>
    <w:rsid w:val="3F2C7AA7"/>
    <w:rsid w:val="3F5B39FD"/>
    <w:rsid w:val="3F6F56BD"/>
    <w:rsid w:val="3F7E3CE4"/>
    <w:rsid w:val="3F9143F7"/>
    <w:rsid w:val="3F9667D0"/>
    <w:rsid w:val="3FB41253"/>
    <w:rsid w:val="3FBE7F13"/>
    <w:rsid w:val="3FC90D91"/>
    <w:rsid w:val="3FC9267A"/>
    <w:rsid w:val="3FEB599B"/>
    <w:rsid w:val="3FFF3124"/>
    <w:rsid w:val="40091A13"/>
    <w:rsid w:val="401263EB"/>
    <w:rsid w:val="40183AC7"/>
    <w:rsid w:val="402E01EB"/>
    <w:rsid w:val="403F44BE"/>
    <w:rsid w:val="403F4720"/>
    <w:rsid w:val="404B50CB"/>
    <w:rsid w:val="40611C38"/>
    <w:rsid w:val="40621819"/>
    <w:rsid w:val="406960D0"/>
    <w:rsid w:val="406D04EC"/>
    <w:rsid w:val="4071000B"/>
    <w:rsid w:val="40747DF6"/>
    <w:rsid w:val="407B25E4"/>
    <w:rsid w:val="408353E4"/>
    <w:rsid w:val="40996B28"/>
    <w:rsid w:val="409A6F17"/>
    <w:rsid w:val="40AF10F4"/>
    <w:rsid w:val="40C069D2"/>
    <w:rsid w:val="40CB44E0"/>
    <w:rsid w:val="40D0241B"/>
    <w:rsid w:val="40D2705F"/>
    <w:rsid w:val="40D644E1"/>
    <w:rsid w:val="40D727E9"/>
    <w:rsid w:val="40D847A6"/>
    <w:rsid w:val="40E0668A"/>
    <w:rsid w:val="40EA4D92"/>
    <w:rsid w:val="410A029E"/>
    <w:rsid w:val="41233657"/>
    <w:rsid w:val="412D25B6"/>
    <w:rsid w:val="41314BE3"/>
    <w:rsid w:val="415E7BFF"/>
    <w:rsid w:val="41656898"/>
    <w:rsid w:val="416C6617"/>
    <w:rsid w:val="416D0841"/>
    <w:rsid w:val="416D1571"/>
    <w:rsid w:val="41766110"/>
    <w:rsid w:val="4183757C"/>
    <w:rsid w:val="41970A1B"/>
    <w:rsid w:val="41A43845"/>
    <w:rsid w:val="41C763DA"/>
    <w:rsid w:val="41CB2901"/>
    <w:rsid w:val="4203479A"/>
    <w:rsid w:val="422051D1"/>
    <w:rsid w:val="423954ED"/>
    <w:rsid w:val="42420F25"/>
    <w:rsid w:val="424448C1"/>
    <w:rsid w:val="4249440B"/>
    <w:rsid w:val="424E6CC2"/>
    <w:rsid w:val="429A2A3F"/>
    <w:rsid w:val="42AE59C8"/>
    <w:rsid w:val="42B42DF9"/>
    <w:rsid w:val="42BA2C13"/>
    <w:rsid w:val="42C85A7D"/>
    <w:rsid w:val="42EB101F"/>
    <w:rsid w:val="42F24C1D"/>
    <w:rsid w:val="43377835"/>
    <w:rsid w:val="43680126"/>
    <w:rsid w:val="437408D5"/>
    <w:rsid w:val="43784FA8"/>
    <w:rsid w:val="438B196C"/>
    <w:rsid w:val="438F23DB"/>
    <w:rsid w:val="439517E0"/>
    <w:rsid w:val="43A71BC9"/>
    <w:rsid w:val="43A86F90"/>
    <w:rsid w:val="43AB606D"/>
    <w:rsid w:val="43B64C47"/>
    <w:rsid w:val="43BF2BD7"/>
    <w:rsid w:val="43C875B2"/>
    <w:rsid w:val="43CC0E50"/>
    <w:rsid w:val="43E964A0"/>
    <w:rsid w:val="440A1978"/>
    <w:rsid w:val="441133CA"/>
    <w:rsid w:val="441A3B05"/>
    <w:rsid w:val="441B36B2"/>
    <w:rsid w:val="44203474"/>
    <w:rsid w:val="44333D5B"/>
    <w:rsid w:val="443B3088"/>
    <w:rsid w:val="44610145"/>
    <w:rsid w:val="446B0669"/>
    <w:rsid w:val="44727721"/>
    <w:rsid w:val="447B6004"/>
    <w:rsid w:val="448B0D0B"/>
    <w:rsid w:val="449750E1"/>
    <w:rsid w:val="44B83F02"/>
    <w:rsid w:val="44BE2B61"/>
    <w:rsid w:val="44C56964"/>
    <w:rsid w:val="44D14E2E"/>
    <w:rsid w:val="44E623E5"/>
    <w:rsid w:val="44E952AA"/>
    <w:rsid w:val="44EE0EBC"/>
    <w:rsid w:val="45132AAF"/>
    <w:rsid w:val="451A3CCB"/>
    <w:rsid w:val="45284162"/>
    <w:rsid w:val="45321526"/>
    <w:rsid w:val="454A2974"/>
    <w:rsid w:val="45500A52"/>
    <w:rsid w:val="456A4DC4"/>
    <w:rsid w:val="456C47D6"/>
    <w:rsid w:val="45780C04"/>
    <w:rsid w:val="459508FA"/>
    <w:rsid w:val="4599319D"/>
    <w:rsid w:val="45996676"/>
    <w:rsid w:val="45AD246C"/>
    <w:rsid w:val="45B20519"/>
    <w:rsid w:val="45F5148B"/>
    <w:rsid w:val="45FC571B"/>
    <w:rsid w:val="4609333E"/>
    <w:rsid w:val="46280068"/>
    <w:rsid w:val="46303A7D"/>
    <w:rsid w:val="464374ED"/>
    <w:rsid w:val="46591A9C"/>
    <w:rsid w:val="465B10BB"/>
    <w:rsid w:val="46727275"/>
    <w:rsid w:val="467557CF"/>
    <w:rsid w:val="467A1461"/>
    <w:rsid w:val="4681050D"/>
    <w:rsid w:val="468367EA"/>
    <w:rsid w:val="46C2653A"/>
    <w:rsid w:val="46DA56D2"/>
    <w:rsid w:val="46DC3416"/>
    <w:rsid w:val="46E110B6"/>
    <w:rsid w:val="46EF15F6"/>
    <w:rsid w:val="470D6E20"/>
    <w:rsid w:val="47372A84"/>
    <w:rsid w:val="473A3A0F"/>
    <w:rsid w:val="47941C85"/>
    <w:rsid w:val="47AF2A28"/>
    <w:rsid w:val="47B50F9C"/>
    <w:rsid w:val="47C479A8"/>
    <w:rsid w:val="47CF53B3"/>
    <w:rsid w:val="47D502C0"/>
    <w:rsid w:val="47D96BEE"/>
    <w:rsid w:val="47DE7578"/>
    <w:rsid w:val="47EE47C7"/>
    <w:rsid w:val="47EE47EB"/>
    <w:rsid w:val="480B57A8"/>
    <w:rsid w:val="481B5E95"/>
    <w:rsid w:val="4841431A"/>
    <w:rsid w:val="484B37B1"/>
    <w:rsid w:val="484D43A0"/>
    <w:rsid w:val="486A50DB"/>
    <w:rsid w:val="48721D89"/>
    <w:rsid w:val="48855A71"/>
    <w:rsid w:val="48890C6F"/>
    <w:rsid w:val="48C13853"/>
    <w:rsid w:val="48C833E2"/>
    <w:rsid w:val="48E35C7E"/>
    <w:rsid w:val="490111AF"/>
    <w:rsid w:val="490F10EB"/>
    <w:rsid w:val="491164F6"/>
    <w:rsid w:val="491237A9"/>
    <w:rsid w:val="49153716"/>
    <w:rsid w:val="49231388"/>
    <w:rsid w:val="493C02E2"/>
    <w:rsid w:val="493F3E72"/>
    <w:rsid w:val="49444740"/>
    <w:rsid w:val="49634005"/>
    <w:rsid w:val="4984543A"/>
    <w:rsid w:val="4991304E"/>
    <w:rsid w:val="49974B97"/>
    <w:rsid w:val="499C7517"/>
    <w:rsid w:val="49C17AB9"/>
    <w:rsid w:val="49EA0082"/>
    <w:rsid w:val="4A131C44"/>
    <w:rsid w:val="4A176732"/>
    <w:rsid w:val="4A1C0152"/>
    <w:rsid w:val="4A27508B"/>
    <w:rsid w:val="4A295377"/>
    <w:rsid w:val="4A2A4C9D"/>
    <w:rsid w:val="4A481A41"/>
    <w:rsid w:val="4A5F1684"/>
    <w:rsid w:val="4A822E7B"/>
    <w:rsid w:val="4A9503BE"/>
    <w:rsid w:val="4AA56125"/>
    <w:rsid w:val="4AC62A9D"/>
    <w:rsid w:val="4ADC27DB"/>
    <w:rsid w:val="4AE76614"/>
    <w:rsid w:val="4AEF7FC6"/>
    <w:rsid w:val="4B1732F9"/>
    <w:rsid w:val="4B294BFA"/>
    <w:rsid w:val="4B335C59"/>
    <w:rsid w:val="4B3C3022"/>
    <w:rsid w:val="4B484C0E"/>
    <w:rsid w:val="4B6057DD"/>
    <w:rsid w:val="4B716AAE"/>
    <w:rsid w:val="4BA61A6D"/>
    <w:rsid w:val="4BB9342C"/>
    <w:rsid w:val="4BBB1787"/>
    <w:rsid w:val="4BBC2164"/>
    <w:rsid w:val="4BBD7DAF"/>
    <w:rsid w:val="4BC30D8B"/>
    <w:rsid w:val="4BC468B1"/>
    <w:rsid w:val="4BC60241"/>
    <w:rsid w:val="4BEC30A0"/>
    <w:rsid w:val="4BF158B0"/>
    <w:rsid w:val="4BFC604B"/>
    <w:rsid w:val="4C0B7D79"/>
    <w:rsid w:val="4C1465E4"/>
    <w:rsid w:val="4C256F65"/>
    <w:rsid w:val="4C2C2C38"/>
    <w:rsid w:val="4C465518"/>
    <w:rsid w:val="4C5477B7"/>
    <w:rsid w:val="4C575977"/>
    <w:rsid w:val="4C5955F3"/>
    <w:rsid w:val="4C714C8A"/>
    <w:rsid w:val="4C7402D7"/>
    <w:rsid w:val="4C7E2F03"/>
    <w:rsid w:val="4C9B3AB5"/>
    <w:rsid w:val="4C9D2343"/>
    <w:rsid w:val="4CA033CA"/>
    <w:rsid w:val="4CA17BEF"/>
    <w:rsid w:val="4CB31496"/>
    <w:rsid w:val="4CC96179"/>
    <w:rsid w:val="4CD65475"/>
    <w:rsid w:val="4CE14FF2"/>
    <w:rsid w:val="4D115B26"/>
    <w:rsid w:val="4D16630D"/>
    <w:rsid w:val="4D36558C"/>
    <w:rsid w:val="4D3719BC"/>
    <w:rsid w:val="4D4A4E7C"/>
    <w:rsid w:val="4D5325E2"/>
    <w:rsid w:val="4D5601E6"/>
    <w:rsid w:val="4D6C7659"/>
    <w:rsid w:val="4D76326C"/>
    <w:rsid w:val="4D7D0258"/>
    <w:rsid w:val="4D8137DC"/>
    <w:rsid w:val="4D882A2E"/>
    <w:rsid w:val="4D8D7B58"/>
    <w:rsid w:val="4D991688"/>
    <w:rsid w:val="4D9E1ACB"/>
    <w:rsid w:val="4DB20B35"/>
    <w:rsid w:val="4DCA28A4"/>
    <w:rsid w:val="4DD543C5"/>
    <w:rsid w:val="4DEE1C7F"/>
    <w:rsid w:val="4DFA0CB0"/>
    <w:rsid w:val="4E103BB7"/>
    <w:rsid w:val="4E1313F6"/>
    <w:rsid w:val="4E1B5A64"/>
    <w:rsid w:val="4E1E3790"/>
    <w:rsid w:val="4E3E7ABD"/>
    <w:rsid w:val="4E41068C"/>
    <w:rsid w:val="4E471216"/>
    <w:rsid w:val="4E5B79A0"/>
    <w:rsid w:val="4E94790E"/>
    <w:rsid w:val="4E95018F"/>
    <w:rsid w:val="4EA63818"/>
    <w:rsid w:val="4EBA63D8"/>
    <w:rsid w:val="4EBE1CD8"/>
    <w:rsid w:val="4ECB6DE2"/>
    <w:rsid w:val="4ED37071"/>
    <w:rsid w:val="4EF42362"/>
    <w:rsid w:val="4F0B2046"/>
    <w:rsid w:val="4F361E61"/>
    <w:rsid w:val="4F6153C0"/>
    <w:rsid w:val="4F742107"/>
    <w:rsid w:val="4F8F2591"/>
    <w:rsid w:val="4FA17635"/>
    <w:rsid w:val="4FA44741"/>
    <w:rsid w:val="4FA84831"/>
    <w:rsid w:val="4FB355BA"/>
    <w:rsid w:val="4FC0263A"/>
    <w:rsid w:val="4FC47E91"/>
    <w:rsid w:val="4FCE1399"/>
    <w:rsid w:val="4FD05390"/>
    <w:rsid w:val="4FD620C8"/>
    <w:rsid w:val="4FE139E1"/>
    <w:rsid w:val="4FFA6D45"/>
    <w:rsid w:val="4FFC486B"/>
    <w:rsid w:val="50027C2E"/>
    <w:rsid w:val="50097DCA"/>
    <w:rsid w:val="50487AB0"/>
    <w:rsid w:val="504D35C4"/>
    <w:rsid w:val="50A2672D"/>
    <w:rsid w:val="50A9203E"/>
    <w:rsid w:val="50AD434A"/>
    <w:rsid w:val="50E7551B"/>
    <w:rsid w:val="50F43794"/>
    <w:rsid w:val="50F46845"/>
    <w:rsid w:val="50F945BD"/>
    <w:rsid w:val="50FE0AB7"/>
    <w:rsid w:val="51031C29"/>
    <w:rsid w:val="510324B6"/>
    <w:rsid w:val="510C47A6"/>
    <w:rsid w:val="511C2DB0"/>
    <w:rsid w:val="51214753"/>
    <w:rsid w:val="51501312"/>
    <w:rsid w:val="515F72D3"/>
    <w:rsid w:val="51757670"/>
    <w:rsid w:val="51783D18"/>
    <w:rsid w:val="517F171C"/>
    <w:rsid w:val="51887260"/>
    <w:rsid w:val="518C60C3"/>
    <w:rsid w:val="51A16977"/>
    <w:rsid w:val="51A96C75"/>
    <w:rsid w:val="51AD7254"/>
    <w:rsid w:val="51C821FB"/>
    <w:rsid w:val="51D56ACC"/>
    <w:rsid w:val="51D80BC2"/>
    <w:rsid w:val="51DA6ECC"/>
    <w:rsid w:val="51DC0810"/>
    <w:rsid w:val="51E876ED"/>
    <w:rsid w:val="51FA4041"/>
    <w:rsid w:val="51FE25E7"/>
    <w:rsid w:val="51FE6928"/>
    <w:rsid w:val="520659B5"/>
    <w:rsid w:val="52162AE8"/>
    <w:rsid w:val="521851FB"/>
    <w:rsid w:val="522C1839"/>
    <w:rsid w:val="524E37F1"/>
    <w:rsid w:val="525B0222"/>
    <w:rsid w:val="525C5A95"/>
    <w:rsid w:val="525D3E49"/>
    <w:rsid w:val="528B616D"/>
    <w:rsid w:val="528F321F"/>
    <w:rsid w:val="528F4626"/>
    <w:rsid w:val="529349EF"/>
    <w:rsid w:val="52A62E39"/>
    <w:rsid w:val="52A755B4"/>
    <w:rsid w:val="52E20728"/>
    <w:rsid w:val="52E62468"/>
    <w:rsid w:val="531C490D"/>
    <w:rsid w:val="532D64BA"/>
    <w:rsid w:val="53342AA8"/>
    <w:rsid w:val="5334431C"/>
    <w:rsid w:val="53441756"/>
    <w:rsid w:val="534E487F"/>
    <w:rsid w:val="53511372"/>
    <w:rsid w:val="535E583D"/>
    <w:rsid w:val="535F501E"/>
    <w:rsid w:val="536A6329"/>
    <w:rsid w:val="537A0922"/>
    <w:rsid w:val="538D1507"/>
    <w:rsid w:val="53A042C7"/>
    <w:rsid w:val="53A32785"/>
    <w:rsid w:val="53AA4301"/>
    <w:rsid w:val="53AE2320"/>
    <w:rsid w:val="53B13BBE"/>
    <w:rsid w:val="53BE6F23"/>
    <w:rsid w:val="53C25DCC"/>
    <w:rsid w:val="53C40496"/>
    <w:rsid w:val="53C86EC7"/>
    <w:rsid w:val="53DE61DE"/>
    <w:rsid w:val="53E53868"/>
    <w:rsid w:val="53FA5565"/>
    <w:rsid w:val="54065CB8"/>
    <w:rsid w:val="54093709"/>
    <w:rsid w:val="541A1764"/>
    <w:rsid w:val="541F6D7A"/>
    <w:rsid w:val="5440557B"/>
    <w:rsid w:val="544922B2"/>
    <w:rsid w:val="5472334E"/>
    <w:rsid w:val="54753CB1"/>
    <w:rsid w:val="5475464C"/>
    <w:rsid w:val="54956B25"/>
    <w:rsid w:val="54964D0C"/>
    <w:rsid w:val="549C661D"/>
    <w:rsid w:val="54AC14AF"/>
    <w:rsid w:val="54AE6894"/>
    <w:rsid w:val="54D013A5"/>
    <w:rsid w:val="54E34DD2"/>
    <w:rsid w:val="54ED0C26"/>
    <w:rsid w:val="55022203"/>
    <w:rsid w:val="550D751A"/>
    <w:rsid w:val="55125964"/>
    <w:rsid w:val="55241313"/>
    <w:rsid w:val="553920BD"/>
    <w:rsid w:val="5539480A"/>
    <w:rsid w:val="553F4386"/>
    <w:rsid w:val="555850FB"/>
    <w:rsid w:val="55623C99"/>
    <w:rsid w:val="55711857"/>
    <w:rsid w:val="558A2919"/>
    <w:rsid w:val="55973112"/>
    <w:rsid w:val="559E4158"/>
    <w:rsid w:val="55B36146"/>
    <w:rsid w:val="55C41D9E"/>
    <w:rsid w:val="55D43B94"/>
    <w:rsid w:val="55DB1188"/>
    <w:rsid w:val="55F06F67"/>
    <w:rsid w:val="56177B8E"/>
    <w:rsid w:val="562077D1"/>
    <w:rsid w:val="562468CA"/>
    <w:rsid w:val="562543F0"/>
    <w:rsid w:val="56335CD4"/>
    <w:rsid w:val="563E61DD"/>
    <w:rsid w:val="56436530"/>
    <w:rsid w:val="565A22EB"/>
    <w:rsid w:val="56661FDE"/>
    <w:rsid w:val="569533E6"/>
    <w:rsid w:val="56CA1CA8"/>
    <w:rsid w:val="56D76D1D"/>
    <w:rsid w:val="571649DB"/>
    <w:rsid w:val="571F5C9C"/>
    <w:rsid w:val="57212E09"/>
    <w:rsid w:val="5729315F"/>
    <w:rsid w:val="572FDFFB"/>
    <w:rsid w:val="577C148B"/>
    <w:rsid w:val="57873868"/>
    <w:rsid w:val="57A557E8"/>
    <w:rsid w:val="57B1532A"/>
    <w:rsid w:val="57BA0EE9"/>
    <w:rsid w:val="57C11A2E"/>
    <w:rsid w:val="57C66325"/>
    <w:rsid w:val="57D52012"/>
    <w:rsid w:val="57DC3C24"/>
    <w:rsid w:val="57DD1426"/>
    <w:rsid w:val="57E00F16"/>
    <w:rsid w:val="5806097D"/>
    <w:rsid w:val="581A68D6"/>
    <w:rsid w:val="58205F30"/>
    <w:rsid w:val="582E3A30"/>
    <w:rsid w:val="583B503A"/>
    <w:rsid w:val="5847689F"/>
    <w:rsid w:val="584C3292"/>
    <w:rsid w:val="58615BB3"/>
    <w:rsid w:val="586424C6"/>
    <w:rsid w:val="5881407B"/>
    <w:rsid w:val="58A77CC7"/>
    <w:rsid w:val="58B27605"/>
    <w:rsid w:val="58B54EB4"/>
    <w:rsid w:val="58BD1BBA"/>
    <w:rsid w:val="58BE5F74"/>
    <w:rsid w:val="58CE61B8"/>
    <w:rsid w:val="58E42460"/>
    <w:rsid w:val="58FC5D11"/>
    <w:rsid w:val="59092A13"/>
    <w:rsid w:val="591E004A"/>
    <w:rsid w:val="592150AB"/>
    <w:rsid w:val="592C0019"/>
    <w:rsid w:val="59477C67"/>
    <w:rsid w:val="594A2AEB"/>
    <w:rsid w:val="595C79E9"/>
    <w:rsid w:val="597523AC"/>
    <w:rsid w:val="5982454D"/>
    <w:rsid w:val="59853B23"/>
    <w:rsid w:val="5991301D"/>
    <w:rsid w:val="599E0B89"/>
    <w:rsid w:val="59AC021F"/>
    <w:rsid w:val="59AC5554"/>
    <w:rsid w:val="59AE7975"/>
    <w:rsid w:val="59E4701D"/>
    <w:rsid w:val="59FE4108"/>
    <w:rsid w:val="5A167F69"/>
    <w:rsid w:val="5A6146D4"/>
    <w:rsid w:val="5A690D4F"/>
    <w:rsid w:val="5A72070E"/>
    <w:rsid w:val="5A7E2423"/>
    <w:rsid w:val="5A9E1782"/>
    <w:rsid w:val="5AA1673B"/>
    <w:rsid w:val="5AA17965"/>
    <w:rsid w:val="5AA343DE"/>
    <w:rsid w:val="5AA72548"/>
    <w:rsid w:val="5AB41688"/>
    <w:rsid w:val="5AD15852"/>
    <w:rsid w:val="5AE0542B"/>
    <w:rsid w:val="5AE8436A"/>
    <w:rsid w:val="5B024F63"/>
    <w:rsid w:val="5B1A44F7"/>
    <w:rsid w:val="5B1A473F"/>
    <w:rsid w:val="5B474B17"/>
    <w:rsid w:val="5B4D0671"/>
    <w:rsid w:val="5B5C30D9"/>
    <w:rsid w:val="5B5D1377"/>
    <w:rsid w:val="5B6663DC"/>
    <w:rsid w:val="5B74135F"/>
    <w:rsid w:val="5B7C23AD"/>
    <w:rsid w:val="5B842AFA"/>
    <w:rsid w:val="5B8E6262"/>
    <w:rsid w:val="5BB65462"/>
    <w:rsid w:val="5BC0166E"/>
    <w:rsid w:val="5BC873AD"/>
    <w:rsid w:val="5BCC5A39"/>
    <w:rsid w:val="5BE54DD4"/>
    <w:rsid w:val="5BEE0A0C"/>
    <w:rsid w:val="5BEF2C47"/>
    <w:rsid w:val="5BF3746A"/>
    <w:rsid w:val="5BF65F0E"/>
    <w:rsid w:val="5C0056E3"/>
    <w:rsid w:val="5C157C3D"/>
    <w:rsid w:val="5C264C6B"/>
    <w:rsid w:val="5C511472"/>
    <w:rsid w:val="5C5D0D87"/>
    <w:rsid w:val="5C69772C"/>
    <w:rsid w:val="5C6A06F9"/>
    <w:rsid w:val="5C82434A"/>
    <w:rsid w:val="5CDA7375"/>
    <w:rsid w:val="5CEE19DF"/>
    <w:rsid w:val="5D1256CE"/>
    <w:rsid w:val="5D12706A"/>
    <w:rsid w:val="5D184CAE"/>
    <w:rsid w:val="5D286001"/>
    <w:rsid w:val="5D3C2CA3"/>
    <w:rsid w:val="5D611C19"/>
    <w:rsid w:val="5D717AD4"/>
    <w:rsid w:val="5D8D2FA6"/>
    <w:rsid w:val="5D9B1B67"/>
    <w:rsid w:val="5DA12EF6"/>
    <w:rsid w:val="5DB7560A"/>
    <w:rsid w:val="5DC436B8"/>
    <w:rsid w:val="5DDC7A8A"/>
    <w:rsid w:val="5DFC2C8F"/>
    <w:rsid w:val="5E1004D4"/>
    <w:rsid w:val="5E224037"/>
    <w:rsid w:val="5E374CC4"/>
    <w:rsid w:val="5E4D7439"/>
    <w:rsid w:val="5E513A14"/>
    <w:rsid w:val="5E6072E2"/>
    <w:rsid w:val="5E7423B8"/>
    <w:rsid w:val="5E7F0087"/>
    <w:rsid w:val="5EAA5DDA"/>
    <w:rsid w:val="5F052720"/>
    <w:rsid w:val="5F1143CA"/>
    <w:rsid w:val="5F182D44"/>
    <w:rsid w:val="5F1D2CC5"/>
    <w:rsid w:val="5F3B2EE0"/>
    <w:rsid w:val="5F412CCB"/>
    <w:rsid w:val="5F4A37BA"/>
    <w:rsid w:val="5F4B1D33"/>
    <w:rsid w:val="5F602F3B"/>
    <w:rsid w:val="5F696909"/>
    <w:rsid w:val="5F8B5C0B"/>
    <w:rsid w:val="5FA0016C"/>
    <w:rsid w:val="5FA95D98"/>
    <w:rsid w:val="5FB87DC0"/>
    <w:rsid w:val="5FDB1B85"/>
    <w:rsid w:val="5FF12110"/>
    <w:rsid w:val="5FFA1A80"/>
    <w:rsid w:val="6026216E"/>
    <w:rsid w:val="60384BB0"/>
    <w:rsid w:val="6048306A"/>
    <w:rsid w:val="60551AE8"/>
    <w:rsid w:val="60812073"/>
    <w:rsid w:val="608B2891"/>
    <w:rsid w:val="60AA4ABD"/>
    <w:rsid w:val="60CE65D8"/>
    <w:rsid w:val="60D8177D"/>
    <w:rsid w:val="60E26F17"/>
    <w:rsid w:val="60E530F9"/>
    <w:rsid w:val="60FE1DAC"/>
    <w:rsid w:val="610C0686"/>
    <w:rsid w:val="611814CD"/>
    <w:rsid w:val="61227EAA"/>
    <w:rsid w:val="61237BDA"/>
    <w:rsid w:val="61373626"/>
    <w:rsid w:val="613D702D"/>
    <w:rsid w:val="614A1088"/>
    <w:rsid w:val="61564616"/>
    <w:rsid w:val="615A3AE7"/>
    <w:rsid w:val="616FA822"/>
    <w:rsid w:val="61700C15"/>
    <w:rsid w:val="61931CFF"/>
    <w:rsid w:val="61A51198"/>
    <w:rsid w:val="61A61ABC"/>
    <w:rsid w:val="61AA57FD"/>
    <w:rsid w:val="61AD6EAC"/>
    <w:rsid w:val="61C3608D"/>
    <w:rsid w:val="61C86CA3"/>
    <w:rsid w:val="61D144CF"/>
    <w:rsid w:val="61D449FD"/>
    <w:rsid w:val="61EA6C19"/>
    <w:rsid w:val="61FF47EB"/>
    <w:rsid w:val="62010476"/>
    <w:rsid w:val="621912AD"/>
    <w:rsid w:val="623C577D"/>
    <w:rsid w:val="62431DEB"/>
    <w:rsid w:val="626563AE"/>
    <w:rsid w:val="627D7A8D"/>
    <w:rsid w:val="628F6AB4"/>
    <w:rsid w:val="629B4A3A"/>
    <w:rsid w:val="62A4517E"/>
    <w:rsid w:val="62C35261"/>
    <w:rsid w:val="62CE653B"/>
    <w:rsid w:val="62DB7699"/>
    <w:rsid w:val="63141A74"/>
    <w:rsid w:val="631C21EA"/>
    <w:rsid w:val="632A031D"/>
    <w:rsid w:val="6335070C"/>
    <w:rsid w:val="63417B21"/>
    <w:rsid w:val="634B193A"/>
    <w:rsid w:val="634D1C25"/>
    <w:rsid w:val="635051A2"/>
    <w:rsid w:val="63743970"/>
    <w:rsid w:val="637D2EA8"/>
    <w:rsid w:val="6398386E"/>
    <w:rsid w:val="63A6328D"/>
    <w:rsid w:val="63BF5BFD"/>
    <w:rsid w:val="63D12ED6"/>
    <w:rsid w:val="63F12489"/>
    <w:rsid w:val="64002A47"/>
    <w:rsid w:val="64C360B1"/>
    <w:rsid w:val="64C83E3F"/>
    <w:rsid w:val="64CD50E0"/>
    <w:rsid w:val="64DE67DD"/>
    <w:rsid w:val="64E262CE"/>
    <w:rsid w:val="65150451"/>
    <w:rsid w:val="651A129D"/>
    <w:rsid w:val="654835A2"/>
    <w:rsid w:val="654F24CC"/>
    <w:rsid w:val="6568776F"/>
    <w:rsid w:val="6570115F"/>
    <w:rsid w:val="658B0713"/>
    <w:rsid w:val="658F7A95"/>
    <w:rsid w:val="6597202D"/>
    <w:rsid w:val="65C23A09"/>
    <w:rsid w:val="660109D5"/>
    <w:rsid w:val="660B04C3"/>
    <w:rsid w:val="66424A71"/>
    <w:rsid w:val="66657281"/>
    <w:rsid w:val="66666A8A"/>
    <w:rsid w:val="66747AEA"/>
    <w:rsid w:val="668C57A5"/>
    <w:rsid w:val="66933D39"/>
    <w:rsid w:val="66A355E9"/>
    <w:rsid w:val="66A80C71"/>
    <w:rsid w:val="66B34B1A"/>
    <w:rsid w:val="66CA0DC7"/>
    <w:rsid w:val="66F4087B"/>
    <w:rsid w:val="66FC4BB5"/>
    <w:rsid w:val="67025CDB"/>
    <w:rsid w:val="671250BE"/>
    <w:rsid w:val="67304209"/>
    <w:rsid w:val="67502CED"/>
    <w:rsid w:val="67507DFE"/>
    <w:rsid w:val="676652BA"/>
    <w:rsid w:val="676A0D70"/>
    <w:rsid w:val="678101D3"/>
    <w:rsid w:val="679748F4"/>
    <w:rsid w:val="679B1A07"/>
    <w:rsid w:val="67B101D9"/>
    <w:rsid w:val="67B43A32"/>
    <w:rsid w:val="67C021CA"/>
    <w:rsid w:val="67CC5FEE"/>
    <w:rsid w:val="67D86D97"/>
    <w:rsid w:val="67E03CF7"/>
    <w:rsid w:val="67ED0393"/>
    <w:rsid w:val="67F34DB9"/>
    <w:rsid w:val="67FC6EC0"/>
    <w:rsid w:val="683354A5"/>
    <w:rsid w:val="6847760C"/>
    <w:rsid w:val="685B3037"/>
    <w:rsid w:val="68607B04"/>
    <w:rsid w:val="68695928"/>
    <w:rsid w:val="686A4292"/>
    <w:rsid w:val="68925915"/>
    <w:rsid w:val="68A35D74"/>
    <w:rsid w:val="68B206F2"/>
    <w:rsid w:val="68B271EF"/>
    <w:rsid w:val="68B41D2F"/>
    <w:rsid w:val="68D979E8"/>
    <w:rsid w:val="68F46F92"/>
    <w:rsid w:val="68FC5484"/>
    <w:rsid w:val="6908207B"/>
    <w:rsid w:val="69241D36"/>
    <w:rsid w:val="69356425"/>
    <w:rsid w:val="693B41FE"/>
    <w:rsid w:val="6951757E"/>
    <w:rsid w:val="698121E1"/>
    <w:rsid w:val="698767DA"/>
    <w:rsid w:val="698A6990"/>
    <w:rsid w:val="698C4A5A"/>
    <w:rsid w:val="69A93E3A"/>
    <w:rsid w:val="69B0699A"/>
    <w:rsid w:val="69C24906"/>
    <w:rsid w:val="69C50153"/>
    <w:rsid w:val="69C62E4D"/>
    <w:rsid w:val="6A0E4085"/>
    <w:rsid w:val="6A1F142A"/>
    <w:rsid w:val="6A2B6021"/>
    <w:rsid w:val="6A2D6CCF"/>
    <w:rsid w:val="6A3F1ACC"/>
    <w:rsid w:val="6A3F752B"/>
    <w:rsid w:val="6A4A74EB"/>
    <w:rsid w:val="6A6E4B91"/>
    <w:rsid w:val="6A862D8D"/>
    <w:rsid w:val="6A876FCF"/>
    <w:rsid w:val="6A8F74E9"/>
    <w:rsid w:val="6A903968"/>
    <w:rsid w:val="6A94279C"/>
    <w:rsid w:val="6AA4194C"/>
    <w:rsid w:val="6AA45B1D"/>
    <w:rsid w:val="6AC41FD2"/>
    <w:rsid w:val="6ACC0D58"/>
    <w:rsid w:val="6AD60633"/>
    <w:rsid w:val="6ADB7C44"/>
    <w:rsid w:val="6AE0319E"/>
    <w:rsid w:val="6B2F26BB"/>
    <w:rsid w:val="6B3161A2"/>
    <w:rsid w:val="6B45664F"/>
    <w:rsid w:val="6B4B3B36"/>
    <w:rsid w:val="6B653436"/>
    <w:rsid w:val="6B8952EA"/>
    <w:rsid w:val="6B93203D"/>
    <w:rsid w:val="6BA253AC"/>
    <w:rsid w:val="6BBE700E"/>
    <w:rsid w:val="6BC24763"/>
    <w:rsid w:val="6BD87EC3"/>
    <w:rsid w:val="6BDB141A"/>
    <w:rsid w:val="6BF92204"/>
    <w:rsid w:val="6C0A7EB8"/>
    <w:rsid w:val="6C101972"/>
    <w:rsid w:val="6C240F7A"/>
    <w:rsid w:val="6C403ED3"/>
    <w:rsid w:val="6C5775A1"/>
    <w:rsid w:val="6C865275"/>
    <w:rsid w:val="6C86544C"/>
    <w:rsid w:val="6C9E4512"/>
    <w:rsid w:val="6CBD0619"/>
    <w:rsid w:val="6CC55F83"/>
    <w:rsid w:val="6CCD1880"/>
    <w:rsid w:val="6CCD403F"/>
    <w:rsid w:val="6CCF756B"/>
    <w:rsid w:val="6CD26C28"/>
    <w:rsid w:val="6CD96208"/>
    <w:rsid w:val="6D07402E"/>
    <w:rsid w:val="6D2D20B0"/>
    <w:rsid w:val="6D3F2A1F"/>
    <w:rsid w:val="6D69712B"/>
    <w:rsid w:val="6D884FF4"/>
    <w:rsid w:val="6D98555C"/>
    <w:rsid w:val="6DA60684"/>
    <w:rsid w:val="6DBE49B3"/>
    <w:rsid w:val="6DC9002B"/>
    <w:rsid w:val="6DC97105"/>
    <w:rsid w:val="6DCF28F8"/>
    <w:rsid w:val="6DE53E47"/>
    <w:rsid w:val="6DE83B08"/>
    <w:rsid w:val="6DEBF1F6"/>
    <w:rsid w:val="6DF37591"/>
    <w:rsid w:val="6DF901E4"/>
    <w:rsid w:val="6E0E3C8F"/>
    <w:rsid w:val="6E4F0014"/>
    <w:rsid w:val="6E6D28D0"/>
    <w:rsid w:val="6E731D44"/>
    <w:rsid w:val="6E741A47"/>
    <w:rsid w:val="6E883F1E"/>
    <w:rsid w:val="6EAE7001"/>
    <w:rsid w:val="6EAF354C"/>
    <w:rsid w:val="6EAF6E2C"/>
    <w:rsid w:val="6EB31D64"/>
    <w:rsid w:val="6EE35100"/>
    <w:rsid w:val="6F11681F"/>
    <w:rsid w:val="6F204DA3"/>
    <w:rsid w:val="6F3A3741"/>
    <w:rsid w:val="6F3C63C0"/>
    <w:rsid w:val="6F4E5A1A"/>
    <w:rsid w:val="6F860DAC"/>
    <w:rsid w:val="6F982479"/>
    <w:rsid w:val="6FA47A73"/>
    <w:rsid w:val="6FA50029"/>
    <w:rsid w:val="6FA75C95"/>
    <w:rsid w:val="6FA80114"/>
    <w:rsid w:val="6FBD3BBF"/>
    <w:rsid w:val="6FC0372E"/>
    <w:rsid w:val="6FDE2D10"/>
    <w:rsid w:val="6FE967D0"/>
    <w:rsid w:val="6FED0909"/>
    <w:rsid w:val="70225059"/>
    <w:rsid w:val="702D25E8"/>
    <w:rsid w:val="703178F4"/>
    <w:rsid w:val="70400DE9"/>
    <w:rsid w:val="7057618C"/>
    <w:rsid w:val="705B1B17"/>
    <w:rsid w:val="706B4D83"/>
    <w:rsid w:val="706E310B"/>
    <w:rsid w:val="70761FC0"/>
    <w:rsid w:val="709578E2"/>
    <w:rsid w:val="70B76860"/>
    <w:rsid w:val="70B95DE3"/>
    <w:rsid w:val="70BD4440"/>
    <w:rsid w:val="70C65071"/>
    <w:rsid w:val="70D63A6D"/>
    <w:rsid w:val="70D65056"/>
    <w:rsid w:val="70DB46B5"/>
    <w:rsid w:val="710E2ADF"/>
    <w:rsid w:val="710E6877"/>
    <w:rsid w:val="711F7C66"/>
    <w:rsid w:val="713006CC"/>
    <w:rsid w:val="71462053"/>
    <w:rsid w:val="71687B5B"/>
    <w:rsid w:val="71903405"/>
    <w:rsid w:val="71951725"/>
    <w:rsid w:val="71B47ED3"/>
    <w:rsid w:val="71B7463E"/>
    <w:rsid w:val="71BE777B"/>
    <w:rsid w:val="71C11019"/>
    <w:rsid w:val="71E97186"/>
    <w:rsid w:val="71FA1D14"/>
    <w:rsid w:val="71FD1FC3"/>
    <w:rsid w:val="72056069"/>
    <w:rsid w:val="72201C49"/>
    <w:rsid w:val="72220F73"/>
    <w:rsid w:val="724C2FD8"/>
    <w:rsid w:val="72591BBF"/>
    <w:rsid w:val="726C7C5A"/>
    <w:rsid w:val="727662A7"/>
    <w:rsid w:val="727F515C"/>
    <w:rsid w:val="72844E6E"/>
    <w:rsid w:val="729A78B6"/>
    <w:rsid w:val="72A65678"/>
    <w:rsid w:val="72AF38F5"/>
    <w:rsid w:val="72B15531"/>
    <w:rsid w:val="72C135F3"/>
    <w:rsid w:val="72C472CE"/>
    <w:rsid w:val="72D32909"/>
    <w:rsid w:val="72D4094B"/>
    <w:rsid w:val="72E15E16"/>
    <w:rsid w:val="72EA2632"/>
    <w:rsid w:val="72F8545C"/>
    <w:rsid w:val="730151CF"/>
    <w:rsid w:val="73074A73"/>
    <w:rsid w:val="731070EB"/>
    <w:rsid w:val="733306C2"/>
    <w:rsid w:val="73495B3B"/>
    <w:rsid w:val="734B7734"/>
    <w:rsid w:val="73557921"/>
    <w:rsid w:val="73693599"/>
    <w:rsid w:val="73905BE7"/>
    <w:rsid w:val="73BC5BC8"/>
    <w:rsid w:val="73BC5F3C"/>
    <w:rsid w:val="73CC0127"/>
    <w:rsid w:val="73E03B48"/>
    <w:rsid w:val="73EB137D"/>
    <w:rsid w:val="73F11820"/>
    <w:rsid w:val="73F76ABD"/>
    <w:rsid w:val="73F97502"/>
    <w:rsid w:val="73FE47A6"/>
    <w:rsid w:val="74066B1E"/>
    <w:rsid w:val="74082F2F"/>
    <w:rsid w:val="74183D31"/>
    <w:rsid w:val="741C69DA"/>
    <w:rsid w:val="741E1BFE"/>
    <w:rsid w:val="74240E1B"/>
    <w:rsid w:val="7431446F"/>
    <w:rsid w:val="74420388"/>
    <w:rsid w:val="744B4216"/>
    <w:rsid w:val="746D21F2"/>
    <w:rsid w:val="7476433D"/>
    <w:rsid w:val="74827185"/>
    <w:rsid w:val="748501F3"/>
    <w:rsid w:val="748C4EDD"/>
    <w:rsid w:val="74A346D6"/>
    <w:rsid w:val="74A44C03"/>
    <w:rsid w:val="74B778DF"/>
    <w:rsid w:val="74BD52AA"/>
    <w:rsid w:val="74CB0B2C"/>
    <w:rsid w:val="74D112E5"/>
    <w:rsid w:val="74DA0950"/>
    <w:rsid w:val="74DD0860"/>
    <w:rsid w:val="74DF6386"/>
    <w:rsid w:val="74E20F01"/>
    <w:rsid w:val="74E8174A"/>
    <w:rsid w:val="74E92D60"/>
    <w:rsid w:val="7501454E"/>
    <w:rsid w:val="754A44EE"/>
    <w:rsid w:val="7552684E"/>
    <w:rsid w:val="756B594D"/>
    <w:rsid w:val="75C27E53"/>
    <w:rsid w:val="75C37A55"/>
    <w:rsid w:val="75C6063F"/>
    <w:rsid w:val="75CB05D2"/>
    <w:rsid w:val="75CD2929"/>
    <w:rsid w:val="75DB6DD4"/>
    <w:rsid w:val="75E11C8A"/>
    <w:rsid w:val="75F43903"/>
    <w:rsid w:val="7616033E"/>
    <w:rsid w:val="762E2E73"/>
    <w:rsid w:val="7630676D"/>
    <w:rsid w:val="763B36D6"/>
    <w:rsid w:val="764255F5"/>
    <w:rsid w:val="764645E9"/>
    <w:rsid w:val="76576497"/>
    <w:rsid w:val="7682027A"/>
    <w:rsid w:val="768F0009"/>
    <w:rsid w:val="76980B7D"/>
    <w:rsid w:val="76AB48F0"/>
    <w:rsid w:val="76AF17F9"/>
    <w:rsid w:val="76C46745"/>
    <w:rsid w:val="76D551C1"/>
    <w:rsid w:val="76DFE169"/>
    <w:rsid w:val="76E13E20"/>
    <w:rsid w:val="76FD73B4"/>
    <w:rsid w:val="770B2505"/>
    <w:rsid w:val="77127479"/>
    <w:rsid w:val="77244524"/>
    <w:rsid w:val="77327BEB"/>
    <w:rsid w:val="77463EC6"/>
    <w:rsid w:val="774E578D"/>
    <w:rsid w:val="7770413C"/>
    <w:rsid w:val="777D719A"/>
    <w:rsid w:val="778106F1"/>
    <w:rsid w:val="77846FB8"/>
    <w:rsid w:val="77974CF6"/>
    <w:rsid w:val="77A4638C"/>
    <w:rsid w:val="77A64F39"/>
    <w:rsid w:val="77AF1142"/>
    <w:rsid w:val="77C15F56"/>
    <w:rsid w:val="77C225AF"/>
    <w:rsid w:val="77D759BB"/>
    <w:rsid w:val="77E65C7D"/>
    <w:rsid w:val="77EC380F"/>
    <w:rsid w:val="77EDB23F"/>
    <w:rsid w:val="780453FB"/>
    <w:rsid w:val="781A1483"/>
    <w:rsid w:val="783D0ADF"/>
    <w:rsid w:val="784D2D5B"/>
    <w:rsid w:val="785C1A9B"/>
    <w:rsid w:val="787E5EB6"/>
    <w:rsid w:val="78844692"/>
    <w:rsid w:val="788A279B"/>
    <w:rsid w:val="788F402A"/>
    <w:rsid w:val="7891721F"/>
    <w:rsid w:val="789351B2"/>
    <w:rsid w:val="78A74633"/>
    <w:rsid w:val="78B42C73"/>
    <w:rsid w:val="78B557A2"/>
    <w:rsid w:val="78EA0D27"/>
    <w:rsid w:val="78EB0C3C"/>
    <w:rsid w:val="78F63971"/>
    <w:rsid w:val="79053EE1"/>
    <w:rsid w:val="79057639"/>
    <w:rsid w:val="790A6B0C"/>
    <w:rsid w:val="79144B15"/>
    <w:rsid w:val="79167E9C"/>
    <w:rsid w:val="79172B8D"/>
    <w:rsid w:val="79397A89"/>
    <w:rsid w:val="794B63CD"/>
    <w:rsid w:val="795804B5"/>
    <w:rsid w:val="79865022"/>
    <w:rsid w:val="79876FEC"/>
    <w:rsid w:val="79896ECD"/>
    <w:rsid w:val="79933AB3"/>
    <w:rsid w:val="79B46E0B"/>
    <w:rsid w:val="79C23A0C"/>
    <w:rsid w:val="79C44C90"/>
    <w:rsid w:val="79EC60DE"/>
    <w:rsid w:val="7A021BFF"/>
    <w:rsid w:val="7A0B23D3"/>
    <w:rsid w:val="7A0D2A14"/>
    <w:rsid w:val="7A1C1079"/>
    <w:rsid w:val="7A2B12FD"/>
    <w:rsid w:val="7A2B7A72"/>
    <w:rsid w:val="7A353F4C"/>
    <w:rsid w:val="7A4D60A8"/>
    <w:rsid w:val="7A8E38EB"/>
    <w:rsid w:val="7AAC0272"/>
    <w:rsid w:val="7AC85C6E"/>
    <w:rsid w:val="7AD00E12"/>
    <w:rsid w:val="7AD2630C"/>
    <w:rsid w:val="7AD30729"/>
    <w:rsid w:val="7AD713EC"/>
    <w:rsid w:val="7AE5221C"/>
    <w:rsid w:val="7AE6195B"/>
    <w:rsid w:val="7AEA7832"/>
    <w:rsid w:val="7AED5D2F"/>
    <w:rsid w:val="7AEF348D"/>
    <w:rsid w:val="7AF23F4E"/>
    <w:rsid w:val="7AF35C29"/>
    <w:rsid w:val="7AF6345E"/>
    <w:rsid w:val="7AF73BB1"/>
    <w:rsid w:val="7B1161DE"/>
    <w:rsid w:val="7B2A7AB2"/>
    <w:rsid w:val="7B363DDA"/>
    <w:rsid w:val="7B4D5F03"/>
    <w:rsid w:val="7B5F279B"/>
    <w:rsid w:val="7B731FCA"/>
    <w:rsid w:val="7B7728B3"/>
    <w:rsid w:val="7BA76264"/>
    <w:rsid w:val="7BE02FE7"/>
    <w:rsid w:val="7BF362D1"/>
    <w:rsid w:val="7BFED309"/>
    <w:rsid w:val="7C0B5608"/>
    <w:rsid w:val="7C14742A"/>
    <w:rsid w:val="7C286EE2"/>
    <w:rsid w:val="7C2D7CB4"/>
    <w:rsid w:val="7C2E19A1"/>
    <w:rsid w:val="7C4C1FA8"/>
    <w:rsid w:val="7C6A1F51"/>
    <w:rsid w:val="7C716ECD"/>
    <w:rsid w:val="7C7E6484"/>
    <w:rsid w:val="7C924A10"/>
    <w:rsid w:val="7C933F89"/>
    <w:rsid w:val="7C9F1187"/>
    <w:rsid w:val="7CD97D75"/>
    <w:rsid w:val="7CED5E1E"/>
    <w:rsid w:val="7CF13169"/>
    <w:rsid w:val="7CF90201"/>
    <w:rsid w:val="7CFF725B"/>
    <w:rsid w:val="7D0724BE"/>
    <w:rsid w:val="7D091BEA"/>
    <w:rsid w:val="7D09756E"/>
    <w:rsid w:val="7D376C50"/>
    <w:rsid w:val="7D513E64"/>
    <w:rsid w:val="7D687495"/>
    <w:rsid w:val="7D72074B"/>
    <w:rsid w:val="7D8619E4"/>
    <w:rsid w:val="7DA0067C"/>
    <w:rsid w:val="7DAC53D4"/>
    <w:rsid w:val="7DB14637"/>
    <w:rsid w:val="7DD520D4"/>
    <w:rsid w:val="7DE642E1"/>
    <w:rsid w:val="7DF05160"/>
    <w:rsid w:val="7DF31B34"/>
    <w:rsid w:val="7E0B4C19"/>
    <w:rsid w:val="7E0D0849"/>
    <w:rsid w:val="7E2E0D6D"/>
    <w:rsid w:val="7E3D6A20"/>
    <w:rsid w:val="7E401BFE"/>
    <w:rsid w:val="7E4071C8"/>
    <w:rsid w:val="7E470270"/>
    <w:rsid w:val="7E5D031B"/>
    <w:rsid w:val="7E7A068D"/>
    <w:rsid w:val="7E850DA4"/>
    <w:rsid w:val="7E8F758A"/>
    <w:rsid w:val="7E9F5431"/>
    <w:rsid w:val="7EA366AD"/>
    <w:rsid w:val="7EB45EFD"/>
    <w:rsid w:val="7EBB69EA"/>
    <w:rsid w:val="7EDB2CA8"/>
    <w:rsid w:val="7EF24F07"/>
    <w:rsid w:val="7F1135E0"/>
    <w:rsid w:val="7F132C9F"/>
    <w:rsid w:val="7F285F21"/>
    <w:rsid w:val="7F364DF4"/>
    <w:rsid w:val="7F382028"/>
    <w:rsid w:val="7F4B4027"/>
    <w:rsid w:val="7F5B2DA2"/>
    <w:rsid w:val="7F5D5F2E"/>
    <w:rsid w:val="7F6C4CBA"/>
    <w:rsid w:val="7F6DED5A"/>
    <w:rsid w:val="7F833617"/>
    <w:rsid w:val="7F8C2C66"/>
    <w:rsid w:val="7FAB3A34"/>
    <w:rsid w:val="7FB35C82"/>
    <w:rsid w:val="7FB56E3C"/>
    <w:rsid w:val="7FB8958F"/>
    <w:rsid w:val="7FD8D8E9"/>
    <w:rsid w:val="7FDC5C54"/>
    <w:rsid w:val="7FE55BF2"/>
    <w:rsid w:val="7FE7399E"/>
    <w:rsid w:val="7FFBA627"/>
    <w:rsid w:val="7FFE2EEE"/>
    <w:rsid w:val="8BEFB65F"/>
    <w:rsid w:val="8D5B321A"/>
    <w:rsid w:val="9CEFF152"/>
    <w:rsid w:val="AAFF3670"/>
    <w:rsid w:val="AFD73904"/>
    <w:rsid w:val="B3BDA582"/>
    <w:rsid w:val="B7EE4035"/>
    <w:rsid w:val="BEEF597E"/>
    <w:rsid w:val="BF2C6833"/>
    <w:rsid w:val="BFF76978"/>
    <w:rsid w:val="C77B86BA"/>
    <w:rsid w:val="CE7C431C"/>
    <w:rsid w:val="D577197E"/>
    <w:rsid w:val="DBF7E88B"/>
    <w:rsid w:val="DDDF78C5"/>
    <w:rsid w:val="DFB941E1"/>
    <w:rsid w:val="DFF314D1"/>
    <w:rsid w:val="ECEFD9DB"/>
    <w:rsid w:val="EF7FB0D7"/>
    <w:rsid w:val="EFB785F1"/>
    <w:rsid w:val="EFFF91F3"/>
    <w:rsid w:val="F71C7AEE"/>
    <w:rsid w:val="F7DEDF70"/>
    <w:rsid w:val="F7FDB24C"/>
    <w:rsid w:val="F977FEAA"/>
    <w:rsid w:val="FB7C3BA2"/>
    <w:rsid w:val="FE6B2A0D"/>
    <w:rsid w:val="FFA1853D"/>
    <w:rsid w:val="FFD75506"/>
    <w:rsid w:val="FFFF16CA"/>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600" w:lineRule="exact"/>
      <w:ind w:firstLine="880" w:firstLineChars="200"/>
      <w:jc w:val="both"/>
    </w:pPr>
    <w:rPr>
      <w:rFonts w:ascii="Calibri" w:hAnsi="Calibri" w:eastAsia="仿宋_GB2312" w:cs="Times New Roman"/>
      <w:kern w:val="2"/>
      <w:sz w:val="32"/>
      <w:szCs w:val="24"/>
      <w:lang w:val="en-US" w:eastAsia="zh-CN" w:bidi="ar-SA"/>
    </w:rPr>
  </w:style>
  <w:style w:type="paragraph" w:styleId="3">
    <w:name w:val="heading 1"/>
    <w:basedOn w:val="1"/>
    <w:next w:val="1"/>
    <w:qFormat/>
    <w:uiPriority w:val="0"/>
    <w:pPr>
      <w:keepNext/>
      <w:keepLines/>
      <w:spacing w:beforeLines="0" w:beforeAutospacing="0" w:afterLines="0" w:afterAutospacing="0" w:line="600" w:lineRule="exact"/>
      <w:ind w:firstLine="880" w:firstLineChars="200"/>
      <w:outlineLvl w:val="0"/>
    </w:pPr>
    <w:rPr>
      <w:rFonts w:eastAsia="黑体"/>
      <w:b/>
      <w:kern w:val="44"/>
      <w:sz w:val="32"/>
    </w:rPr>
  </w:style>
  <w:style w:type="paragraph" w:styleId="4">
    <w:name w:val="heading 2"/>
    <w:basedOn w:val="1"/>
    <w:next w:val="5"/>
    <w:unhideWhenUsed/>
    <w:qFormat/>
    <w:uiPriority w:val="9"/>
    <w:pPr>
      <w:keepLines/>
      <w:spacing w:line="600" w:lineRule="exact"/>
      <w:ind w:firstLine="880" w:firstLineChars="200"/>
      <w:jc w:val="both"/>
      <w:outlineLvl w:val="1"/>
    </w:pPr>
    <w:rPr>
      <w:rFonts w:ascii="Calibri Light" w:hAnsi="Calibri Light" w:eastAsia="楷体_GB2312"/>
      <w:b/>
      <w:bCs/>
      <w:sz w:val="32"/>
      <w:szCs w:val="32"/>
    </w:rPr>
  </w:style>
  <w:style w:type="paragraph" w:styleId="6">
    <w:name w:val="heading 3"/>
    <w:basedOn w:val="1"/>
    <w:next w:val="1"/>
    <w:link w:val="51"/>
    <w:unhideWhenUsed/>
    <w:qFormat/>
    <w:uiPriority w:val="0"/>
    <w:pPr>
      <w:keepNext/>
      <w:keepLines/>
      <w:spacing w:beforeLines="0" w:beforeAutospacing="0" w:afterLines="0" w:afterAutospacing="0" w:line="600" w:lineRule="exact"/>
      <w:outlineLvl w:val="2"/>
    </w:pPr>
    <w:rPr>
      <w:b/>
    </w:rPr>
  </w:style>
  <w:style w:type="paragraph" w:styleId="7">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26">
    <w:name w:val="Default Paragraph Font"/>
    <w:unhideWhenUsed/>
    <w:qFormat/>
    <w:uiPriority w:val="1"/>
  </w:style>
  <w:style w:type="table" w:default="1" w:styleId="24">
    <w:name w:val="Normal Table"/>
    <w:unhideWhenUsed/>
    <w:qFormat/>
    <w:uiPriority w:val="99"/>
    <w:tblPr>
      <w:tblCellMar>
        <w:top w:w="0" w:type="dxa"/>
        <w:left w:w="108" w:type="dxa"/>
        <w:bottom w:w="0" w:type="dxa"/>
        <w:right w:w="108" w:type="dxa"/>
      </w:tblCellMar>
    </w:tblPr>
  </w:style>
  <w:style w:type="paragraph" w:styleId="2">
    <w:name w:val="table of authorities"/>
    <w:next w:val="1"/>
    <w:qFormat/>
    <w:uiPriority w:val="0"/>
    <w:pPr>
      <w:widowControl w:val="0"/>
      <w:ind w:left="200" w:leftChars="200"/>
      <w:jc w:val="both"/>
    </w:pPr>
    <w:rPr>
      <w:rFonts w:ascii="Calibri" w:hAnsi="Calibri" w:eastAsia="宋体" w:cs="Times New Roman"/>
      <w:kern w:val="2"/>
      <w:sz w:val="21"/>
      <w:szCs w:val="24"/>
      <w:lang w:val="en-US" w:eastAsia="zh-CN" w:bidi="ar-SA"/>
    </w:rPr>
  </w:style>
  <w:style w:type="paragraph" w:styleId="5">
    <w:name w:val="Normal Indent"/>
    <w:basedOn w:val="1"/>
    <w:qFormat/>
    <w:uiPriority w:val="0"/>
    <w:pPr>
      <w:spacing w:line="240" w:lineRule="auto"/>
      <w:ind w:firstLine="880"/>
    </w:pPr>
    <w:rPr>
      <w:rFonts w:asciiTheme="minorHAnsi" w:hAnsiTheme="minorHAnsi" w:eastAsiaTheme="minorEastAsia" w:cstheme="minorBidi"/>
      <w:sz w:val="21"/>
    </w:rPr>
  </w:style>
  <w:style w:type="paragraph" w:styleId="8">
    <w:name w:val="index 5"/>
    <w:basedOn w:val="1"/>
    <w:next w:val="1"/>
    <w:qFormat/>
    <w:uiPriority w:val="0"/>
    <w:pPr>
      <w:widowControl w:val="0"/>
      <w:spacing w:line="600" w:lineRule="exact"/>
      <w:ind w:left="1680" w:firstLine="200" w:firstLineChars="200"/>
      <w:jc w:val="center"/>
    </w:pPr>
    <w:rPr>
      <w:rFonts w:ascii="楷体" w:hAnsi="Calibri" w:eastAsia="楷体" w:cs="Times New Roman"/>
      <w:kern w:val="2"/>
      <w:sz w:val="32"/>
      <w:szCs w:val="32"/>
      <w:lang w:val="en-US" w:eastAsia="zh-CN" w:bidi="ar-SA"/>
    </w:rPr>
  </w:style>
  <w:style w:type="paragraph" w:styleId="9">
    <w:name w:val="annotation text"/>
    <w:basedOn w:val="1"/>
    <w:qFormat/>
    <w:uiPriority w:val="0"/>
    <w:pPr>
      <w:jc w:val="left"/>
    </w:pPr>
  </w:style>
  <w:style w:type="paragraph" w:styleId="10">
    <w:name w:val="Salutation"/>
    <w:basedOn w:val="1"/>
    <w:next w:val="1"/>
    <w:qFormat/>
    <w:uiPriority w:val="0"/>
    <w:pPr>
      <w:pBdr>
        <w:top w:val="none" w:color="auto" w:sz="0" w:space="0"/>
        <w:left w:val="none" w:color="auto" w:sz="0" w:space="0"/>
        <w:bottom w:val="none" w:color="auto" w:sz="0" w:space="0"/>
        <w:right w:val="none" w:color="auto" w:sz="0" w:space="0"/>
      </w:pBdr>
    </w:pPr>
    <w:rPr>
      <w:rFonts w:ascii="Calibri" w:hAnsi="Calibri" w:eastAsia="宋体" w:cs="Times New Roman"/>
      <w:sz w:val="32"/>
      <w:szCs w:val="24"/>
    </w:rPr>
  </w:style>
  <w:style w:type="paragraph" w:styleId="11">
    <w:name w:val="Body Text"/>
    <w:basedOn w:val="1"/>
    <w:unhideWhenUsed/>
    <w:qFormat/>
    <w:uiPriority w:val="99"/>
    <w:pPr>
      <w:widowControl w:val="0"/>
      <w:spacing w:before="100" w:beforeAutospacing="1" w:after="120"/>
      <w:jc w:val="both"/>
    </w:pPr>
    <w:rPr>
      <w:rFonts w:ascii="等线" w:hAnsi="等线" w:eastAsia="等线" w:cs="Times New Roman"/>
      <w:kern w:val="2"/>
      <w:sz w:val="21"/>
      <w:szCs w:val="21"/>
    </w:rPr>
  </w:style>
  <w:style w:type="paragraph" w:styleId="12">
    <w:name w:val="Body Text Indent"/>
    <w:basedOn w:val="1"/>
    <w:next w:val="13"/>
    <w:unhideWhenUsed/>
    <w:qFormat/>
    <w:uiPriority w:val="99"/>
    <w:pPr>
      <w:spacing w:after="120"/>
      <w:ind w:left="420" w:leftChars="200"/>
    </w:pPr>
  </w:style>
  <w:style w:type="paragraph" w:styleId="13">
    <w:name w:val="Body Text Indent 2"/>
    <w:basedOn w:val="1"/>
    <w:next w:val="1"/>
    <w:qFormat/>
    <w:uiPriority w:val="0"/>
    <w:pPr>
      <w:spacing w:after="120" w:line="480" w:lineRule="auto"/>
      <w:ind w:left="200" w:leftChars="200"/>
    </w:pPr>
    <w:rPr>
      <w:rFonts w:ascii="Times New Roman" w:hAnsi="Times New Roman" w:eastAsia="宋体" w:cs="Times New Roman"/>
    </w:rPr>
  </w:style>
  <w:style w:type="paragraph" w:styleId="14">
    <w:name w:val="Plain Text"/>
    <w:basedOn w:val="1"/>
    <w:unhideWhenUsed/>
    <w:qFormat/>
    <w:uiPriority w:val="99"/>
    <w:rPr>
      <w:rFonts w:ascii="宋体" w:hAnsi="Courier New"/>
      <w:szCs w:val="20"/>
    </w:rPr>
  </w:style>
  <w:style w:type="paragraph" w:styleId="15">
    <w:name w:val="footer"/>
    <w:basedOn w:val="1"/>
    <w:qFormat/>
    <w:uiPriority w:val="0"/>
    <w:pPr>
      <w:tabs>
        <w:tab w:val="center" w:pos="4153"/>
        <w:tab w:val="right" w:pos="8306"/>
      </w:tabs>
      <w:snapToGrid w:val="0"/>
      <w:jc w:val="left"/>
    </w:pPr>
    <w:rPr>
      <w:sz w:val="18"/>
      <w:szCs w:val="18"/>
    </w:rPr>
  </w:style>
  <w:style w:type="paragraph" w:styleId="1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qFormat/>
    <w:uiPriority w:val="0"/>
  </w:style>
  <w:style w:type="paragraph" w:styleId="18">
    <w:name w:val="footnote text"/>
    <w:basedOn w:val="1"/>
    <w:qFormat/>
    <w:uiPriority w:val="0"/>
    <w:pPr>
      <w:snapToGrid w:val="0"/>
      <w:jc w:val="left"/>
    </w:pPr>
    <w:rPr>
      <w:rFonts w:ascii="Calibri" w:hAnsi="Calibri"/>
      <w:sz w:val="18"/>
      <w:szCs w:val="18"/>
    </w:rPr>
  </w:style>
  <w:style w:type="paragraph" w:styleId="19">
    <w:name w:val="toc 2"/>
    <w:basedOn w:val="1"/>
    <w:next w:val="1"/>
    <w:qFormat/>
    <w:uiPriority w:val="0"/>
    <w:pPr>
      <w:ind w:left="420" w:leftChars="200"/>
    </w:pPr>
  </w:style>
  <w:style w:type="paragraph" w:styleId="20">
    <w:name w:val="Normal (Web)"/>
    <w:basedOn w:val="1"/>
    <w:qFormat/>
    <w:uiPriority w:val="0"/>
    <w:pPr>
      <w:spacing w:beforeAutospacing="1" w:afterAutospacing="1"/>
      <w:jc w:val="left"/>
    </w:pPr>
    <w:rPr>
      <w:rFonts w:cs="Times New Roman"/>
      <w:kern w:val="0"/>
      <w:sz w:val="24"/>
    </w:rPr>
  </w:style>
  <w:style w:type="paragraph" w:styleId="21">
    <w:name w:val="Title"/>
    <w:basedOn w:val="1"/>
    <w:next w:val="1"/>
    <w:qFormat/>
    <w:uiPriority w:val="0"/>
    <w:pPr>
      <w:widowControl/>
      <w:snapToGrid w:val="0"/>
      <w:spacing w:before="240" w:after="60"/>
      <w:jc w:val="center"/>
      <w:textAlignment w:val="baseline"/>
    </w:pPr>
    <w:rPr>
      <w:rFonts w:ascii="Arial" w:hAnsi="Arial" w:eastAsia="微软雅黑"/>
      <w:b/>
      <w:sz w:val="32"/>
    </w:rPr>
  </w:style>
  <w:style w:type="paragraph" w:styleId="22">
    <w:name w:val="annotation subject"/>
    <w:basedOn w:val="9"/>
    <w:next w:val="1"/>
    <w:unhideWhenUsed/>
    <w:qFormat/>
    <w:uiPriority w:val="0"/>
    <w:rPr>
      <w:b/>
      <w:bCs/>
    </w:rPr>
  </w:style>
  <w:style w:type="paragraph" w:styleId="23">
    <w:name w:val="Body Text First Indent 2"/>
    <w:basedOn w:val="12"/>
    <w:next w:val="21"/>
    <w:unhideWhenUsed/>
    <w:qFormat/>
    <w:uiPriority w:val="99"/>
    <w:pPr>
      <w:ind w:firstLine="420"/>
    </w:pPr>
  </w:style>
  <w:style w:type="table" w:styleId="25">
    <w:name w:val="Table Grid"/>
    <w:basedOn w:val="2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Strong"/>
    <w:basedOn w:val="26"/>
    <w:qFormat/>
    <w:uiPriority w:val="0"/>
    <w:rPr>
      <w:b/>
    </w:rPr>
  </w:style>
  <w:style w:type="character" w:styleId="28">
    <w:name w:val="Hyperlink"/>
    <w:basedOn w:val="26"/>
    <w:qFormat/>
    <w:uiPriority w:val="0"/>
    <w:rPr>
      <w:color w:val="0000FF"/>
      <w:u w:val="single"/>
    </w:rPr>
  </w:style>
  <w:style w:type="paragraph" w:customStyle="1" w:styleId="29">
    <w:name w:val="正文文字"/>
    <w:basedOn w:val="1"/>
    <w:next w:val="1"/>
    <w:qFormat/>
    <w:uiPriority w:val="99"/>
    <w:pPr>
      <w:spacing w:after="120"/>
    </w:pPr>
    <w:rPr>
      <w:rFonts w:ascii="Times New Roman" w:hAnsi="Times New Roman"/>
    </w:rPr>
  </w:style>
  <w:style w:type="paragraph" w:customStyle="1" w:styleId="30">
    <w:name w:val="Heading2"/>
    <w:basedOn w:val="1"/>
    <w:next w:val="1"/>
    <w:qFormat/>
    <w:uiPriority w:val="0"/>
    <w:pPr>
      <w:keepNext/>
      <w:keepLines/>
      <w:spacing w:line="416" w:lineRule="auto"/>
      <w:textAlignment w:val="baseline"/>
    </w:pPr>
    <w:rPr>
      <w:rFonts w:ascii="Calibri Light" w:hAnsi="Calibri Light" w:cs="Calibri Light"/>
      <w:b/>
      <w:bCs/>
      <w:sz w:val="32"/>
      <w:szCs w:val="32"/>
    </w:rPr>
  </w:style>
  <w:style w:type="paragraph" w:customStyle="1" w:styleId="31">
    <w:name w:val="正文1"/>
    <w:basedOn w:val="1"/>
    <w:qFormat/>
    <w:uiPriority w:val="0"/>
    <w:pPr>
      <w:spacing w:line="360" w:lineRule="auto"/>
      <w:ind w:firstLine="480"/>
    </w:pPr>
    <w:rPr>
      <w:rFonts w:eastAsia="宋体"/>
      <w:sz w:val="24"/>
    </w:rPr>
  </w:style>
  <w:style w:type="paragraph" w:customStyle="1" w:styleId="32">
    <w:name w:val="WPSOffice手动目录 1"/>
    <w:qFormat/>
    <w:uiPriority w:val="0"/>
    <w:rPr>
      <w:rFonts w:ascii="Times New Roman" w:hAnsi="Times New Roman" w:eastAsia="宋体" w:cs="Times New Roman"/>
      <w:lang w:val="en-US" w:eastAsia="zh-CN" w:bidi="ar-SA"/>
    </w:rPr>
  </w:style>
  <w:style w:type="paragraph" w:customStyle="1" w:styleId="33">
    <w:name w:val="WPSOffice手动目录 2"/>
    <w:qFormat/>
    <w:uiPriority w:val="0"/>
    <w:pPr>
      <w:ind w:left="200" w:leftChars="200"/>
    </w:pPr>
    <w:rPr>
      <w:rFonts w:ascii="Times New Roman" w:hAnsi="Times New Roman" w:eastAsia="宋体" w:cs="Times New Roman"/>
      <w:lang w:val="en-US" w:eastAsia="zh-CN" w:bidi="ar-SA"/>
    </w:rPr>
  </w:style>
  <w:style w:type="character" w:customStyle="1" w:styleId="34">
    <w:name w:val="font21"/>
    <w:basedOn w:val="26"/>
    <w:qFormat/>
    <w:uiPriority w:val="0"/>
    <w:rPr>
      <w:rFonts w:hint="eastAsia" w:ascii="宋体" w:hAnsi="宋体" w:eastAsia="宋体" w:cs="宋体"/>
      <w:color w:val="000000"/>
      <w:sz w:val="20"/>
      <w:szCs w:val="20"/>
      <w:u w:val="none"/>
    </w:rPr>
  </w:style>
  <w:style w:type="character" w:customStyle="1" w:styleId="35">
    <w:name w:val="font11"/>
    <w:basedOn w:val="26"/>
    <w:qFormat/>
    <w:uiPriority w:val="0"/>
    <w:rPr>
      <w:rFonts w:hint="default" w:ascii="Arial" w:hAnsi="Arial" w:cs="Arial"/>
      <w:color w:val="000000"/>
      <w:sz w:val="20"/>
      <w:szCs w:val="20"/>
      <w:u w:val="none"/>
    </w:rPr>
  </w:style>
  <w:style w:type="character" w:customStyle="1" w:styleId="36">
    <w:name w:val="font51"/>
    <w:basedOn w:val="26"/>
    <w:qFormat/>
    <w:uiPriority w:val="0"/>
    <w:rPr>
      <w:rFonts w:ascii="仿宋_GB2312" w:eastAsia="仿宋_GB2312" w:cs="仿宋_GB2312"/>
      <w:b/>
      <w:bCs/>
      <w:color w:val="000000"/>
      <w:sz w:val="20"/>
      <w:szCs w:val="20"/>
      <w:u w:val="none"/>
    </w:rPr>
  </w:style>
  <w:style w:type="character" w:customStyle="1" w:styleId="37">
    <w:name w:val="font01"/>
    <w:basedOn w:val="26"/>
    <w:qFormat/>
    <w:uiPriority w:val="0"/>
    <w:rPr>
      <w:rFonts w:hint="default" w:ascii="Times New Roman" w:hAnsi="Times New Roman" w:cs="Times New Roman"/>
      <w:color w:val="000000"/>
      <w:sz w:val="20"/>
      <w:szCs w:val="20"/>
      <w:u w:val="none"/>
    </w:rPr>
  </w:style>
  <w:style w:type="character" w:customStyle="1" w:styleId="38">
    <w:name w:val="font41"/>
    <w:basedOn w:val="26"/>
    <w:qFormat/>
    <w:uiPriority w:val="0"/>
    <w:rPr>
      <w:rFonts w:hint="eastAsia" w:ascii="宋体" w:hAnsi="宋体" w:eastAsia="宋体" w:cs="宋体"/>
      <w:color w:val="000000"/>
      <w:sz w:val="20"/>
      <w:szCs w:val="20"/>
      <w:u w:val="none"/>
    </w:rPr>
  </w:style>
  <w:style w:type="character" w:customStyle="1" w:styleId="39">
    <w:name w:val="font81"/>
    <w:basedOn w:val="26"/>
    <w:qFormat/>
    <w:uiPriority w:val="0"/>
    <w:rPr>
      <w:rFonts w:hint="eastAsia" w:ascii="宋体" w:hAnsi="宋体" w:eastAsia="宋体" w:cs="宋体"/>
      <w:color w:val="000000"/>
      <w:sz w:val="32"/>
      <w:szCs w:val="32"/>
      <w:u w:val="none"/>
    </w:rPr>
  </w:style>
  <w:style w:type="character" w:customStyle="1" w:styleId="40">
    <w:name w:val="font101"/>
    <w:basedOn w:val="26"/>
    <w:qFormat/>
    <w:uiPriority w:val="0"/>
    <w:rPr>
      <w:rFonts w:ascii="仿宋_GB2312" w:eastAsia="仿宋_GB2312" w:cs="仿宋_GB2312"/>
      <w:b/>
      <w:bCs/>
      <w:color w:val="000000"/>
      <w:sz w:val="20"/>
      <w:szCs w:val="20"/>
      <w:u w:val="none"/>
    </w:rPr>
  </w:style>
  <w:style w:type="character" w:customStyle="1" w:styleId="41">
    <w:name w:val="font71"/>
    <w:basedOn w:val="26"/>
    <w:qFormat/>
    <w:uiPriority w:val="0"/>
    <w:rPr>
      <w:rFonts w:hint="default" w:ascii="仿宋_GB2312" w:eastAsia="仿宋_GB2312" w:cs="仿宋_GB2312"/>
      <w:color w:val="000000"/>
      <w:sz w:val="20"/>
      <w:szCs w:val="20"/>
      <w:u w:val="none"/>
    </w:rPr>
  </w:style>
  <w:style w:type="character" w:customStyle="1" w:styleId="42">
    <w:name w:val="font61"/>
    <w:basedOn w:val="26"/>
    <w:qFormat/>
    <w:uiPriority w:val="0"/>
    <w:rPr>
      <w:rFonts w:hint="eastAsia" w:ascii="宋体" w:hAnsi="宋体" w:eastAsia="宋体" w:cs="宋体"/>
      <w:color w:val="000000"/>
      <w:sz w:val="20"/>
      <w:szCs w:val="20"/>
      <w:u w:val="none"/>
    </w:rPr>
  </w:style>
  <w:style w:type="character" w:customStyle="1" w:styleId="43">
    <w:name w:val="font112"/>
    <w:basedOn w:val="26"/>
    <w:qFormat/>
    <w:uiPriority w:val="0"/>
    <w:rPr>
      <w:rFonts w:ascii="宋体" w:hAnsi="宋体" w:eastAsia="宋体" w:cs="宋体"/>
      <w:color w:val="000000"/>
      <w:sz w:val="20"/>
      <w:szCs w:val="20"/>
      <w:u w:val="none"/>
    </w:rPr>
  </w:style>
  <w:style w:type="character" w:customStyle="1" w:styleId="44">
    <w:name w:val="font91"/>
    <w:basedOn w:val="26"/>
    <w:qFormat/>
    <w:uiPriority w:val="0"/>
    <w:rPr>
      <w:rFonts w:ascii="Calibri" w:hAnsi="Calibri" w:cs="Calibri"/>
      <w:color w:val="000000"/>
      <w:sz w:val="20"/>
      <w:szCs w:val="20"/>
      <w:u w:val="none"/>
    </w:rPr>
  </w:style>
  <w:style w:type="character" w:customStyle="1" w:styleId="45">
    <w:name w:val="font31"/>
    <w:basedOn w:val="26"/>
    <w:qFormat/>
    <w:uiPriority w:val="0"/>
    <w:rPr>
      <w:rFonts w:hint="eastAsia" w:ascii="仿宋" w:hAnsi="仿宋" w:eastAsia="仿宋" w:cs="仿宋"/>
      <w:color w:val="000000"/>
      <w:sz w:val="20"/>
      <w:szCs w:val="20"/>
      <w:u w:val="none"/>
    </w:rPr>
  </w:style>
  <w:style w:type="character" w:customStyle="1" w:styleId="46">
    <w:name w:val="font171"/>
    <w:basedOn w:val="26"/>
    <w:qFormat/>
    <w:uiPriority w:val="0"/>
    <w:rPr>
      <w:rFonts w:ascii="仿宋_GB2312" w:eastAsia="仿宋_GB2312" w:cs="仿宋_GB2312"/>
      <w:b/>
      <w:bCs/>
      <w:color w:val="000000"/>
      <w:sz w:val="20"/>
      <w:szCs w:val="20"/>
      <w:u w:val="none"/>
    </w:rPr>
  </w:style>
  <w:style w:type="character" w:customStyle="1" w:styleId="47">
    <w:name w:val="font121"/>
    <w:basedOn w:val="26"/>
    <w:qFormat/>
    <w:uiPriority w:val="0"/>
    <w:rPr>
      <w:rFonts w:hint="default" w:ascii="仿宋_GB2312" w:eastAsia="仿宋_GB2312" w:cs="仿宋_GB2312"/>
      <w:color w:val="000000"/>
      <w:sz w:val="20"/>
      <w:szCs w:val="20"/>
      <w:u w:val="none"/>
    </w:rPr>
  </w:style>
  <w:style w:type="character" w:customStyle="1" w:styleId="48">
    <w:name w:val="font131"/>
    <w:basedOn w:val="26"/>
    <w:qFormat/>
    <w:uiPriority w:val="0"/>
    <w:rPr>
      <w:rFonts w:hint="default" w:ascii="Times New Roman" w:hAnsi="Times New Roman" w:cs="Times New Roman"/>
      <w:color w:val="000000"/>
      <w:sz w:val="20"/>
      <w:szCs w:val="20"/>
      <w:u w:val="none"/>
    </w:rPr>
  </w:style>
  <w:style w:type="character" w:customStyle="1" w:styleId="49">
    <w:name w:val="font141"/>
    <w:basedOn w:val="26"/>
    <w:qFormat/>
    <w:uiPriority w:val="0"/>
    <w:rPr>
      <w:rFonts w:hint="eastAsia" w:ascii="宋体" w:hAnsi="宋体" w:eastAsia="宋体" w:cs="宋体"/>
      <w:b/>
      <w:bCs/>
      <w:color w:val="000000"/>
      <w:sz w:val="20"/>
      <w:szCs w:val="20"/>
      <w:u w:val="none"/>
    </w:rPr>
  </w:style>
  <w:style w:type="character" w:customStyle="1" w:styleId="50">
    <w:name w:val="font151"/>
    <w:basedOn w:val="26"/>
    <w:qFormat/>
    <w:uiPriority w:val="0"/>
    <w:rPr>
      <w:rFonts w:hint="default" w:ascii="仿宋_GB2312" w:eastAsia="仿宋_GB2312" w:cs="仿宋_GB2312"/>
      <w:color w:val="000000"/>
      <w:sz w:val="20"/>
      <w:szCs w:val="20"/>
      <w:u w:val="none"/>
    </w:rPr>
  </w:style>
  <w:style w:type="character" w:customStyle="1" w:styleId="51">
    <w:name w:val="标题 3 Char"/>
    <w:link w:val="6"/>
    <w:qFormat/>
    <w:uiPriority w:val="0"/>
    <w:rPr>
      <w:b/>
    </w:rPr>
  </w:style>
  <w:style w:type="character" w:customStyle="1" w:styleId="52">
    <w:name w:val="15"/>
    <w:basedOn w:val="26"/>
    <w:qFormat/>
    <w:uiPriority w:val="0"/>
    <w:rPr>
      <w:rFonts w:hint="default" w:ascii="Calibri" w:hAnsi="Calibri" w:cs="Calibri"/>
      <w:kern w:val="2"/>
      <w:sz w:val="21"/>
      <w:szCs w:val="21"/>
    </w:rPr>
  </w:style>
  <w:style w:type="character" w:customStyle="1" w:styleId="53">
    <w:name w:val="bsharetext"/>
    <w:basedOn w:val="26"/>
    <w:qFormat/>
    <w:uiPriority w:val="0"/>
  </w:style>
  <w:style w:type="paragraph" w:customStyle="1" w:styleId="54">
    <w:name w:val="_Style 40"/>
    <w:basedOn w:val="1"/>
    <w:next w:val="1"/>
    <w:qFormat/>
    <w:uiPriority w:val="0"/>
    <w:pPr>
      <w:pBdr>
        <w:bottom w:val="single" w:color="auto" w:sz="6" w:space="1"/>
      </w:pBdr>
      <w:jc w:val="center"/>
    </w:pPr>
    <w:rPr>
      <w:rFonts w:ascii="Arial" w:eastAsia="宋体"/>
      <w:vanish/>
      <w:sz w:val="16"/>
    </w:rPr>
  </w:style>
  <w:style w:type="paragraph" w:customStyle="1" w:styleId="55">
    <w:name w:val="_Style 41"/>
    <w:basedOn w:val="1"/>
    <w:next w:val="1"/>
    <w:qFormat/>
    <w:uiPriority w:val="0"/>
    <w:pPr>
      <w:pBdr>
        <w:top w:val="single" w:color="auto" w:sz="6" w:space="1"/>
      </w:pBdr>
      <w:jc w:val="center"/>
    </w:pPr>
    <w:rPr>
      <w:rFonts w:ascii="Arial" w:eastAsia="宋体"/>
      <w:vanish/>
      <w:sz w:val="16"/>
    </w:rPr>
  </w:style>
  <w:style w:type="paragraph" w:customStyle="1" w:styleId="56">
    <w:name w:val="BodyText1I"/>
    <w:basedOn w:val="1"/>
    <w:qFormat/>
    <w:uiPriority w:val="99"/>
    <w:pPr>
      <w:snapToGrid w:val="0"/>
      <w:spacing w:line="360" w:lineRule="auto"/>
      <w:ind w:firstLine="420" w:firstLineChars="100"/>
    </w:pPr>
    <w:rPr>
      <w:sz w:val="28"/>
      <w:szCs w:val="20"/>
    </w:rPr>
  </w:style>
  <w:style w:type="paragraph" w:customStyle="1" w:styleId="57">
    <w:name w:val="无间隔1"/>
    <w:qFormat/>
    <w:uiPriority w:val="1"/>
    <w:pPr>
      <w:adjustRightInd w:val="0"/>
      <w:snapToGrid w:val="0"/>
      <w:spacing w:line="360" w:lineRule="auto"/>
      <w:ind w:firstLine="200" w:firstLineChars="200"/>
    </w:pPr>
    <w:rPr>
      <w:rFonts w:ascii="Tahoma" w:hAnsi="Tahoma" w:eastAsia="仿宋_GB2312" w:cs="Times New Roman"/>
      <w:sz w:val="32"/>
      <w:szCs w:val="22"/>
      <w:lang w:val="en-US" w:eastAsia="zh-CN" w:bidi="ar-SA"/>
    </w:rPr>
  </w:style>
  <w:style w:type="paragraph" w:customStyle="1" w:styleId="58">
    <w:name w:val="Table Paragraph"/>
    <w:basedOn w:val="1"/>
    <w:qFormat/>
    <w:uiPriority w:val="1"/>
    <w:pPr>
      <w:autoSpaceDE w:val="0"/>
      <w:autoSpaceDN w:val="0"/>
      <w:jc w:val="left"/>
    </w:pPr>
    <w:rPr>
      <w:rFonts w:ascii="宋体" w:hAnsi="宋体" w:cs="宋体"/>
      <w:kern w:val="0"/>
      <w:sz w:val="22"/>
      <w:szCs w:val="22"/>
      <w:lang w:val="zh-CN" w:bidi="zh-CN"/>
    </w:rPr>
  </w:style>
  <w:style w:type="paragraph" w:customStyle="1" w:styleId="59">
    <w:name w:val="首行缩进"/>
    <w:qFormat/>
    <w:uiPriority w:val="0"/>
    <w:pPr>
      <w:widowControl w:val="0"/>
      <w:ind w:firstLine="480" w:firstLineChars="200"/>
      <w:jc w:val="both"/>
    </w:pPr>
    <w:rPr>
      <w:rFonts w:ascii="Times New Roman" w:hAnsi="Times New Roman" w:eastAsia="宋体" w:cs="Times New Roman"/>
      <w:kern w:val="2"/>
      <w:sz w:val="21"/>
      <w:szCs w:val="24"/>
      <w:lang w:val="zh-CN" w:eastAsia="zh-CN" w:bidi="ar-SA"/>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asus\Desktop\&#24037;&#20316;\&#32489;&#25928;&#35780;&#20215;\04-&#37096;&#38376;&#25972;&#20307;&#12304;&#30465;&#25991;&#26053;&#21381;&#12305;(1)\04-&#37096;&#38376;&#25972;&#20307;&#12304;&#30465;&#25991;&#26053;&#21381;&#12305;\&#25253;&#21578;2026\&#25968;&#25454;&#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0131578947368421"/>
                  <c:y val="-0.00231481481481481"/>
                </c:manualLayout>
              </c:layout>
              <c:tx>
                <c:rich>
                  <a:bodyPr rot="0" spcFirstLastPara="0" vertOverflow="ellipsis" vert="horz" wrap="square" lIns="38100" tIns="19050" rIns="38100" bIns="19050" anchor="ctr" anchorCtr="1"/>
                  <a:lstStyle/>
                  <a:p>
                    <a:pPr defTabSz="914400">
                      <a:defRPr lang="zh-CN" sz="800" b="0" i="0" u="none" strike="noStrike" kern="1200" spc="0" baseline="0">
                        <a:solidFill>
                          <a:sysClr val="windowText" lastClr="000000"/>
                        </a:solidFill>
                        <a:latin typeface="+mn-lt"/>
                        <a:ea typeface="+mn-ea"/>
                        <a:cs typeface="+mn-cs"/>
                      </a:defRPr>
                    </a:pPr>
                    <a:r>
                      <a:rPr sz="800" b="0">
                        <a:solidFill>
                          <a:sysClr val="windowText" lastClr="000000"/>
                        </a:solidFill>
                      </a:rPr>
                      <a:t>工资福利支出</a:t>
                    </a:r>
                    <a:endParaRPr sz="800" b="0">
                      <a:solidFill>
                        <a:sysClr val="windowText" lastClr="000000"/>
                      </a:solidFill>
                    </a:endParaRPr>
                  </a:p>
                  <a:p>
                    <a:pPr defTabSz="914400">
                      <a:defRPr lang="zh-CN" sz="800" b="0" i="0" u="none" strike="noStrike" kern="1200" spc="0" baseline="0">
                        <a:solidFill>
                          <a:sysClr val="windowText" lastClr="000000"/>
                        </a:solidFill>
                        <a:latin typeface="+mn-lt"/>
                        <a:ea typeface="+mn-ea"/>
                        <a:cs typeface="+mn-cs"/>
                      </a:defRPr>
                    </a:pPr>
                    <a:r>
                      <a:rPr lang="en-US" altLang="zh-CN" sz="800" b="0">
                        <a:solidFill>
                          <a:sysClr val="windowText" lastClr="000000"/>
                        </a:solidFill>
                      </a:rPr>
                      <a:t>83.08</a:t>
                    </a:r>
                    <a:r>
                      <a:rPr sz="800" b="0">
                        <a:solidFill>
                          <a:sysClr val="windowText" lastClr="000000"/>
                        </a:solidFill>
                      </a:rPr>
                      <a:t>%</a:t>
                    </a:r>
                    <a:endParaRPr sz="800" b="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800" b="0" i="0" u="none" strike="noStrike" kern="1200" spc="0" baseline="0">
                      <a:solidFill>
                        <a:sysClr val="windowText" lastClr="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
                  <c:y val="0.00231481481481481"/>
                </c:manualLayout>
              </c:layout>
              <c:tx>
                <c:rich>
                  <a:bodyPr rot="0" spcFirstLastPara="0" vertOverflow="ellipsis" vert="horz" wrap="square" lIns="38100" tIns="19050" rIns="38100" bIns="19050" anchor="ctr" anchorCtr="1"/>
                  <a:lstStyle/>
                  <a:p>
                    <a:pPr defTabSz="914400">
                      <a:defRPr lang="zh-CN" sz="800" b="0" i="0" u="none" strike="noStrike" kern="1200" spc="0" baseline="0">
                        <a:solidFill>
                          <a:sysClr val="windowText" lastClr="000000"/>
                        </a:solidFill>
                        <a:latin typeface="+mn-lt"/>
                        <a:ea typeface="+mn-ea"/>
                        <a:cs typeface="+mn-cs"/>
                      </a:defRPr>
                    </a:pPr>
                    <a:r>
                      <a:rPr sz="800" b="0">
                        <a:solidFill>
                          <a:sysClr val="windowText" lastClr="000000"/>
                        </a:solidFill>
                      </a:rPr>
                      <a:t>商品和服务支出</a:t>
                    </a:r>
                    <a:endParaRPr sz="800" b="0">
                      <a:solidFill>
                        <a:sysClr val="windowText" lastClr="000000"/>
                      </a:solidFill>
                    </a:endParaRPr>
                  </a:p>
                  <a:p>
                    <a:pPr defTabSz="914400">
                      <a:defRPr lang="zh-CN" sz="800" b="0" i="0" u="none" strike="noStrike" kern="1200" spc="0" baseline="0">
                        <a:solidFill>
                          <a:sysClr val="windowText" lastClr="000000"/>
                        </a:solidFill>
                        <a:latin typeface="+mn-lt"/>
                        <a:ea typeface="+mn-ea"/>
                        <a:cs typeface="+mn-cs"/>
                      </a:defRPr>
                    </a:pPr>
                    <a:r>
                      <a:rPr lang="en-US" altLang="zh-CN" sz="800" b="0">
                        <a:solidFill>
                          <a:sysClr val="windowText" lastClr="000000"/>
                        </a:solidFill>
                      </a:rPr>
                      <a:t>7.70</a:t>
                    </a:r>
                    <a:r>
                      <a:rPr sz="800" b="0">
                        <a:solidFill>
                          <a:sysClr val="windowText" lastClr="000000"/>
                        </a:solidFill>
                      </a:rPr>
                      <a:t>%</a:t>
                    </a:r>
                    <a:endParaRPr sz="800" b="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800" b="0" i="0" u="none" strike="noStrike" kern="1200" spc="0" baseline="0">
                      <a:solidFill>
                        <a:sysClr val="windowText" lastClr="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dLbl>
              <c:idx val="2"/>
              <c:layout/>
              <c:tx>
                <c:rich>
                  <a:bodyPr rot="0" spcFirstLastPara="0" vertOverflow="ellipsis" vert="horz" wrap="square" lIns="38100" tIns="19050" rIns="38100" bIns="19050" anchor="ctr" anchorCtr="1"/>
                  <a:lstStyle/>
                  <a:p>
                    <a:pPr defTabSz="914400">
                      <a:defRPr lang="zh-CN" sz="800" b="0" i="0" u="none" strike="noStrike" kern="1200" spc="0" baseline="0">
                        <a:solidFill>
                          <a:sysClr val="windowText" lastClr="000000"/>
                        </a:solidFill>
                        <a:latin typeface="+mn-lt"/>
                        <a:ea typeface="+mn-ea"/>
                        <a:cs typeface="+mn-cs"/>
                      </a:defRPr>
                    </a:pPr>
                    <a:r>
                      <a:rPr sz="800" b="0">
                        <a:solidFill>
                          <a:sysClr val="windowText" lastClr="000000"/>
                        </a:solidFill>
                      </a:rPr>
                      <a:t>对个人和家庭的补助9</a:t>
                    </a:r>
                    <a:r>
                      <a:rPr lang="en-US" altLang="zh-CN" sz="800" b="0">
                        <a:solidFill>
                          <a:sysClr val="windowText" lastClr="000000"/>
                        </a:solidFill>
                      </a:rPr>
                      <a:t>.21</a:t>
                    </a:r>
                    <a:r>
                      <a:rPr sz="800" b="0">
                        <a:solidFill>
                          <a:sysClr val="windowText" lastClr="000000"/>
                        </a:solidFill>
                      </a:rPr>
                      <a:t>%</a:t>
                    </a:r>
                    <a:endParaRPr sz="800" b="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800" b="0" i="0" u="none" strike="noStrike" kern="1200" spc="0" baseline="0">
                      <a:solidFill>
                        <a:sysClr val="windowText" lastClr="000000"/>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manualLayout>
                  <c:x val="0.068421052631579"/>
                  <c:y val="0.00925925925925926"/>
                </c:manualLayout>
              </c:layout>
              <c:tx>
                <c:rich>
                  <a:bodyPr rot="0" spcFirstLastPara="0" vertOverflow="ellipsis" vert="horz" wrap="square" lIns="38100" tIns="19050" rIns="38100" bIns="19050" anchor="ctr" anchorCtr="1"/>
                  <a:lstStyle/>
                  <a:p>
                    <a:pPr defTabSz="914400">
                      <a:defRPr lang="zh-CN" sz="800" b="0" i="0" u="none" strike="noStrike" kern="1200" spc="0" baseline="0">
                        <a:solidFill>
                          <a:sysClr val="windowText" lastClr="000000"/>
                        </a:solidFill>
                        <a:latin typeface="+mn-lt"/>
                        <a:ea typeface="+mn-ea"/>
                        <a:cs typeface="+mn-cs"/>
                      </a:defRPr>
                    </a:pPr>
                    <a:r>
                      <a:t>资本性支出0</a:t>
                    </a:r>
                    <a:r>
                      <a:rPr lang="en-US" altLang="zh-CN"/>
                      <a:t>.01</a:t>
                    </a:r>
                    <a:r>
                      <a:t>%</a:t>
                    </a:r>
                  </a:p>
                </c:rich>
              </c:tx>
              <c:numFmt formatCode="General" sourceLinked="1"/>
              <c:spPr>
                <a:noFill/>
                <a:ln>
                  <a:noFill/>
                </a:ln>
                <a:effectLst/>
              </c:spPr>
              <c:txPr>
                <a:bodyPr rot="0" spcFirstLastPara="0" vertOverflow="ellipsis" vert="horz" wrap="square" lIns="38100" tIns="19050" rIns="38100" bIns="19050" anchor="ctr" anchorCtr="1"/>
                <a:lstStyle/>
                <a:p>
                  <a:pPr>
                    <a:defRPr lang="zh-CN" sz="800" b="0" i="0" u="none" strike="noStrike" kern="1200" spc="0" baseline="0">
                      <a:solidFill>
                        <a:sysClr val="windowText" lastClr="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800" b="0" i="0" u="none" strike="noStrike" kern="1200" spc="0" baseline="0">
                    <a:solidFill>
                      <a:sysClr val="windowText" lastClr="000000"/>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[数据表.xlsx]Sheet1!$B$2:$B$5</c:f>
              <c:strCache>
                <c:ptCount val="4"/>
                <c:pt idx="0">
                  <c:v>工资福利支出</c:v>
                </c:pt>
                <c:pt idx="1">
                  <c:v>商品和服务支出</c:v>
                </c:pt>
                <c:pt idx="2">
                  <c:v>对个人和家庭的补助</c:v>
                </c:pt>
                <c:pt idx="3">
                  <c:v>资本性支出</c:v>
                </c:pt>
              </c:strCache>
            </c:strRef>
          </c:cat>
          <c:val>
            <c:numRef>
              <c:f>[数据表.xlsx]Sheet1!$C$2:$C$5</c:f>
              <c:numCache>
                <c:formatCode>#,##0.00</c:formatCode>
                <c:ptCount val="4"/>
                <c:pt idx="0">
                  <c:v>28299.5</c:v>
                </c:pt>
                <c:pt idx="1">
                  <c:v>2621.44</c:v>
                </c:pt>
                <c:pt idx="2">
                  <c:v>3137.12</c:v>
                </c:pt>
                <c:pt idx="3" c:formatCode="General">
                  <c:v>4.24</c:v>
                </c:pt>
              </c:numCache>
            </c:numRef>
          </c:val>
        </c:ser>
        <c:ser>
          <c:idx val="1"/>
          <c:order val="1"/>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1"/>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2"/>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3"/>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dLbl>
              <c:idx val="3"/>
              <c:layout/>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4"/>
                      </a:solidFill>
                      <a:latin typeface="+mn-lt"/>
                      <a:ea typeface="+mn-ea"/>
                      <a:cs typeface="+mn-cs"/>
                    </a:defRPr>
                  </a:pPr>
                </a:p>
              </c:txPr>
              <c:dLblPos val="outEnd"/>
              <c:showLegendKey val="0"/>
              <c:showVal val="0"/>
              <c:showCatName val="1"/>
              <c:showSerName val="0"/>
              <c:showPercent val="1"/>
              <c:showBubbleSize val="0"/>
              <c:separator>
</c:separator>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1" i="0" u="none" strike="noStrike" kern="1200" spc="0" baseline="0">
                    <a:solidFill>
                      <a:schemeClr val="accent2"/>
                    </a:solidFill>
                    <a:latin typeface="+mn-lt"/>
                    <a:ea typeface="+mn-ea"/>
                    <a:cs typeface="+mn-cs"/>
                  </a:defRPr>
                </a:pPr>
              </a:p>
            </c:txPr>
            <c:dLblPos val="out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[数据表.xlsx]Sheet1!$B$2:$B$5</c:f>
              <c:strCache>
                <c:ptCount val="4"/>
                <c:pt idx="0">
                  <c:v>工资福利支出</c:v>
                </c:pt>
                <c:pt idx="1">
                  <c:v>商品和服务支出</c:v>
                </c:pt>
                <c:pt idx="2">
                  <c:v>对个人和家庭的补助</c:v>
                </c:pt>
                <c:pt idx="3">
                  <c:v>资本性支出</c:v>
                </c:pt>
              </c:strCache>
            </c:strRef>
          </c:cat>
          <c:val>
            <c:numRef>
              <c:f>[数据表.xlsx]Sheet1!$D$2:$D$5</c:f>
              <c:numCache>
                <c:formatCode>0.00%</c:formatCode>
                <c:ptCount val="4"/>
                <c:pt idx="0">
                  <c:v>0.830815887359339</c:v>
                </c:pt>
                <c:pt idx="1">
                  <c:v>0.0769601582981772</c:v>
                </c:pt>
                <c:pt idx="2">
                  <c:v>0.0920994765473852</c:v>
                </c:pt>
                <c:pt idx="3">
                  <c:v>0.00012447779509898</c:v>
                </c:pt>
              </c:numCache>
            </c:numRef>
          </c:val>
        </c:ser>
        <c:dLbls>
          <c:showLegendKey val="0"/>
          <c:showVal val="1"/>
          <c:showCatName val="0"/>
          <c:showSerName val="0"/>
          <c:showPercent val="0"/>
          <c:showBubbleSize val="0"/>
          <c:showLeaderLines val="1"/>
        </c:dLbls>
        <c:firstSliceAng val="0"/>
      </c:pieChart>
      <c:spPr>
        <a:noFill/>
        <a:ln>
          <a:noFill/>
        </a:ln>
        <a:effectLst/>
      </c:spPr>
    </c:plotArea>
    <c:plotVisOnly val="1"/>
    <c:dispBlanksAs val="gap"/>
    <c:showDLblsOverMax val="0"/>
    <c:extLst>
      <c:ext uri="{0b15fc19-7d7d-44ad-8c2d-2c3a37ce22c3}">
        <chartProps xmlns="https://web.wps.cn/et/2018/main" chartId="{46a64995-fa7c-4cb0-8599-8729a341e1dd}"/>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cs:styleClr val="auto"/>
    </cs:fontRef>
    <cs:defRPr sz="1000" b="1" i="0" u="none" strike="noStrike" kern="1200" spc="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774fac07-2729-4161-8df1-c298aac6d971</errorID>
      <errorWord>南</errorWord>
      <group>L1_Word</group>
      <groupName>字词问题</groupName>
      <ability>L2_Typo</ability>
      <abilityName>字词错误</abilityName>
      <candidateList>
        <item>南省</item>
      </candidateList>
      <explain/>
      <paraID>4DDE2D43</paraID>
      <start>45</start>
      <end>46</end>
      <status>ignored</status>
      <modifiedWord/>
      <trackRevisions>false</trackRevisions>
    </reviewItem>
    <reviewItem>
      <errorID>e20d601e-2c70-4350-8296-9eda3e971691</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769C8DD2</paraID>
      <start>69</start>
      <end>74</end>
      <status>ignored</status>
      <modifiedWord/>
      <trackRevisions>false</trackRevisions>
    </reviewItem>
    <reviewItem>
      <errorID>4f5125a0-df9a-4afe-9630-cfcb2b7b932a</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47105DCD</paraID>
      <start>0</start>
      <end>5</end>
      <status>ignored</status>
      <modifiedWord/>
      <trackRevisions>false</trackRevisions>
    </reviewItem>
    <reviewItem>
      <errorID>e626c5d5-032c-492d-973d-49ca7cef9be7</errorID>
      <errorWord>(</errorWord>
      <group>L1_Format</group>
      <groupName>格式问题</groupName>
      <ability>L2_HalfPunc</ability>
      <abilityName>全半角检查</abilityName>
      <candidateList>
        <item>（</item>
      </candidateList>
      <explain>文本全半角错误。</explain>
      <paraID>75B9A8C4</paraID>
      <start>10</start>
      <end>11</end>
      <status>modified</status>
      <modifiedWord>（</modifiedWord>
      <trackRevisions>false</trackRevisions>
    </reviewItem>
    <reviewItem>
      <errorID>5e55aa8b-35e4-4145-92f2-1c13fdf3a0ec</errorID>
      <errorWord>)</errorWord>
      <group>L1_Format</group>
      <groupName>格式问题</groupName>
      <ability>L2_HalfPunc</ability>
      <abilityName>全半角检查</abilityName>
      <candidateList>
        <item>）</item>
      </candidateList>
      <explain>文本全半角错误。</explain>
      <paraID>75B9A8C4</paraID>
      <start>22</start>
      <end>23</end>
      <status>modified</status>
      <modifiedWord>）</modifiedWord>
      <trackRevisions>false</trackRevisions>
    </reviewItem>
    <reviewItem>
      <errorID>e0cb16e2-0638-449b-9752-b9595f0a7e0b</errorID>
      <errorWord>(</errorWord>
      <group>L1_Format</group>
      <groupName>格式问题</groupName>
      <ability>L2_HalfPunc</ability>
      <abilityName>全半角检查</abilityName>
      <candidateList>
        <item>（</item>
      </candidateList>
      <explain>文本全半角错误。</explain>
      <paraID> A476AD3</paraID>
      <start>10</start>
      <end>11</end>
      <status>modified</status>
      <modifiedWord>（</modifiedWord>
      <trackRevisions>false</trackRevisions>
    </reviewItem>
    <reviewItem>
      <errorID>528487f6-7247-433e-96ff-39f69bbda8d4</errorID>
      <errorWord>)</errorWord>
      <group>L1_Format</group>
      <groupName>格式问题</groupName>
      <ability>L2_HalfPunc</ability>
      <abilityName>全半角检查</abilityName>
      <candidateList>
        <item>）</item>
      </candidateList>
      <explain>文本全半角错误。</explain>
      <paraID> A476AD3</paraID>
      <start>22</start>
      <end>23</end>
      <status>modified</status>
      <modifiedWord>）</modifiedWord>
      <trackRevisions>false</trackRevisions>
    </reviewItem>
    <reviewItem>
      <errorID>005bbb87-cd46-4bb6-af3d-c823df74fac0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3967D958</paraID>
      <start>49</start>
      <end>51</end>
      <status>modified</status>
      <modifiedWord>》《</modifiedWord>
      <trackRevisions>false</trackRevisions>
    </reviewItem>
    <reviewItem>
      <errorID>b82817eb-46cc-4ff0-ac23-e553ca6634de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3967D958</paraID>
      <start>61</start>
      <end>63</end>
      <status>modified</status>
      <modifiedWord>》《</modifiedWord>
      <trackRevisions>false</trackRevisions>
    </reviewItem>
    <reviewItem>
      <errorID>7fab090d-89ef-40ea-80c0-d8c871c82869</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409C3177</paraID>
      <start>22</start>
      <end>23</end>
      <status>modified</status>
      <modifiedWord>地</modifiedWord>
      <trackRevisions>false</trackRevisions>
    </reviewItem>
    <reviewItem>
      <errorID>0b6019a4-69b8-4f1c-b0c6-9d2647918dd6</errorID>
      <errorWord>-</errorWord>
      <group>L1_Format</group>
      <groupName>格式问题</groupName>
      <ability>L2_HalfPunc</ability>
      <abilityName>全半角检查</abilityName>
      <candidateList>
        <item>－</item>
      </candidateList>
      <explain>文本全半角错误。</explain>
      <paraID>47CBB82A</paraID>
      <start>111</start>
      <end>112</end>
      <status>modified</status>
      <modifiedWord>－</modifiedWord>
      <trackRevisions>false</trackRevisions>
    </reviewItem>
    <reviewItem>
      <errorID>13ba6e2d-0e27-41d3-96a8-1c30daccefa2</errorID>
      <errorWord>《中共中央、国务院</errorWord>
      <group>L1_Political</group>
      <groupName>政治性问题</groupName>
      <ability>L2_Unpolitical</ability>
      <abilityName>政治敏感错误</abilityName>
      <candidateList>
        <item>《中共中央 国务院</item>
      </candidateList>
      <explain/>
      <paraID>4F1CA3E9</paraID>
      <start>2</start>
      <end>11</end>
      <status>modified</status>
      <modifiedWord>《中共中央 国务院</modifiedWord>
      <trackRevisions>false</trackRevisions>
    </reviewItem>
    <reviewItem>
      <errorID>973910ca-647a-4905-bc66-cf0e18dac1d3</errorID>
      <errorWord>根据单位指标执行情况统计表显示</errorWord>
      <group>L1_Grammar</group>
      <groupName>语法问题</groupName>
      <ability>L2_Grammar</ability>
      <abilityName>语法错误</abilityName>
      <candidateList>
        <item>根据单位指标执行情况统计表</item>
      </candidateList>
      <explain/>
      <paraID>3E54D725</paraID>
      <start>9</start>
      <end>22</end>
      <status>modified</status>
      <modifiedWord>根据单位指标执行情况统计表</modifiedWord>
      <trackRevisions>false</trackRevisions>
    </reviewItem>
    <reviewItem>
      <errorID>562f6bd2-4d9c-4d58-b8a0-793f09c648a5</errorID>
      <errorWord>~</errorWord>
      <group>L1_Format</group>
      <groupName>格式问题</groupName>
      <ability>L2_HalfPunc</ability>
      <abilityName>全半角检查</abilityName>
      <candidateList>
        <item>～</item>
      </candidateList>
      <explain>文本全半角错误。</explain>
      <paraID>3E54D725</paraID>
      <start>106</start>
      <end>107</end>
      <status>modified</status>
      <modifiedWord>～</modifiedWord>
      <trackRevisions>false</trackRevisions>
    </reviewItem>
    <reviewItem>
      <errorID>b29d335c-ae46-4c6a-9561-1a7e3fcd42c9</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28A628C2</paraID>
      <start>149</start>
      <end>155</end>
      <status>modified</status>
      <modifiedWord>省委、省政府</modifiedWord>
      <trackRevisions>false</trackRevisions>
    </reviewItem>
    <reviewItem>
      <errorID>b1f7d4e7-4174-4d23-b717-5ea777c2ece0</errorID>
      <errorWord>促进其</errorWord>
      <group>L1_Word</group>
      <groupName>字词问题</groupName>
      <ability>L2_Typo</ability>
      <abilityName>字词错误</abilityName>
      <candidateList>
        <item>促进</item>
      </candidateList>
      <explain/>
      <paraID>136B52D4</paraID>
      <start>45</start>
      <end>47</end>
      <status>modified</status>
      <modifiedWord>促进</modifiedWord>
      <trackRevisions>false</trackRevisions>
    </reviewItem>
    <reviewItem>
      <errorID>86d78dc1-3f24-45be-b574-62c62159f219</errorID>
      <errorWord>程</errorWord>
      <group>L1_Word</group>
      <groupName>字词问题</groupName>
      <ability>L2_Typo</ability>
      <abilityName>字词错误</abilityName>
      <candidateList>
        <item>程中</item>
      </candidateList>
      <explain/>
      <paraID> 7100019</paraID>
      <start>16</start>
      <end>18</end>
      <status>modified</status>
      <modifiedWord>程中</modifiedWord>
      <trackRevisions>false</trackRevisions>
    </reviewItem>
    <reviewItem>
      <errorID>5485eed3-2414-436d-881b-9e86b0c21c3e</errorID>
      <errorWord>三公经费</errorWord>
      <group>L1_Political</group>
      <groupName>政治性问题</groupName>
      <ability>L2_Keyword</ability>
      <abilityName>固定表述</abilityName>
      <candidateList>
        <item>“三公”经费</item>
      </candidateList>
      <explain>注意检查当前固定表述标点是否使用规范。</explain>
      <paraID>68C83416</paraID>
      <start>0</start>
      <end>6</end>
      <status>modified</status>
      <modifiedWord>“三公”经费</modifiedWord>
      <trackRevisions>false</trackRevisions>
    </reviewItem>
    <reviewItem>
      <errorID>be48cff7-b383-4e51-9383-8b041b69754e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5A28659</paraID>
      <start>3</start>
      <end>5</end>
      <status>modified</status>
      <modifiedWord>1.</modifiedWord>
      <trackRevisions>false</trackRevisions>
    </reviewItem>
    <reviewItem>
      <errorID>0e5bb056-cf73-4f49-9ea0-e9fd5ee49ec4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7F4226D4</paraID>
      <start>3</start>
      <end>5</end>
      <status>modified</status>
      <modifiedWord>2.</modifiedWord>
      <trackRevisions>false</trackRevisions>
    </reviewItem>
    <reviewItem>
      <errorID>5f882947-d5d8-41cf-a7fc-702e43088bbb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9D91EAE</paraID>
      <start>3</start>
      <end>5</end>
      <status>modified</status>
      <modifiedWord>3.</modifiedWord>
      <trackRevisions>false</trackRevisions>
    </reviewItem>
    <reviewItem>
      <errorID>6aa470ad-212a-4c6f-8294-884418c1fa7b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7371C100</paraID>
      <start>2</start>
      <end>4</end>
      <status>modified</status>
      <modifiedWord>1.</modifiedWord>
      <trackRevisions>false</trackRevisions>
    </reviewItem>
    <reviewItem>
      <errorID>3c2f1856-434d-4d66-836b-e1b0c9cc499a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B1147AA</paraID>
      <start>2</start>
      <end>4</end>
      <status>modified</status>
      <modifiedWord>2.</modifiedWord>
      <trackRevisions>false</trackRevisions>
    </reviewItem>
    <reviewItem>
      <errorID>5552f41d-2ec0-4644-8fe6-9a21c7f48e74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14E176A8</paraID>
      <start>0</start>
      <end>2</end>
      <status>modified</status>
      <modifiedWord>3.</modifiedWord>
      <trackRevisions>false</trackRevisions>
    </reviewItem>
    <reviewItem>
      <errorID>bd849b48-929a-49cc-b313-355df3a1770c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14F30A76</paraID>
      <start>0</start>
      <end>2</end>
      <status>modified</status>
      <modifiedWord>4.</modifiedWord>
      <trackRevisions>false</trackRevisions>
    </reviewItem>
    <reviewItem>
      <errorID>41d135a3-696c-4d20-a9fd-675d3873aa1c</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7B5BB54C</paraID>
      <start>0</start>
      <end>2</end>
      <status>modified</status>
      <modifiedWord>5.</modifiedWord>
      <trackRevisions>false</trackRevisions>
    </reviewItem>
    <reviewItem>
      <errorID>09e09827-2908-4a8f-a619-1b256c2d6601</errorID>
      <errorWord>省委省政府</errorWord>
      <group>L1_Political</group>
      <groupName>政治性问题</groupName>
      <ability>L2_Keyword</ability>
      <abilityName>固定表述</abilityName>
      <candidateList>
        <item>省委、省政府</item>
      </candidateList>
      <explain>注意检查当前固定表述标点是否使用规范。</explain>
      <paraID>69C1CFD6</paraID>
      <start>55</start>
      <end>60</end>
      <status>ignored</status>
      <modifiedWord/>
      <trackRevisions>false</trackRevisions>
    </reviewItem>
    <reviewItem>
      <errorID>17efd51d-8eb3-4c38-9c10-3e20def00c2a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69C1CFD6</paraID>
      <start>234</start>
      <end>236</end>
      <status>modified</status>
      <modifiedWord>”“</modifiedWord>
      <trackRevisions>false</trackRevisions>
    </reviewItem>
    <reviewItem>
      <errorID>7eaba1ef-e328-4f08-90df-59668f1c7c69</errorID>
      <errorWord>(</errorWord>
      <group>L1_Format</group>
      <groupName>格式问题</groupName>
      <ability>L2_HalfPunc</ability>
      <abilityName>全半角检查</abilityName>
      <candidateList>
        <item>（</item>
      </candidateList>
      <explain>文本全半角错误。</explain>
      <paraID>5BE21148</paraID>
      <start>0</start>
      <end>1</end>
      <status>modified</status>
      <modifiedWord>（</modifiedWord>
      <trackRevisions>false</trackRevisions>
    </reviewItem>
    <reviewItem>
      <errorID>2494c423-86bd-4794-9c50-98e523579cfe</errorID>
      <errorWord>)</errorWord>
      <group>L1_Format</group>
      <groupName>格式问题</groupName>
      <ability>L2_HalfPunc</ability>
      <abilityName>全半角检查</abilityName>
      <candidateList>
        <item>）</item>
      </candidateList>
      <explain>文本全半角错误。</explain>
      <paraID>5BE21148</paraID>
      <start>4</start>
      <end>5</end>
      <status>modified</status>
      <modifiedWord>）</modifiedWord>
      <trackRevisions>false</trackRevisions>
    </reviewItem>
    <reviewItem>
      <errorID>ec3135b0-68ff-487e-98ea-53ee95e58151</errorID>
      <errorWord>,,,,</errorWord>
      <group>L1_Punc</group>
      <groupName>标点问题</groupName>
      <ability>L2_Punc</ability>
      <abilityName>标点符号检查</abilityName>
      <candidateList>
        <item>,</item>
      </candidateList>
      <explain/>
      <paraID>76DBF560</paraID>
      <start>16</start>
      <end>17</end>
      <status>modified</status>
      <modifiedWord>,</modifiedWord>
      <trackRevisions>false</trackRevisions>
    </reviewItem>
    <reviewItem>
      <errorID>aa1d8cdd-6f4e-4924-82b5-8aa493f9a1b3</errorID>
      <errorWord>,,</errorWord>
      <group>L1_Punc</group>
      <groupName>标点问题</groupName>
      <ability>L2_Punc</ability>
      <abilityName>标点符号检查</abilityName>
      <candidateList>
        <item>,</item>
      </candidateList>
      <explain/>
      <paraID>1DB7EB60</paraID>
      <start>2</start>
      <end>3</end>
      <status>modified</status>
      <modifiedWord>,</modifiedWord>
      <trackRevisions>false</trackRevisions>
    </reviewItem>
    <reviewItem>
      <errorID>b842cc70-29dc-4756-8c6a-03936aab12db</errorID>
      <errorWord>十五五</errorWord>
      <group>L1_Political</group>
      <groupName>政治性问题</groupName>
      <ability>L2_Keyword</ability>
      <abilityName>固定表述</abilityName>
      <candidateList>
        <item>“十五五”</item>
      </candidateList>
      <explain>注意检查当前固定表述标点是否使用规范。</explain>
      <paraID> EE89EA9</paraID>
      <start>2</start>
      <end>7</end>
      <status>modified</status>
      <modifiedWord>“十五五”</modifiedWord>
      <trackRevisions>false</trackRevisions>
    </reviewItem>
    <reviewItem>
      <errorID>f347df4a-f7bc-4f0d-928b-59aaaf180322</errorID>
      <errorWord>香港</errorWord>
      <group>L1_Political</group>
      <groupName>政治性问题</groupName>
      <ability>L2_Unpolitical</ability>
      <abilityName>政治敏感错误</abilityName>
      <candidateList>
        <item>中国香港</item>
      </candidateList>
      <explain>在与其他国家名称连用时，“香港”“澳门”“台湾”的书写格式为“中国香港”“中国澳门”“中国台湾”。</explain>
      <paraID> EE89EA9</paraID>
      <start>229</start>
      <end>233</end>
      <status>modified</status>
      <modifiedWord>中国香港</modifiedWord>
      <trackRevisions>false</trackRevisions>
    </reviewItem>
    <reviewItem>
      <errorID>2b78c3a8-5e31-4cf0-a48d-fc82cacdf533</errorID>
      <errorWord>澳门</errorWord>
      <group>L1_Political</group>
      <groupName>政治性问题</groupName>
      <ability>L2_Unpolitical</ability>
      <abilityName>政治敏感错误</abilityName>
      <candidateList>
        <item>中国澳门</item>
      </candidateList>
      <explain>在与其他国家名称连用时，“香港”“澳门”“台湾”的书写格式为“中国香港”“中国澳门”“中国台湾”。</explain>
      <paraID> EE89EA9</paraID>
      <start>234</start>
      <end>238</end>
      <status>modified</status>
      <modifiedWord>中国澳门</modifiedWord>
      <trackRevisions>false</trackRevisions>
    </reviewItem>
    <reviewItem>
      <errorID>085aa546-62a7-4bcc-97f1-243fde91d809</errorID>
      <errorWord>(</errorWord>
      <group>L1_Format</group>
      <groupName>格式问题</groupName>
      <ability>L2_HalfPunc</ability>
      <abilityName>全半角检查</abilityName>
      <candidateList>
        <item>（</item>
      </candidateList>
      <explain>文本全半角错误。</explain>
      <paraID>65AE6FDD</paraID>
      <start>0</start>
      <end>1</end>
      <status>modified</status>
      <modifiedWord>（</modifiedWord>
      <trackRevisions>false</trackRevisions>
    </reviewItem>
    <reviewItem>
      <errorID>6d6ad407-57b3-473a-ab48-6f5269baf000</errorID>
      <errorWord>)</errorWord>
      <group>L1_Format</group>
      <groupName>格式问题</groupName>
      <ability>L2_HalfPunc</ability>
      <abilityName>全半角检查</abilityName>
      <candidateList>
        <item>）</item>
      </candidateList>
      <explain>文本全半角错误。</explain>
      <paraID>65AE6FDD</paraID>
      <start>4</start>
      <end>5</end>
      <status>modified</status>
      <modifiedWord>）</modifiedWord>
      <trackRevisions>false</trackRevisions>
    </reviewItem>
    <reviewItem>
      <errorID>7a4d6993-b153-441c-8886-33839248737d</errorID>
      <errorWord>服</errorWord>
      <group>L1_Word</group>
      <groupName>字词问题</groupName>
      <ability>L2_Typo</ability>
      <abilityName>字词错误</abilityName>
      <candidateList>
        <item>服务</item>
      </candidateList>
      <explain>〈动〉为集体（或别人的）利益或为某种事业而工作：～行业｜为人民～｜科学为生产～｜他在邮局～了三十年。</explain>
      <paraID>2766B9F5</paraID>
      <start>0</start>
      <end>2</end>
      <status>modified</status>
      <modifiedWord>服务</modifiedWord>
      <trackRevisions>false</trackRevisions>
    </reviewItem>
    <reviewItem>
      <errorID>7d6b7e79-93fa-4532-b3ae-0f6025a04516</errorID>
      <errorWord>开古</errorWord>
      <group>L1_Word</group>
      <groupName>字词问题</groupName>
      <ability>L2_Typo</ability>
      <abilityName>字词错误</abilityName>
      <candidateList>
        <item>考古</item>
      </candidateList>
      <explain/>
      <paraID>14F03055</paraID>
      <start>0</start>
      <end>2</end>
      <status>modified</status>
      <modifiedWord>考古</modifiedWord>
      <trackRevisions>false</trackRevisions>
    </reviewItem>
    <reviewItem>
      <errorID>0c4c00f9-2da3-4237-a708-ab046ba0cbc8</errorID>
      <errorWord>书</errorWord>
      <group>L1_Word</group>
      <groupName>字词问题</groupName>
      <ability>L2_Typo</ability>
      <abilityName>字词错误</abilityName>
      <candidateList>
        <item>市</item>
      </candidateList>
      <explain>存在发音相近字词的误用。</explain>
      <paraID>68BE85C7</paraID>
      <start>0</start>
      <end>1</end>
      <status>ignored</status>
      <modifiedWord/>
      <trackRevisions>false</trackRevisions>
    </reviewItem>
    <reviewItem>
      <errorID>08354b2f-c30d-48d3-ba9a-7e3121a26c9d</errorID>
      <errorWord>,</errorWord>
      <group>L1_Format</group>
      <groupName>格式问题</groupName>
      <ability>L2_HalfPunc</ability>
      <abilityName>全半角检查</abilityName>
      <candidateList>
        <item>，</item>
      </candidateList>
      <explain>文本全半角错误。</explain>
      <paraID>4D5C9EF6</paraID>
      <start>9</start>
      <end>10</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9a2bedd-8424-4493-81e6-8d3bb68572df}">
  <ds:schemaRefs/>
</ds:datastoreItem>
</file>

<file path=docProps/app.xml><?xml version="1.0" encoding="utf-8"?>
<Properties xmlns="http://schemas.openxmlformats.org/officeDocument/2006/extended-properties" xmlns:vt="http://schemas.openxmlformats.org/officeDocument/2006/docPropsVTypes">
  <Pages>48</Pages>
  <Words>3389</Words>
  <Characters>4091</Characters>
  <Lines>1</Lines>
  <Paragraphs>1</Paragraphs>
  <TotalTime>41</TotalTime>
  <ScaleCrop>false</ScaleCrop>
  <LinksUpToDate>false</LinksUpToDate>
  <CharactersWithSpaces>4176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2021-05-23T07:13:00Z</dcterms:created>
  <dc:creator>易志光</dc:creator>
  <cp:lastModifiedBy>Hi~</cp:lastModifiedBy>
  <cp:lastPrinted>2023-05-31T03:56:00Z</cp:lastPrinted>
  <dcterms:modified xsi:type="dcterms:W3CDTF">2026-05-10T08:23:23Z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F12F44BE4EA64347B789458E0DED2A0C_13</vt:lpwstr>
  </property>
  <property fmtid="{D5CDD505-2E9C-101B-9397-08002B2CF9AE}" pid="4" name="KSOTemplateDocerSaveRecord">
    <vt:lpwstr>eyJoZGlkIjoiNTc1OWMzYWFkMmQ1NDlhYTdjNWYwYWRjMzgwYmFjMjEiLCJ1c2VySWQiOiI3MDQyNTUxNjUifQ==</vt:lpwstr>
  </property>
</Properties>
</file>